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1D93A">
      <w:pPr>
        <w:spacing w:line="540" w:lineRule="exact"/>
        <w:ind w:firstLine="1600" w:firstLineChars="500"/>
        <w:rPr>
          <w:rFonts w:ascii="宋体" w:hAnsi="宋体"/>
          <w:sz w:val="32"/>
          <w:szCs w:val="32"/>
          <w:u w:val="none"/>
        </w:rPr>
      </w:pPr>
    </w:p>
    <w:p w14:paraId="1E444848">
      <w:pPr>
        <w:spacing w:line="540" w:lineRule="exact"/>
        <w:ind w:firstLine="1600" w:firstLineChars="500"/>
        <w:rPr>
          <w:rFonts w:ascii="宋体" w:hAnsi="宋体"/>
          <w:sz w:val="32"/>
          <w:szCs w:val="32"/>
          <w:u w:val="none"/>
        </w:rPr>
      </w:pPr>
    </w:p>
    <w:p w14:paraId="061BD152">
      <w:pPr>
        <w:spacing w:line="540" w:lineRule="exact"/>
        <w:ind w:firstLine="1600" w:firstLineChars="500"/>
        <w:jc w:val="center"/>
        <w:rPr>
          <w:rFonts w:ascii="宋体" w:hAnsi="宋体"/>
          <w:sz w:val="32"/>
          <w:szCs w:val="32"/>
          <w:u w:val="none"/>
        </w:rPr>
      </w:pPr>
    </w:p>
    <w:p w14:paraId="29CE21E9">
      <w:pPr>
        <w:spacing w:line="460" w:lineRule="exact"/>
        <w:ind w:firstLine="437"/>
        <w:jc w:val="center"/>
        <w:rPr>
          <w:rFonts w:ascii="宋体" w:hAnsi="宋体"/>
          <w:szCs w:val="21"/>
          <w:u w:val="none"/>
        </w:rPr>
      </w:pPr>
      <w:r>
        <w:rPr>
          <w:rFonts w:hint="eastAsia" w:ascii="宋体" w:hAnsi="宋体"/>
          <w:color w:val="FF0000"/>
          <w:sz w:val="32"/>
          <w:szCs w:val="32"/>
          <w:u w:val="none"/>
          <w:lang w:eastAsia="zh-CN"/>
        </w:rPr>
        <w:t>营口市老边区滨洲佳园小区保障性住房棚改项目(经济适用房)项目收尾工程施工</w:t>
      </w:r>
    </w:p>
    <w:p w14:paraId="562BBBCF">
      <w:pPr>
        <w:spacing w:line="460" w:lineRule="exact"/>
        <w:ind w:firstLine="437"/>
        <w:rPr>
          <w:rFonts w:ascii="宋体" w:hAnsi="宋体"/>
          <w:szCs w:val="21"/>
          <w:u w:val="none"/>
        </w:rPr>
      </w:pPr>
    </w:p>
    <w:p w14:paraId="4FEBB017">
      <w:pPr>
        <w:spacing w:line="540" w:lineRule="exact"/>
        <w:rPr>
          <w:rFonts w:ascii="宋体" w:hAnsi="宋体"/>
          <w:szCs w:val="21"/>
          <w:u w:val="none"/>
        </w:rPr>
      </w:pPr>
    </w:p>
    <w:p w14:paraId="5BBC4EBD">
      <w:pPr>
        <w:spacing w:line="540" w:lineRule="exact"/>
        <w:rPr>
          <w:rFonts w:ascii="宋体" w:hAnsi="宋体"/>
          <w:szCs w:val="21"/>
          <w:u w:val="none"/>
        </w:rPr>
      </w:pPr>
    </w:p>
    <w:p w14:paraId="7AA3F8EA">
      <w:pPr>
        <w:jc w:val="center"/>
        <w:rPr>
          <w:rFonts w:ascii="黑体" w:hAnsi="宋体" w:eastAsia="黑体"/>
          <w:sz w:val="72"/>
          <w:szCs w:val="72"/>
          <w:u w:val="none"/>
        </w:rPr>
      </w:pPr>
      <w:r>
        <w:rPr>
          <w:rFonts w:hint="eastAsia" w:ascii="黑体" w:hAnsi="宋体" w:eastAsia="黑体"/>
          <w:sz w:val="72"/>
          <w:szCs w:val="72"/>
          <w:u w:val="none"/>
        </w:rPr>
        <w:t>招 标 文 件</w:t>
      </w:r>
    </w:p>
    <w:p w14:paraId="490BDD13">
      <w:pPr>
        <w:spacing w:line="540" w:lineRule="exact"/>
        <w:rPr>
          <w:rFonts w:ascii="黑体" w:eastAsia="黑体"/>
          <w:sz w:val="28"/>
          <w:szCs w:val="28"/>
          <w:u w:val="none"/>
        </w:rPr>
      </w:pPr>
    </w:p>
    <w:p w14:paraId="46AF51FD">
      <w:pPr>
        <w:spacing w:line="540" w:lineRule="exact"/>
        <w:ind w:left="0" w:leftChars="0"/>
        <w:jc w:val="center"/>
        <w:rPr>
          <w:rFonts w:ascii="宋体" w:hAnsi="宋体"/>
          <w:szCs w:val="21"/>
          <w:highlight w:val="none"/>
          <w:u w:val="none"/>
        </w:rPr>
      </w:pPr>
      <w:r>
        <w:rPr>
          <w:rFonts w:hint="eastAsia" w:ascii="黑体" w:eastAsia="黑体"/>
          <w:sz w:val="28"/>
          <w:szCs w:val="28"/>
          <w:u w:val="none"/>
        </w:rPr>
        <w:t>（标段唯一</w:t>
      </w:r>
      <w:r>
        <w:rPr>
          <w:rFonts w:hint="eastAsia" w:ascii="黑体" w:eastAsia="黑体"/>
          <w:sz w:val="28"/>
          <w:szCs w:val="28"/>
          <w:highlight w:val="none"/>
          <w:u w:val="none"/>
        </w:rPr>
        <w:t>标识码：</w:t>
      </w:r>
      <w:r>
        <w:rPr>
          <w:rFonts w:hint="eastAsia" w:ascii="黑体" w:eastAsia="黑体"/>
          <w:sz w:val="28"/>
          <w:szCs w:val="28"/>
          <w:highlight w:val="none"/>
          <w:u w:val="none"/>
          <w:lang w:val="en-US" w:eastAsia="zh-CN"/>
        </w:rPr>
        <w:t xml:space="preserve">                              </w:t>
      </w:r>
      <w:r>
        <w:rPr>
          <w:rFonts w:hint="eastAsia" w:ascii="黑体" w:eastAsia="黑体"/>
          <w:sz w:val="28"/>
          <w:szCs w:val="28"/>
          <w:highlight w:val="none"/>
          <w:u w:val="none"/>
        </w:rPr>
        <w:t>）</w:t>
      </w:r>
    </w:p>
    <w:p w14:paraId="535CC9AD">
      <w:pPr>
        <w:spacing w:line="540" w:lineRule="exact"/>
        <w:ind w:left="0" w:leftChars="0"/>
        <w:jc w:val="center"/>
        <w:rPr>
          <w:rFonts w:hint="eastAsia" w:ascii="黑体" w:eastAsia="黑体"/>
          <w:sz w:val="28"/>
          <w:szCs w:val="28"/>
          <w:highlight w:val="none"/>
          <w:u w:val="none"/>
        </w:rPr>
      </w:pPr>
      <w:r>
        <w:rPr>
          <w:rFonts w:hint="eastAsia" w:ascii="黑体" w:eastAsia="黑体"/>
          <w:sz w:val="28"/>
          <w:szCs w:val="28"/>
          <w:highlight w:val="none"/>
          <w:u w:val="none"/>
        </w:rPr>
        <w:t>（标段编号：</w:t>
      </w:r>
      <w:r>
        <w:rPr>
          <w:rFonts w:hint="eastAsia" w:ascii="黑体" w:eastAsia="黑体"/>
          <w:sz w:val="28"/>
          <w:szCs w:val="28"/>
          <w:highlight w:val="none"/>
          <w:u w:val="none"/>
          <w:lang w:val="en-US" w:eastAsia="zh-CN"/>
        </w:rPr>
        <w:t xml:space="preserve">                   </w:t>
      </w:r>
      <w:r>
        <w:rPr>
          <w:rFonts w:hint="eastAsia" w:ascii="黑体" w:eastAsia="黑体"/>
          <w:sz w:val="28"/>
          <w:szCs w:val="28"/>
          <w:highlight w:val="none"/>
          <w:u w:val="none"/>
        </w:rPr>
        <w:t>）</w:t>
      </w:r>
    </w:p>
    <w:p w14:paraId="67FE1DC9">
      <w:pPr>
        <w:spacing w:line="540" w:lineRule="exact"/>
        <w:ind w:firstLine="437"/>
        <w:rPr>
          <w:rFonts w:ascii="宋体" w:hAnsi="宋体"/>
          <w:szCs w:val="21"/>
          <w:u w:val="none"/>
        </w:rPr>
      </w:pPr>
    </w:p>
    <w:p w14:paraId="45688211">
      <w:pPr>
        <w:spacing w:line="540" w:lineRule="exact"/>
        <w:ind w:firstLine="437"/>
        <w:rPr>
          <w:rFonts w:ascii="宋体" w:hAnsi="宋体"/>
          <w:szCs w:val="21"/>
          <w:u w:val="none"/>
        </w:rPr>
      </w:pPr>
    </w:p>
    <w:p w14:paraId="216D33A5">
      <w:pPr>
        <w:spacing w:line="540" w:lineRule="exact"/>
        <w:ind w:firstLine="437"/>
        <w:rPr>
          <w:rFonts w:ascii="宋体" w:hAnsi="宋体"/>
          <w:szCs w:val="21"/>
          <w:u w:val="none"/>
        </w:rPr>
      </w:pPr>
    </w:p>
    <w:p w14:paraId="161CB3A5">
      <w:pPr>
        <w:spacing w:line="540" w:lineRule="exact"/>
        <w:ind w:firstLine="437"/>
        <w:rPr>
          <w:rFonts w:ascii="宋体" w:hAnsi="宋体"/>
          <w:szCs w:val="21"/>
          <w:u w:val="none"/>
        </w:rPr>
      </w:pPr>
    </w:p>
    <w:p w14:paraId="0387CAA6">
      <w:pPr>
        <w:spacing w:line="540" w:lineRule="exact"/>
        <w:ind w:firstLine="437"/>
        <w:rPr>
          <w:rFonts w:ascii="宋体" w:hAnsi="宋体"/>
          <w:szCs w:val="21"/>
          <w:u w:val="none"/>
        </w:rPr>
      </w:pPr>
    </w:p>
    <w:p w14:paraId="0231FC3E">
      <w:pPr>
        <w:spacing w:line="540" w:lineRule="exact"/>
        <w:ind w:firstLine="437"/>
        <w:rPr>
          <w:rFonts w:ascii="宋体" w:hAnsi="宋体"/>
          <w:szCs w:val="21"/>
          <w:u w:val="none"/>
        </w:rPr>
      </w:pPr>
    </w:p>
    <w:p w14:paraId="47731313">
      <w:pPr>
        <w:spacing w:line="540" w:lineRule="exact"/>
        <w:ind w:firstLine="437"/>
        <w:rPr>
          <w:rFonts w:ascii="宋体" w:hAnsi="宋体"/>
          <w:szCs w:val="21"/>
          <w:u w:val="none"/>
        </w:rPr>
      </w:pPr>
    </w:p>
    <w:p w14:paraId="7D78EFEA">
      <w:pPr>
        <w:spacing w:line="360" w:lineRule="auto"/>
        <w:jc w:val="center"/>
        <w:rPr>
          <w:rFonts w:ascii="黑体" w:hAnsi="黑体" w:eastAsia="黑体"/>
          <w:sz w:val="28"/>
          <w:szCs w:val="28"/>
          <w:u w:val="none"/>
        </w:rPr>
      </w:pPr>
      <w:r>
        <w:rPr>
          <w:rFonts w:hint="eastAsia" w:ascii="黑体" w:hAnsi="黑体" w:eastAsia="黑体"/>
          <w:sz w:val="28"/>
          <w:szCs w:val="28"/>
          <w:u w:val="none"/>
        </w:rPr>
        <w:t>招标人/招标代理机构：</w:t>
      </w:r>
      <w:r>
        <w:rPr>
          <w:rFonts w:hint="eastAsia" w:ascii="黑体" w:hAnsi="黑体" w:eastAsia="黑体"/>
          <w:sz w:val="28"/>
          <w:szCs w:val="28"/>
          <w:u w:val="none"/>
          <w:lang w:eastAsia="zh-CN"/>
        </w:rPr>
        <w:t>乔泰工程管理集团有限公司</w:t>
      </w:r>
      <w:r>
        <w:rPr>
          <w:rFonts w:hint="eastAsia" w:ascii="黑体" w:hAnsi="黑体" w:eastAsia="黑体"/>
          <w:sz w:val="28"/>
          <w:szCs w:val="28"/>
          <w:u w:val="none"/>
        </w:rPr>
        <w:t>（盖章）</w:t>
      </w:r>
    </w:p>
    <w:p w14:paraId="6D692B3A">
      <w:pPr>
        <w:jc w:val="center"/>
        <w:rPr>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28"/>
          <w:szCs w:val="28"/>
          <w:u w:val="none"/>
        </w:rPr>
        <w:t>日    期：202</w:t>
      </w:r>
      <w:r>
        <w:rPr>
          <w:rFonts w:hint="eastAsia" w:ascii="黑体" w:hAnsi="黑体" w:eastAsia="黑体"/>
          <w:sz w:val="28"/>
          <w:szCs w:val="28"/>
          <w:u w:val="none"/>
          <w:lang w:val="en-US" w:eastAsia="zh-CN"/>
        </w:rPr>
        <w:t>6</w:t>
      </w:r>
      <w:r>
        <w:rPr>
          <w:rFonts w:hint="eastAsia" w:ascii="黑体" w:hAnsi="黑体" w:eastAsia="黑体"/>
          <w:sz w:val="28"/>
          <w:szCs w:val="28"/>
          <w:highlight w:val="none"/>
          <w:u w:val="none"/>
        </w:rPr>
        <w:t>年</w:t>
      </w:r>
      <w:r>
        <w:rPr>
          <w:rFonts w:hint="eastAsia" w:ascii="黑体" w:hAnsi="黑体" w:eastAsia="黑体"/>
          <w:sz w:val="28"/>
          <w:szCs w:val="28"/>
          <w:highlight w:val="none"/>
          <w:u w:val="none"/>
          <w:lang w:val="en-US" w:eastAsia="zh-CN"/>
        </w:rPr>
        <w:t>04</w:t>
      </w:r>
      <w:r>
        <w:rPr>
          <w:rFonts w:hint="eastAsia" w:ascii="黑体" w:hAnsi="黑体" w:eastAsia="黑体"/>
          <w:sz w:val="28"/>
          <w:szCs w:val="28"/>
          <w:highlight w:val="none"/>
          <w:u w:val="none"/>
        </w:rPr>
        <w:t>月</w:t>
      </w:r>
      <w:r>
        <w:rPr>
          <w:rFonts w:hint="eastAsia" w:ascii="黑体" w:hAnsi="黑体" w:eastAsia="黑体"/>
          <w:sz w:val="28"/>
          <w:szCs w:val="28"/>
          <w:highlight w:val="none"/>
          <w:u w:val="none"/>
          <w:lang w:val="en-US" w:eastAsia="zh-CN"/>
        </w:rPr>
        <w:t>16</w:t>
      </w:r>
      <w:r>
        <w:rPr>
          <w:rFonts w:hint="eastAsia" w:ascii="黑体" w:hAnsi="黑体" w:eastAsia="黑体"/>
          <w:sz w:val="28"/>
          <w:szCs w:val="28"/>
          <w:highlight w:val="none"/>
          <w:u w:val="none"/>
        </w:rPr>
        <w:t>日</w:t>
      </w:r>
    </w:p>
    <w:p w14:paraId="5E688078">
      <w:pPr>
        <w:jc w:val="center"/>
        <w:rPr>
          <w:rFonts w:eastAsia="宋体"/>
          <w:b/>
          <w:sz w:val="44"/>
        </w:rPr>
      </w:pPr>
      <w:bookmarkStart w:id="0" w:name="tableContents"/>
      <w:r>
        <w:rPr>
          <w:rFonts w:eastAsia="宋体"/>
          <w:b/>
          <w:sz w:val="44"/>
        </w:rPr>
        <w:t>目录</w:t>
      </w:r>
    </w:p>
    <w:p w14:paraId="0D9C3E86">
      <w:pPr>
        <w:pStyle w:val="13"/>
        <w:tabs>
          <w:tab w:val="right" w:leader="dot" w:pos="8296"/>
        </w:tabs>
        <w:rPr>
          <w:rFonts w:asciiTheme="minorHAnsi" w:hAnsiTheme="minorHAnsi"/>
          <w:sz w:val="22"/>
        </w:rPr>
      </w:pPr>
      <w:r>
        <w:rPr>
          <w:rFonts w:eastAsia="宋体"/>
          <w:b/>
          <w:sz w:val="44"/>
        </w:rPr>
        <w:fldChar w:fldCharType="begin"/>
      </w:r>
      <w:r>
        <w:rPr>
          <w:rFonts w:eastAsia="宋体"/>
          <w:b/>
          <w:sz w:val="44"/>
        </w:rPr>
        <w:instrText xml:space="preserve">TOC \o "1-3" \h \z \u</w:instrText>
      </w:r>
      <w:r>
        <w:rPr>
          <w:rFonts w:eastAsia="宋体"/>
          <w:b/>
          <w:sz w:val="44"/>
        </w:rPr>
        <w:fldChar w:fldCharType="separate"/>
      </w:r>
      <w:r>
        <w:fldChar w:fldCharType="begin"/>
      </w:r>
      <w:r>
        <w:instrText xml:space="preserve"> HYPERLINK \l "_Toc256000000" </w:instrText>
      </w:r>
      <w:r>
        <w:fldChar w:fldCharType="separate"/>
      </w:r>
      <w:r>
        <w:rPr>
          <w:rStyle w:val="21"/>
          <w:rFonts w:hint="eastAsia" w:ascii="黑体" w:hAnsi="黑体" w:eastAsia="黑体"/>
        </w:rPr>
        <w:t>第一卷</w:t>
      </w:r>
      <w:r>
        <w:tab/>
      </w:r>
      <w:r>
        <w:fldChar w:fldCharType="begin"/>
      </w:r>
      <w:r>
        <w:instrText xml:space="preserve"> PAGEREF _Toc256000000 \h </w:instrText>
      </w:r>
      <w:r>
        <w:fldChar w:fldCharType="separate"/>
      </w:r>
      <w:r>
        <w:t>1</w:t>
      </w:r>
      <w:r>
        <w:fldChar w:fldCharType="end"/>
      </w:r>
      <w:r>
        <w:fldChar w:fldCharType="end"/>
      </w:r>
    </w:p>
    <w:p w14:paraId="108E2E65">
      <w:pPr>
        <w:pStyle w:val="13"/>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21"/>
          <w:rFonts w:hint="eastAsia" w:ascii="黑体" w:hAnsi="黑体" w:eastAsia="黑体"/>
        </w:rPr>
        <w:t>第一章  招标公告</w:t>
      </w:r>
      <w:r>
        <w:tab/>
      </w:r>
      <w:r>
        <w:fldChar w:fldCharType="begin"/>
      </w:r>
      <w:r>
        <w:instrText xml:space="preserve"> PAGEREF _Toc256000001 \h </w:instrText>
      </w:r>
      <w:r>
        <w:fldChar w:fldCharType="separate"/>
      </w:r>
      <w:r>
        <w:t>2</w:t>
      </w:r>
      <w:r>
        <w:fldChar w:fldCharType="end"/>
      </w:r>
      <w:r>
        <w:fldChar w:fldCharType="end"/>
      </w:r>
    </w:p>
    <w:p w14:paraId="50FF8D85">
      <w:pPr>
        <w:pStyle w:val="13"/>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21"/>
          <w:rFonts w:ascii="黑体" w:hAnsi="黑体" w:eastAsia="黑体"/>
        </w:rPr>
        <w:t>第</w:t>
      </w:r>
      <w:r>
        <w:rPr>
          <w:rStyle w:val="21"/>
          <w:rFonts w:hint="eastAsia" w:ascii="黑体" w:hAnsi="黑体" w:eastAsia="黑体"/>
        </w:rPr>
        <w:t>二</w:t>
      </w:r>
      <w:r>
        <w:rPr>
          <w:rStyle w:val="21"/>
          <w:rFonts w:ascii="黑体" w:hAnsi="黑体" w:eastAsia="黑体"/>
        </w:rPr>
        <w:t>章</w:t>
      </w:r>
      <w:r>
        <w:rPr>
          <w:rStyle w:val="21"/>
          <w:rFonts w:hint="eastAsia" w:ascii="黑体" w:hAnsi="黑体" w:eastAsia="黑体"/>
        </w:rPr>
        <w:t xml:space="preserve">  投标人须知</w:t>
      </w:r>
      <w:r>
        <w:tab/>
      </w:r>
      <w:r>
        <w:fldChar w:fldCharType="begin"/>
      </w:r>
      <w:r>
        <w:instrText xml:space="preserve"> PAGEREF _Toc256000002 \h </w:instrText>
      </w:r>
      <w:r>
        <w:fldChar w:fldCharType="separate"/>
      </w:r>
      <w:r>
        <w:t>6</w:t>
      </w:r>
      <w:r>
        <w:fldChar w:fldCharType="end"/>
      </w:r>
      <w:r>
        <w:fldChar w:fldCharType="end"/>
      </w:r>
    </w:p>
    <w:p w14:paraId="1F764EFC">
      <w:pPr>
        <w:pStyle w:val="14"/>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21"/>
          <w:rFonts w:hint="eastAsia"/>
        </w:rPr>
        <w:t>投标人须知前附表</w:t>
      </w:r>
      <w:r>
        <w:tab/>
      </w:r>
      <w:r>
        <w:fldChar w:fldCharType="begin"/>
      </w:r>
      <w:r>
        <w:instrText xml:space="preserve"> PAGEREF _Toc256000003 \h </w:instrText>
      </w:r>
      <w:r>
        <w:fldChar w:fldCharType="separate"/>
      </w:r>
      <w:r>
        <w:t>7</w:t>
      </w:r>
      <w:r>
        <w:fldChar w:fldCharType="end"/>
      </w:r>
      <w:r>
        <w:fldChar w:fldCharType="end"/>
      </w:r>
    </w:p>
    <w:p w14:paraId="58F2970F">
      <w:pPr>
        <w:pStyle w:val="14"/>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21"/>
          <w:rFonts w:hint="eastAsia"/>
        </w:rPr>
        <w:t>投标人须知正文部分</w:t>
      </w:r>
      <w:r>
        <w:tab/>
      </w:r>
      <w:r>
        <w:fldChar w:fldCharType="begin"/>
      </w:r>
      <w:r>
        <w:instrText xml:space="preserve"> PAGEREF _Toc256000004 \h </w:instrText>
      </w:r>
      <w:r>
        <w:fldChar w:fldCharType="separate"/>
      </w:r>
      <w:r>
        <w:t>16</w:t>
      </w:r>
      <w:r>
        <w:fldChar w:fldCharType="end"/>
      </w:r>
      <w:r>
        <w:fldChar w:fldCharType="end"/>
      </w:r>
    </w:p>
    <w:p w14:paraId="5EF16E95">
      <w:pPr>
        <w:pStyle w:val="14"/>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21"/>
          <w:rFonts w:hint="eastAsia"/>
        </w:rPr>
        <w:t>1. 总则</w:t>
      </w:r>
      <w:r>
        <w:tab/>
      </w:r>
      <w:r>
        <w:fldChar w:fldCharType="begin"/>
      </w:r>
      <w:r>
        <w:instrText xml:space="preserve"> PAGEREF _Toc256000005 \h </w:instrText>
      </w:r>
      <w:r>
        <w:fldChar w:fldCharType="separate"/>
      </w:r>
      <w:r>
        <w:t>16</w:t>
      </w:r>
      <w:r>
        <w:fldChar w:fldCharType="end"/>
      </w:r>
      <w:r>
        <w:fldChar w:fldCharType="end"/>
      </w:r>
    </w:p>
    <w:p w14:paraId="6E37F29E">
      <w:pPr>
        <w:pStyle w:val="9"/>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21"/>
          <w:rFonts w:hint="eastAsia"/>
        </w:rPr>
        <w:t>1.1 项目概况</w:t>
      </w:r>
      <w:r>
        <w:tab/>
      </w:r>
      <w:r>
        <w:fldChar w:fldCharType="begin"/>
      </w:r>
      <w:r>
        <w:instrText xml:space="preserve"> PAGEREF _Toc256000006 \h </w:instrText>
      </w:r>
      <w:r>
        <w:fldChar w:fldCharType="separate"/>
      </w:r>
      <w:r>
        <w:t>16</w:t>
      </w:r>
      <w:r>
        <w:fldChar w:fldCharType="end"/>
      </w:r>
      <w:r>
        <w:fldChar w:fldCharType="end"/>
      </w:r>
    </w:p>
    <w:p w14:paraId="2517AF81">
      <w:pPr>
        <w:pStyle w:val="9"/>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21"/>
          <w:rFonts w:hint="eastAsia"/>
        </w:rPr>
        <w:t>1.2 资金来源和落实情况</w:t>
      </w:r>
      <w:r>
        <w:tab/>
      </w:r>
      <w:r>
        <w:fldChar w:fldCharType="begin"/>
      </w:r>
      <w:r>
        <w:instrText xml:space="preserve"> PAGEREF _Toc256000007 \h </w:instrText>
      </w:r>
      <w:r>
        <w:fldChar w:fldCharType="separate"/>
      </w:r>
      <w:r>
        <w:t>16</w:t>
      </w:r>
      <w:r>
        <w:fldChar w:fldCharType="end"/>
      </w:r>
      <w:r>
        <w:fldChar w:fldCharType="end"/>
      </w:r>
    </w:p>
    <w:p w14:paraId="395D7BA6">
      <w:pPr>
        <w:pStyle w:val="9"/>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21"/>
          <w:rFonts w:hint="eastAsia"/>
        </w:rPr>
        <w:t>1.3 招标范围、计划工期和质量要求</w:t>
      </w:r>
      <w:r>
        <w:tab/>
      </w:r>
      <w:r>
        <w:fldChar w:fldCharType="begin"/>
      </w:r>
      <w:r>
        <w:instrText xml:space="preserve"> PAGEREF _Toc256000008 \h </w:instrText>
      </w:r>
      <w:r>
        <w:fldChar w:fldCharType="separate"/>
      </w:r>
      <w:r>
        <w:t>16</w:t>
      </w:r>
      <w:r>
        <w:fldChar w:fldCharType="end"/>
      </w:r>
      <w:r>
        <w:fldChar w:fldCharType="end"/>
      </w:r>
    </w:p>
    <w:p w14:paraId="2AAAA412">
      <w:pPr>
        <w:pStyle w:val="9"/>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21"/>
          <w:rFonts w:hint="eastAsia"/>
        </w:rPr>
        <w:t>1.4 投标人资格要求</w:t>
      </w:r>
      <w:r>
        <w:tab/>
      </w:r>
      <w:r>
        <w:fldChar w:fldCharType="begin"/>
      </w:r>
      <w:r>
        <w:instrText xml:space="preserve"> PAGEREF _Toc256000009 \h </w:instrText>
      </w:r>
      <w:r>
        <w:fldChar w:fldCharType="separate"/>
      </w:r>
      <w:r>
        <w:t>16</w:t>
      </w:r>
      <w:r>
        <w:fldChar w:fldCharType="end"/>
      </w:r>
      <w:r>
        <w:fldChar w:fldCharType="end"/>
      </w:r>
    </w:p>
    <w:p w14:paraId="741BEA42">
      <w:pPr>
        <w:pStyle w:val="9"/>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21"/>
          <w:rFonts w:hint="eastAsia"/>
        </w:rPr>
        <w:t>1.5 费用承担</w:t>
      </w:r>
      <w:r>
        <w:tab/>
      </w:r>
      <w:r>
        <w:fldChar w:fldCharType="begin"/>
      </w:r>
      <w:r>
        <w:instrText xml:space="preserve"> PAGEREF _Toc256000010 \h </w:instrText>
      </w:r>
      <w:r>
        <w:fldChar w:fldCharType="separate"/>
      </w:r>
      <w:r>
        <w:t>17</w:t>
      </w:r>
      <w:r>
        <w:fldChar w:fldCharType="end"/>
      </w:r>
      <w:r>
        <w:fldChar w:fldCharType="end"/>
      </w:r>
    </w:p>
    <w:p w14:paraId="00481468">
      <w:pPr>
        <w:pStyle w:val="9"/>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21"/>
          <w:rFonts w:hint="eastAsia"/>
        </w:rPr>
        <w:t>1.6 保密</w:t>
      </w:r>
      <w:r>
        <w:tab/>
      </w:r>
      <w:r>
        <w:fldChar w:fldCharType="begin"/>
      </w:r>
      <w:r>
        <w:instrText xml:space="preserve"> PAGEREF _Toc256000011 \h </w:instrText>
      </w:r>
      <w:r>
        <w:fldChar w:fldCharType="separate"/>
      </w:r>
      <w:r>
        <w:t>17</w:t>
      </w:r>
      <w:r>
        <w:fldChar w:fldCharType="end"/>
      </w:r>
      <w:r>
        <w:fldChar w:fldCharType="end"/>
      </w:r>
    </w:p>
    <w:p w14:paraId="3235485F">
      <w:pPr>
        <w:pStyle w:val="9"/>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21"/>
          <w:rFonts w:hint="eastAsia"/>
        </w:rPr>
        <w:t>1.7 语言文字</w:t>
      </w:r>
      <w:r>
        <w:tab/>
      </w:r>
      <w:r>
        <w:fldChar w:fldCharType="begin"/>
      </w:r>
      <w:r>
        <w:instrText xml:space="preserve"> PAGEREF _Toc256000012 \h </w:instrText>
      </w:r>
      <w:r>
        <w:fldChar w:fldCharType="separate"/>
      </w:r>
      <w:r>
        <w:t>17</w:t>
      </w:r>
      <w:r>
        <w:fldChar w:fldCharType="end"/>
      </w:r>
      <w:r>
        <w:fldChar w:fldCharType="end"/>
      </w:r>
    </w:p>
    <w:p w14:paraId="373752FC">
      <w:pPr>
        <w:pStyle w:val="9"/>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21"/>
          <w:rFonts w:hint="eastAsia"/>
        </w:rPr>
        <w:t>1.8 计量单位</w:t>
      </w:r>
      <w:r>
        <w:tab/>
      </w:r>
      <w:r>
        <w:fldChar w:fldCharType="begin"/>
      </w:r>
      <w:r>
        <w:instrText xml:space="preserve"> PAGEREF _Toc256000013 \h </w:instrText>
      </w:r>
      <w:r>
        <w:fldChar w:fldCharType="separate"/>
      </w:r>
      <w:r>
        <w:t>17</w:t>
      </w:r>
      <w:r>
        <w:fldChar w:fldCharType="end"/>
      </w:r>
      <w:r>
        <w:fldChar w:fldCharType="end"/>
      </w:r>
    </w:p>
    <w:p w14:paraId="4B04E2A2">
      <w:pPr>
        <w:pStyle w:val="9"/>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21"/>
          <w:rFonts w:hint="eastAsia"/>
        </w:rPr>
        <w:t>1.9 踏勘现场</w:t>
      </w:r>
      <w:r>
        <w:tab/>
      </w:r>
      <w:r>
        <w:fldChar w:fldCharType="begin"/>
      </w:r>
      <w:r>
        <w:instrText xml:space="preserve"> PAGEREF _Toc256000014 \h </w:instrText>
      </w:r>
      <w:r>
        <w:fldChar w:fldCharType="separate"/>
      </w:r>
      <w:r>
        <w:t>17</w:t>
      </w:r>
      <w:r>
        <w:fldChar w:fldCharType="end"/>
      </w:r>
      <w:r>
        <w:fldChar w:fldCharType="end"/>
      </w:r>
    </w:p>
    <w:p w14:paraId="3D8C35FA">
      <w:pPr>
        <w:pStyle w:val="9"/>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21"/>
          <w:rFonts w:hint="eastAsia"/>
        </w:rPr>
        <w:t>1.10 投标预备会</w:t>
      </w:r>
      <w:r>
        <w:tab/>
      </w:r>
      <w:r>
        <w:fldChar w:fldCharType="begin"/>
      </w:r>
      <w:r>
        <w:instrText xml:space="preserve"> PAGEREF _Toc256000015 \h </w:instrText>
      </w:r>
      <w:r>
        <w:fldChar w:fldCharType="separate"/>
      </w:r>
      <w:r>
        <w:t>18</w:t>
      </w:r>
      <w:r>
        <w:fldChar w:fldCharType="end"/>
      </w:r>
      <w:r>
        <w:fldChar w:fldCharType="end"/>
      </w:r>
    </w:p>
    <w:p w14:paraId="15323E8F">
      <w:pPr>
        <w:pStyle w:val="9"/>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21"/>
          <w:rFonts w:hint="eastAsia"/>
        </w:rPr>
        <w:t>1.11 分包</w:t>
      </w:r>
      <w:r>
        <w:tab/>
      </w:r>
      <w:r>
        <w:fldChar w:fldCharType="begin"/>
      </w:r>
      <w:r>
        <w:instrText xml:space="preserve"> PAGEREF _Toc256000016 \h </w:instrText>
      </w:r>
      <w:r>
        <w:fldChar w:fldCharType="separate"/>
      </w:r>
      <w:r>
        <w:t>18</w:t>
      </w:r>
      <w:r>
        <w:fldChar w:fldCharType="end"/>
      </w:r>
      <w:r>
        <w:fldChar w:fldCharType="end"/>
      </w:r>
    </w:p>
    <w:p w14:paraId="4CB6AA22">
      <w:pPr>
        <w:pStyle w:val="9"/>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21"/>
          <w:rFonts w:hint="eastAsia"/>
        </w:rPr>
        <w:t>1.12 偏离</w:t>
      </w:r>
      <w:r>
        <w:tab/>
      </w:r>
      <w:r>
        <w:fldChar w:fldCharType="begin"/>
      </w:r>
      <w:r>
        <w:instrText xml:space="preserve"> PAGEREF _Toc256000017 \h </w:instrText>
      </w:r>
      <w:r>
        <w:fldChar w:fldCharType="separate"/>
      </w:r>
      <w:r>
        <w:t>18</w:t>
      </w:r>
      <w:r>
        <w:fldChar w:fldCharType="end"/>
      </w:r>
      <w:r>
        <w:fldChar w:fldCharType="end"/>
      </w:r>
    </w:p>
    <w:p w14:paraId="50F4EF54">
      <w:pPr>
        <w:pStyle w:val="14"/>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21"/>
          <w:rFonts w:hint="eastAsia"/>
        </w:rPr>
        <w:t>2. 招标文件</w:t>
      </w:r>
      <w:r>
        <w:tab/>
      </w:r>
      <w:r>
        <w:fldChar w:fldCharType="begin"/>
      </w:r>
      <w:r>
        <w:instrText xml:space="preserve"> PAGEREF _Toc256000018 \h </w:instrText>
      </w:r>
      <w:r>
        <w:fldChar w:fldCharType="separate"/>
      </w:r>
      <w:r>
        <w:t>18</w:t>
      </w:r>
      <w:r>
        <w:fldChar w:fldCharType="end"/>
      </w:r>
      <w:r>
        <w:fldChar w:fldCharType="end"/>
      </w:r>
    </w:p>
    <w:p w14:paraId="30FB8140">
      <w:pPr>
        <w:pStyle w:val="9"/>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21"/>
          <w:rFonts w:hint="eastAsia"/>
        </w:rPr>
        <w:t>2.1 招标文件的组成</w:t>
      </w:r>
      <w:r>
        <w:tab/>
      </w:r>
      <w:r>
        <w:fldChar w:fldCharType="begin"/>
      </w:r>
      <w:r>
        <w:instrText xml:space="preserve"> PAGEREF _Toc256000019 \h </w:instrText>
      </w:r>
      <w:r>
        <w:fldChar w:fldCharType="separate"/>
      </w:r>
      <w:r>
        <w:t>18</w:t>
      </w:r>
      <w:r>
        <w:fldChar w:fldCharType="end"/>
      </w:r>
      <w:r>
        <w:fldChar w:fldCharType="end"/>
      </w:r>
    </w:p>
    <w:p w14:paraId="2B497B6C">
      <w:pPr>
        <w:pStyle w:val="9"/>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21"/>
          <w:rFonts w:hint="eastAsia"/>
        </w:rPr>
        <w:t>2.2 招标文件的澄清</w:t>
      </w:r>
      <w:r>
        <w:tab/>
      </w:r>
      <w:r>
        <w:fldChar w:fldCharType="begin"/>
      </w:r>
      <w:r>
        <w:instrText xml:space="preserve"> PAGEREF _Toc256000020 \h </w:instrText>
      </w:r>
      <w:r>
        <w:fldChar w:fldCharType="separate"/>
      </w:r>
      <w:r>
        <w:t>18</w:t>
      </w:r>
      <w:r>
        <w:fldChar w:fldCharType="end"/>
      </w:r>
      <w:r>
        <w:fldChar w:fldCharType="end"/>
      </w:r>
    </w:p>
    <w:p w14:paraId="103C471A">
      <w:pPr>
        <w:pStyle w:val="9"/>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21"/>
          <w:rFonts w:hint="eastAsia"/>
        </w:rPr>
        <w:t>2.3 招标文件的修改</w:t>
      </w:r>
      <w:r>
        <w:tab/>
      </w:r>
      <w:r>
        <w:fldChar w:fldCharType="begin"/>
      </w:r>
      <w:r>
        <w:instrText xml:space="preserve"> PAGEREF _Toc256000021 \h </w:instrText>
      </w:r>
      <w:r>
        <w:fldChar w:fldCharType="separate"/>
      </w:r>
      <w:r>
        <w:t>19</w:t>
      </w:r>
      <w:r>
        <w:fldChar w:fldCharType="end"/>
      </w:r>
      <w:r>
        <w:fldChar w:fldCharType="end"/>
      </w:r>
    </w:p>
    <w:p w14:paraId="739A6CE1">
      <w:pPr>
        <w:pStyle w:val="9"/>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21"/>
          <w:rFonts w:hint="eastAsia"/>
        </w:rPr>
        <w:t>2.4 招标文件的异议</w:t>
      </w:r>
      <w:r>
        <w:tab/>
      </w:r>
      <w:r>
        <w:fldChar w:fldCharType="begin"/>
      </w:r>
      <w:r>
        <w:instrText xml:space="preserve"> PAGEREF _Toc256000022 \h </w:instrText>
      </w:r>
      <w:r>
        <w:fldChar w:fldCharType="separate"/>
      </w:r>
      <w:r>
        <w:t>19</w:t>
      </w:r>
      <w:r>
        <w:fldChar w:fldCharType="end"/>
      </w:r>
      <w:r>
        <w:fldChar w:fldCharType="end"/>
      </w:r>
    </w:p>
    <w:p w14:paraId="3D1DA668">
      <w:pPr>
        <w:pStyle w:val="14"/>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21"/>
          <w:rFonts w:hint="eastAsia"/>
        </w:rPr>
        <w:t>3. 投标文件</w:t>
      </w:r>
      <w:r>
        <w:tab/>
      </w:r>
      <w:r>
        <w:fldChar w:fldCharType="begin"/>
      </w:r>
      <w:r>
        <w:instrText xml:space="preserve"> PAGEREF _Toc256000023 \h </w:instrText>
      </w:r>
      <w:r>
        <w:fldChar w:fldCharType="separate"/>
      </w:r>
      <w:r>
        <w:t>19</w:t>
      </w:r>
      <w:r>
        <w:fldChar w:fldCharType="end"/>
      </w:r>
      <w:r>
        <w:fldChar w:fldCharType="end"/>
      </w:r>
    </w:p>
    <w:p w14:paraId="6981037A">
      <w:pPr>
        <w:pStyle w:val="9"/>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21"/>
          <w:rFonts w:hint="eastAsia"/>
        </w:rPr>
        <w:t>3.1 投标文件的组成</w:t>
      </w:r>
      <w:r>
        <w:tab/>
      </w:r>
      <w:r>
        <w:fldChar w:fldCharType="begin"/>
      </w:r>
      <w:r>
        <w:instrText xml:space="preserve"> PAGEREF _Toc256000024 \h </w:instrText>
      </w:r>
      <w:r>
        <w:fldChar w:fldCharType="separate"/>
      </w:r>
      <w:r>
        <w:t>19</w:t>
      </w:r>
      <w:r>
        <w:fldChar w:fldCharType="end"/>
      </w:r>
      <w:r>
        <w:fldChar w:fldCharType="end"/>
      </w:r>
    </w:p>
    <w:p w14:paraId="0E71979D">
      <w:pPr>
        <w:pStyle w:val="9"/>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21"/>
          <w:rFonts w:hint="eastAsia"/>
        </w:rPr>
        <w:t>3.2 投标报价</w:t>
      </w:r>
      <w:r>
        <w:tab/>
      </w:r>
      <w:r>
        <w:fldChar w:fldCharType="begin"/>
      </w:r>
      <w:r>
        <w:instrText xml:space="preserve"> PAGEREF _Toc256000025 \h </w:instrText>
      </w:r>
      <w:r>
        <w:fldChar w:fldCharType="separate"/>
      </w:r>
      <w:r>
        <w:t>20</w:t>
      </w:r>
      <w:r>
        <w:fldChar w:fldCharType="end"/>
      </w:r>
      <w:r>
        <w:fldChar w:fldCharType="end"/>
      </w:r>
    </w:p>
    <w:p w14:paraId="38459EF6">
      <w:pPr>
        <w:pStyle w:val="9"/>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21"/>
          <w:rFonts w:hint="eastAsia"/>
        </w:rPr>
        <w:t>3.3 投标有效期</w:t>
      </w:r>
      <w:r>
        <w:tab/>
      </w:r>
      <w:r>
        <w:fldChar w:fldCharType="begin"/>
      </w:r>
      <w:r>
        <w:instrText xml:space="preserve"> PAGEREF _Toc256000026 \h </w:instrText>
      </w:r>
      <w:r>
        <w:fldChar w:fldCharType="separate"/>
      </w:r>
      <w:r>
        <w:t>20</w:t>
      </w:r>
      <w:r>
        <w:fldChar w:fldCharType="end"/>
      </w:r>
      <w:r>
        <w:fldChar w:fldCharType="end"/>
      </w:r>
    </w:p>
    <w:p w14:paraId="4171D96E">
      <w:pPr>
        <w:pStyle w:val="9"/>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21"/>
          <w:rFonts w:hint="eastAsia"/>
        </w:rPr>
        <w:t>3.4 投标保证金</w:t>
      </w:r>
      <w:r>
        <w:tab/>
      </w:r>
      <w:r>
        <w:fldChar w:fldCharType="begin"/>
      </w:r>
      <w:r>
        <w:instrText xml:space="preserve"> PAGEREF _Toc256000027 \h </w:instrText>
      </w:r>
      <w:r>
        <w:fldChar w:fldCharType="separate"/>
      </w:r>
      <w:r>
        <w:t>20</w:t>
      </w:r>
      <w:r>
        <w:fldChar w:fldCharType="end"/>
      </w:r>
      <w:r>
        <w:fldChar w:fldCharType="end"/>
      </w:r>
    </w:p>
    <w:p w14:paraId="4CFD0F00">
      <w:pPr>
        <w:pStyle w:val="9"/>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21"/>
          <w:rFonts w:cs="Times New Roman"/>
        </w:rPr>
        <w:t>3.5 资格审查资料（适用于已进行资格预审的）</w:t>
      </w:r>
      <w:r>
        <w:tab/>
      </w:r>
      <w:r>
        <w:fldChar w:fldCharType="begin"/>
      </w:r>
      <w:r>
        <w:instrText xml:space="preserve"> PAGEREF _Toc256000028 \h </w:instrText>
      </w:r>
      <w:r>
        <w:fldChar w:fldCharType="separate"/>
      </w:r>
      <w:r>
        <w:t>20</w:t>
      </w:r>
      <w:r>
        <w:fldChar w:fldCharType="end"/>
      </w:r>
      <w:r>
        <w:fldChar w:fldCharType="end"/>
      </w:r>
    </w:p>
    <w:p w14:paraId="35A81226">
      <w:pPr>
        <w:pStyle w:val="9"/>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21"/>
          <w:rFonts w:hint="eastAsia"/>
        </w:rPr>
        <w:t>3.5 资格审查资料</w:t>
      </w:r>
      <w:r>
        <w:rPr>
          <w:rStyle w:val="21"/>
          <w:rFonts w:cs="Times New Roman"/>
        </w:rPr>
        <w:t>（适用于未进行资格预审的）</w:t>
      </w:r>
      <w:r>
        <w:tab/>
      </w:r>
      <w:r>
        <w:fldChar w:fldCharType="begin"/>
      </w:r>
      <w:r>
        <w:instrText xml:space="preserve"> PAGEREF _Toc256000029 \h </w:instrText>
      </w:r>
      <w:r>
        <w:fldChar w:fldCharType="separate"/>
      </w:r>
      <w:r>
        <w:t>20</w:t>
      </w:r>
      <w:r>
        <w:fldChar w:fldCharType="end"/>
      </w:r>
      <w:r>
        <w:fldChar w:fldCharType="end"/>
      </w:r>
    </w:p>
    <w:p w14:paraId="1CA11127">
      <w:pPr>
        <w:pStyle w:val="9"/>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21"/>
          <w:rFonts w:hint="eastAsia"/>
        </w:rPr>
        <w:t>3.6 备选投标方案</w:t>
      </w:r>
      <w:r>
        <w:tab/>
      </w:r>
      <w:r>
        <w:fldChar w:fldCharType="begin"/>
      </w:r>
      <w:r>
        <w:instrText xml:space="preserve"> PAGEREF _Toc256000030 \h </w:instrText>
      </w:r>
      <w:r>
        <w:fldChar w:fldCharType="separate"/>
      </w:r>
      <w:r>
        <w:t>21</w:t>
      </w:r>
      <w:r>
        <w:fldChar w:fldCharType="end"/>
      </w:r>
      <w:r>
        <w:fldChar w:fldCharType="end"/>
      </w:r>
    </w:p>
    <w:p w14:paraId="2EEB3DF4">
      <w:pPr>
        <w:pStyle w:val="9"/>
        <w:tabs>
          <w:tab w:val="right" w:leader="dot" w:pos="8296"/>
        </w:tabs>
        <w:rPr>
          <w:rFonts w:asciiTheme="minorHAnsi" w:hAnsiTheme="minorHAnsi"/>
          <w:sz w:val="22"/>
        </w:rPr>
      </w:pPr>
      <w:r>
        <w:fldChar w:fldCharType="begin"/>
      </w:r>
      <w:r>
        <w:instrText xml:space="preserve"> HYPERLINK \l "_Toc256000031" </w:instrText>
      </w:r>
      <w:r>
        <w:fldChar w:fldCharType="separate"/>
      </w:r>
      <w:r>
        <w:rPr>
          <w:rStyle w:val="21"/>
          <w:rFonts w:hint="eastAsia"/>
        </w:rPr>
        <w:t>3.7 投标文件的编制</w:t>
      </w:r>
      <w:r>
        <w:tab/>
      </w:r>
      <w:r>
        <w:fldChar w:fldCharType="begin"/>
      </w:r>
      <w:r>
        <w:instrText xml:space="preserve"> PAGEREF _Toc256000031 \h </w:instrText>
      </w:r>
      <w:r>
        <w:fldChar w:fldCharType="separate"/>
      </w:r>
      <w:r>
        <w:t>21</w:t>
      </w:r>
      <w:r>
        <w:fldChar w:fldCharType="end"/>
      </w:r>
      <w:r>
        <w:fldChar w:fldCharType="end"/>
      </w:r>
    </w:p>
    <w:p w14:paraId="6F0123AF">
      <w:pPr>
        <w:pStyle w:val="14"/>
        <w:tabs>
          <w:tab w:val="right" w:leader="dot" w:pos="8296"/>
        </w:tabs>
        <w:rPr>
          <w:rFonts w:asciiTheme="minorHAnsi" w:hAnsiTheme="minorHAnsi"/>
          <w:sz w:val="22"/>
        </w:rPr>
      </w:pPr>
      <w:r>
        <w:fldChar w:fldCharType="begin"/>
      </w:r>
      <w:r>
        <w:instrText xml:space="preserve"> HYPERLINK \l "_Toc256000032" </w:instrText>
      </w:r>
      <w:r>
        <w:fldChar w:fldCharType="separate"/>
      </w:r>
      <w:r>
        <w:rPr>
          <w:rStyle w:val="21"/>
          <w:rFonts w:hint="eastAsia"/>
        </w:rPr>
        <w:t>4. 投标</w:t>
      </w:r>
      <w:r>
        <w:tab/>
      </w:r>
      <w:r>
        <w:fldChar w:fldCharType="begin"/>
      </w:r>
      <w:r>
        <w:instrText xml:space="preserve"> PAGEREF _Toc256000032 \h </w:instrText>
      </w:r>
      <w:r>
        <w:fldChar w:fldCharType="separate"/>
      </w:r>
      <w:r>
        <w:t>22</w:t>
      </w:r>
      <w:r>
        <w:fldChar w:fldCharType="end"/>
      </w:r>
      <w:r>
        <w:fldChar w:fldCharType="end"/>
      </w:r>
    </w:p>
    <w:p w14:paraId="5F82602C">
      <w:pPr>
        <w:pStyle w:val="9"/>
        <w:tabs>
          <w:tab w:val="right" w:leader="dot" w:pos="8296"/>
        </w:tabs>
        <w:rPr>
          <w:rFonts w:asciiTheme="minorHAnsi" w:hAnsiTheme="minorHAnsi"/>
          <w:sz w:val="22"/>
        </w:rPr>
      </w:pPr>
      <w:r>
        <w:fldChar w:fldCharType="begin"/>
      </w:r>
      <w:r>
        <w:instrText xml:space="preserve"> HYPERLINK \l "_Toc256000033" </w:instrText>
      </w:r>
      <w:r>
        <w:fldChar w:fldCharType="separate"/>
      </w:r>
      <w:r>
        <w:rPr>
          <w:rStyle w:val="21"/>
          <w:rFonts w:hint="eastAsia"/>
        </w:rPr>
        <w:t>4.1 投标文件的加密</w:t>
      </w:r>
      <w:r>
        <w:tab/>
      </w:r>
      <w:r>
        <w:fldChar w:fldCharType="begin"/>
      </w:r>
      <w:r>
        <w:instrText xml:space="preserve"> PAGEREF _Toc256000033 \h </w:instrText>
      </w:r>
      <w:r>
        <w:fldChar w:fldCharType="separate"/>
      </w:r>
      <w:r>
        <w:t>22</w:t>
      </w:r>
      <w:r>
        <w:fldChar w:fldCharType="end"/>
      </w:r>
      <w:r>
        <w:fldChar w:fldCharType="end"/>
      </w:r>
    </w:p>
    <w:p w14:paraId="5993DE0A">
      <w:pPr>
        <w:pStyle w:val="9"/>
        <w:tabs>
          <w:tab w:val="right" w:leader="dot" w:pos="8296"/>
        </w:tabs>
        <w:rPr>
          <w:rFonts w:asciiTheme="minorHAnsi" w:hAnsiTheme="minorHAnsi"/>
          <w:sz w:val="22"/>
        </w:rPr>
      </w:pPr>
      <w:r>
        <w:fldChar w:fldCharType="begin"/>
      </w:r>
      <w:r>
        <w:instrText xml:space="preserve"> HYPERLINK \l "_Toc256000034" </w:instrText>
      </w:r>
      <w:r>
        <w:fldChar w:fldCharType="separate"/>
      </w:r>
      <w:r>
        <w:rPr>
          <w:rStyle w:val="21"/>
          <w:rFonts w:hint="eastAsia"/>
        </w:rPr>
        <w:t>4.2 投标文件的递交</w:t>
      </w:r>
      <w:r>
        <w:tab/>
      </w:r>
      <w:r>
        <w:fldChar w:fldCharType="begin"/>
      </w:r>
      <w:r>
        <w:instrText xml:space="preserve"> PAGEREF _Toc256000034 \h </w:instrText>
      </w:r>
      <w:r>
        <w:fldChar w:fldCharType="separate"/>
      </w:r>
      <w:r>
        <w:t>22</w:t>
      </w:r>
      <w:r>
        <w:fldChar w:fldCharType="end"/>
      </w:r>
      <w:r>
        <w:fldChar w:fldCharType="end"/>
      </w:r>
    </w:p>
    <w:p w14:paraId="2669C260">
      <w:pPr>
        <w:pStyle w:val="9"/>
        <w:tabs>
          <w:tab w:val="right" w:leader="dot" w:pos="8296"/>
        </w:tabs>
        <w:rPr>
          <w:rFonts w:asciiTheme="minorHAnsi" w:hAnsiTheme="minorHAnsi"/>
          <w:sz w:val="22"/>
        </w:rPr>
      </w:pPr>
      <w:r>
        <w:fldChar w:fldCharType="begin"/>
      </w:r>
      <w:r>
        <w:instrText xml:space="preserve"> HYPERLINK \l "_Toc256000035" </w:instrText>
      </w:r>
      <w:r>
        <w:fldChar w:fldCharType="separate"/>
      </w:r>
      <w:r>
        <w:rPr>
          <w:rStyle w:val="21"/>
          <w:rFonts w:hint="eastAsia"/>
        </w:rPr>
        <w:t>4.3 投标文件的修改与撤回</w:t>
      </w:r>
      <w:r>
        <w:tab/>
      </w:r>
      <w:r>
        <w:fldChar w:fldCharType="begin"/>
      </w:r>
      <w:r>
        <w:instrText xml:space="preserve"> PAGEREF _Toc256000035 \h </w:instrText>
      </w:r>
      <w:r>
        <w:fldChar w:fldCharType="separate"/>
      </w:r>
      <w:r>
        <w:t>23</w:t>
      </w:r>
      <w:r>
        <w:fldChar w:fldCharType="end"/>
      </w:r>
      <w:r>
        <w:fldChar w:fldCharType="end"/>
      </w:r>
    </w:p>
    <w:p w14:paraId="4F0F6A3F">
      <w:pPr>
        <w:pStyle w:val="14"/>
        <w:tabs>
          <w:tab w:val="right" w:leader="dot" w:pos="8296"/>
        </w:tabs>
        <w:rPr>
          <w:rFonts w:asciiTheme="minorHAnsi" w:hAnsiTheme="minorHAnsi"/>
          <w:sz w:val="22"/>
        </w:rPr>
      </w:pPr>
      <w:r>
        <w:fldChar w:fldCharType="begin"/>
      </w:r>
      <w:r>
        <w:instrText xml:space="preserve"> HYPERLINK \l "_Toc256000036" </w:instrText>
      </w:r>
      <w:r>
        <w:fldChar w:fldCharType="separate"/>
      </w:r>
      <w:r>
        <w:rPr>
          <w:rStyle w:val="21"/>
          <w:rFonts w:hint="eastAsia"/>
        </w:rPr>
        <w:t>5. 开标</w:t>
      </w:r>
      <w:r>
        <w:tab/>
      </w:r>
      <w:r>
        <w:fldChar w:fldCharType="begin"/>
      </w:r>
      <w:r>
        <w:instrText xml:space="preserve"> PAGEREF _Toc256000036 \h </w:instrText>
      </w:r>
      <w:r>
        <w:fldChar w:fldCharType="separate"/>
      </w:r>
      <w:r>
        <w:t>23</w:t>
      </w:r>
      <w:r>
        <w:fldChar w:fldCharType="end"/>
      </w:r>
      <w:r>
        <w:fldChar w:fldCharType="end"/>
      </w:r>
    </w:p>
    <w:p w14:paraId="50895AD0">
      <w:pPr>
        <w:pStyle w:val="9"/>
        <w:tabs>
          <w:tab w:val="right" w:leader="dot" w:pos="8296"/>
        </w:tabs>
        <w:rPr>
          <w:rFonts w:asciiTheme="minorHAnsi" w:hAnsiTheme="minorHAnsi"/>
          <w:sz w:val="22"/>
        </w:rPr>
      </w:pPr>
      <w:r>
        <w:fldChar w:fldCharType="begin"/>
      </w:r>
      <w:r>
        <w:instrText xml:space="preserve"> HYPERLINK \l "_Toc256000037" </w:instrText>
      </w:r>
      <w:r>
        <w:fldChar w:fldCharType="separate"/>
      </w:r>
      <w:r>
        <w:rPr>
          <w:rStyle w:val="21"/>
          <w:rFonts w:hint="eastAsia"/>
        </w:rPr>
        <w:t>5.1 开标时间和地点</w:t>
      </w:r>
      <w:r>
        <w:tab/>
      </w:r>
      <w:r>
        <w:fldChar w:fldCharType="begin"/>
      </w:r>
      <w:r>
        <w:instrText xml:space="preserve"> PAGEREF _Toc256000037 \h </w:instrText>
      </w:r>
      <w:r>
        <w:fldChar w:fldCharType="separate"/>
      </w:r>
      <w:r>
        <w:t>23</w:t>
      </w:r>
      <w:r>
        <w:fldChar w:fldCharType="end"/>
      </w:r>
      <w:r>
        <w:fldChar w:fldCharType="end"/>
      </w:r>
    </w:p>
    <w:p w14:paraId="202A34C8">
      <w:pPr>
        <w:pStyle w:val="9"/>
        <w:tabs>
          <w:tab w:val="right" w:leader="dot" w:pos="8296"/>
        </w:tabs>
        <w:rPr>
          <w:rFonts w:asciiTheme="minorHAnsi" w:hAnsiTheme="minorHAnsi"/>
          <w:sz w:val="22"/>
        </w:rPr>
      </w:pPr>
      <w:r>
        <w:fldChar w:fldCharType="begin"/>
      </w:r>
      <w:r>
        <w:instrText xml:space="preserve"> HYPERLINK \l "_Toc256000038" </w:instrText>
      </w:r>
      <w:r>
        <w:fldChar w:fldCharType="separate"/>
      </w:r>
      <w:r>
        <w:rPr>
          <w:rStyle w:val="21"/>
          <w:rFonts w:hint="eastAsia"/>
        </w:rPr>
        <w:t>5.2 开标程序</w:t>
      </w:r>
      <w:r>
        <w:tab/>
      </w:r>
      <w:r>
        <w:fldChar w:fldCharType="begin"/>
      </w:r>
      <w:r>
        <w:instrText xml:space="preserve"> PAGEREF _Toc256000038 \h </w:instrText>
      </w:r>
      <w:r>
        <w:fldChar w:fldCharType="separate"/>
      </w:r>
      <w:r>
        <w:t>23</w:t>
      </w:r>
      <w:r>
        <w:fldChar w:fldCharType="end"/>
      </w:r>
      <w:r>
        <w:fldChar w:fldCharType="end"/>
      </w:r>
    </w:p>
    <w:p w14:paraId="2121F12F">
      <w:pPr>
        <w:pStyle w:val="9"/>
        <w:tabs>
          <w:tab w:val="right" w:leader="dot" w:pos="8296"/>
        </w:tabs>
        <w:rPr>
          <w:rFonts w:asciiTheme="minorHAnsi" w:hAnsiTheme="minorHAnsi"/>
          <w:sz w:val="22"/>
        </w:rPr>
      </w:pPr>
      <w:r>
        <w:fldChar w:fldCharType="begin"/>
      </w:r>
      <w:r>
        <w:instrText xml:space="preserve"> HYPERLINK \l "_Toc256000039" </w:instrText>
      </w:r>
      <w:r>
        <w:fldChar w:fldCharType="separate"/>
      </w:r>
      <w:r>
        <w:rPr>
          <w:rStyle w:val="21"/>
          <w:rFonts w:hint="eastAsia"/>
        </w:rPr>
        <w:t>5.3 开标异议</w:t>
      </w:r>
      <w:r>
        <w:tab/>
      </w:r>
      <w:r>
        <w:fldChar w:fldCharType="begin"/>
      </w:r>
      <w:r>
        <w:instrText xml:space="preserve"> PAGEREF _Toc256000039 \h </w:instrText>
      </w:r>
      <w:r>
        <w:fldChar w:fldCharType="separate"/>
      </w:r>
      <w:r>
        <w:t>24</w:t>
      </w:r>
      <w:r>
        <w:fldChar w:fldCharType="end"/>
      </w:r>
      <w:r>
        <w:fldChar w:fldCharType="end"/>
      </w:r>
    </w:p>
    <w:p w14:paraId="59FF74A1">
      <w:pPr>
        <w:pStyle w:val="9"/>
        <w:tabs>
          <w:tab w:val="right" w:leader="dot" w:pos="8296"/>
        </w:tabs>
        <w:rPr>
          <w:rFonts w:asciiTheme="minorHAnsi" w:hAnsiTheme="minorHAnsi"/>
          <w:sz w:val="22"/>
        </w:rPr>
      </w:pPr>
      <w:r>
        <w:fldChar w:fldCharType="begin"/>
      </w:r>
      <w:r>
        <w:instrText xml:space="preserve"> HYPERLINK \l "_Toc256000040" </w:instrText>
      </w:r>
      <w:r>
        <w:fldChar w:fldCharType="separate"/>
      </w:r>
      <w:r>
        <w:rPr>
          <w:rStyle w:val="21"/>
        </w:rPr>
        <w:t>5.</w:t>
      </w:r>
      <w:r>
        <w:rPr>
          <w:rStyle w:val="21"/>
          <w:rFonts w:hint="eastAsia"/>
        </w:rPr>
        <w:t xml:space="preserve">4 </w:t>
      </w:r>
      <w:r>
        <w:rPr>
          <w:rStyle w:val="21"/>
        </w:rPr>
        <w:t>特殊情况的处置</w:t>
      </w:r>
      <w:r>
        <w:tab/>
      </w:r>
      <w:r>
        <w:fldChar w:fldCharType="begin"/>
      </w:r>
      <w:r>
        <w:instrText xml:space="preserve"> PAGEREF _Toc256000040 \h </w:instrText>
      </w:r>
      <w:r>
        <w:fldChar w:fldCharType="separate"/>
      </w:r>
      <w:r>
        <w:t>24</w:t>
      </w:r>
      <w:r>
        <w:fldChar w:fldCharType="end"/>
      </w:r>
      <w:r>
        <w:fldChar w:fldCharType="end"/>
      </w:r>
    </w:p>
    <w:p w14:paraId="42280AAC">
      <w:pPr>
        <w:pStyle w:val="14"/>
        <w:tabs>
          <w:tab w:val="right" w:leader="dot" w:pos="8296"/>
        </w:tabs>
        <w:rPr>
          <w:rFonts w:asciiTheme="minorHAnsi" w:hAnsiTheme="minorHAnsi"/>
          <w:sz w:val="22"/>
        </w:rPr>
      </w:pPr>
      <w:r>
        <w:fldChar w:fldCharType="begin"/>
      </w:r>
      <w:r>
        <w:instrText xml:space="preserve"> HYPERLINK \l "_Toc256000041" </w:instrText>
      </w:r>
      <w:r>
        <w:fldChar w:fldCharType="separate"/>
      </w:r>
      <w:r>
        <w:rPr>
          <w:rStyle w:val="21"/>
          <w:rFonts w:hint="eastAsia"/>
        </w:rPr>
        <w:t>6. 评标</w:t>
      </w:r>
      <w:r>
        <w:tab/>
      </w:r>
      <w:r>
        <w:fldChar w:fldCharType="begin"/>
      </w:r>
      <w:r>
        <w:instrText xml:space="preserve"> PAGEREF _Toc256000041 \h </w:instrText>
      </w:r>
      <w:r>
        <w:fldChar w:fldCharType="separate"/>
      </w:r>
      <w:r>
        <w:t>24</w:t>
      </w:r>
      <w:r>
        <w:fldChar w:fldCharType="end"/>
      </w:r>
      <w:r>
        <w:fldChar w:fldCharType="end"/>
      </w:r>
    </w:p>
    <w:p w14:paraId="36398562">
      <w:pPr>
        <w:pStyle w:val="9"/>
        <w:tabs>
          <w:tab w:val="right" w:leader="dot" w:pos="8296"/>
        </w:tabs>
        <w:rPr>
          <w:rFonts w:asciiTheme="minorHAnsi" w:hAnsiTheme="minorHAnsi"/>
          <w:sz w:val="22"/>
        </w:rPr>
      </w:pPr>
      <w:r>
        <w:fldChar w:fldCharType="begin"/>
      </w:r>
      <w:r>
        <w:instrText xml:space="preserve"> HYPERLINK \l "_Toc256000042" </w:instrText>
      </w:r>
      <w:r>
        <w:fldChar w:fldCharType="separate"/>
      </w:r>
      <w:r>
        <w:rPr>
          <w:rStyle w:val="21"/>
          <w:rFonts w:hint="eastAsia"/>
        </w:rPr>
        <w:t>6.1 评标委员会</w:t>
      </w:r>
      <w:r>
        <w:tab/>
      </w:r>
      <w:r>
        <w:fldChar w:fldCharType="begin"/>
      </w:r>
      <w:r>
        <w:instrText xml:space="preserve"> PAGEREF _Toc256000042 \h </w:instrText>
      </w:r>
      <w:r>
        <w:fldChar w:fldCharType="separate"/>
      </w:r>
      <w:r>
        <w:t>24</w:t>
      </w:r>
      <w:r>
        <w:fldChar w:fldCharType="end"/>
      </w:r>
      <w:r>
        <w:fldChar w:fldCharType="end"/>
      </w:r>
    </w:p>
    <w:p w14:paraId="65E7E096">
      <w:pPr>
        <w:pStyle w:val="9"/>
        <w:tabs>
          <w:tab w:val="right" w:leader="dot" w:pos="8296"/>
        </w:tabs>
        <w:rPr>
          <w:rFonts w:asciiTheme="minorHAnsi" w:hAnsiTheme="minorHAnsi"/>
          <w:sz w:val="22"/>
        </w:rPr>
      </w:pPr>
      <w:r>
        <w:fldChar w:fldCharType="begin"/>
      </w:r>
      <w:r>
        <w:instrText xml:space="preserve"> HYPERLINK \l "_Toc256000043" </w:instrText>
      </w:r>
      <w:r>
        <w:fldChar w:fldCharType="separate"/>
      </w:r>
      <w:r>
        <w:rPr>
          <w:rStyle w:val="21"/>
          <w:rFonts w:hint="eastAsia"/>
        </w:rPr>
        <w:t>6.2 评标原则</w:t>
      </w:r>
      <w:r>
        <w:tab/>
      </w:r>
      <w:r>
        <w:fldChar w:fldCharType="begin"/>
      </w:r>
      <w:r>
        <w:instrText xml:space="preserve"> PAGEREF _Toc256000043 \h </w:instrText>
      </w:r>
      <w:r>
        <w:fldChar w:fldCharType="separate"/>
      </w:r>
      <w:r>
        <w:t>25</w:t>
      </w:r>
      <w:r>
        <w:fldChar w:fldCharType="end"/>
      </w:r>
      <w:r>
        <w:fldChar w:fldCharType="end"/>
      </w:r>
    </w:p>
    <w:p w14:paraId="28FC5299">
      <w:pPr>
        <w:pStyle w:val="9"/>
        <w:tabs>
          <w:tab w:val="right" w:leader="dot" w:pos="8296"/>
        </w:tabs>
        <w:rPr>
          <w:rFonts w:asciiTheme="minorHAnsi" w:hAnsiTheme="minorHAnsi"/>
          <w:sz w:val="22"/>
        </w:rPr>
      </w:pPr>
      <w:r>
        <w:fldChar w:fldCharType="begin"/>
      </w:r>
      <w:r>
        <w:instrText xml:space="preserve"> HYPERLINK \l "_Toc256000044" </w:instrText>
      </w:r>
      <w:r>
        <w:fldChar w:fldCharType="separate"/>
      </w:r>
      <w:r>
        <w:rPr>
          <w:rStyle w:val="21"/>
          <w:rFonts w:hint="eastAsia"/>
        </w:rPr>
        <w:t>6.3 评标</w:t>
      </w:r>
      <w:r>
        <w:tab/>
      </w:r>
      <w:r>
        <w:fldChar w:fldCharType="begin"/>
      </w:r>
      <w:r>
        <w:instrText xml:space="preserve"> PAGEREF _Toc256000044 \h </w:instrText>
      </w:r>
      <w:r>
        <w:fldChar w:fldCharType="separate"/>
      </w:r>
      <w:r>
        <w:t>25</w:t>
      </w:r>
      <w:r>
        <w:fldChar w:fldCharType="end"/>
      </w:r>
      <w:r>
        <w:fldChar w:fldCharType="end"/>
      </w:r>
    </w:p>
    <w:p w14:paraId="44B22C13">
      <w:pPr>
        <w:pStyle w:val="9"/>
        <w:tabs>
          <w:tab w:val="right" w:leader="dot" w:pos="8296"/>
        </w:tabs>
        <w:rPr>
          <w:rFonts w:asciiTheme="minorHAnsi" w:hAnsiTheme="minorHAnsi"/>
          <w:sz w:val="22"/>
        </w:rPr>
      </w:pPr>
      <w:r>
        <w:fldChar w:fldCharType="begin"/>
      </w:r>
      <w:r>
        <w:instrText xml:space="preserve"> HYPERLINK \l "_Toc256000045" </w:instrText>
      </w:r>
      <w:r>
        <w:fldChar w:fldCharType="separate"/>
      </w:r>
      <w:r>
        <w:rPr>
          <w:rStyle w:val="21"/>
          <w:rFonts w:hint="eastAsia"/>
        </w:rPr>
        <w:t>6.4 评标结果公示</w:t>
      </w:r>
      <w:r>
        <w:tab/>
      </w:r>
      <w:r>
        <w:fldChar w:fldCharType="begin"/>
      </w:r>
      <w:r>
        <w:instrText xml:space="preserve"> PAGEREF _Toc256000045 \h </w:instrText>
      </w:r>
      <w:r>
        <w:fldChar w:fldCharType="separate"/>
      </w:r>
      <w:r>
        <w:t>25</w:t>
      </w:r>
      <w:r>
        <w:fldChar w:fldCharType="end"/>
      </w:r>
      <w:r>
        <w:fldChar w:fldCharType="end"/>
      </w:r>
    </w:p>
    <w:p w14:paraId="6E12ABC2">
      <w:pPr>
        <w:pStyle w:val="9"/>
        <w:tabs>
          <w:tab w:val="right" w:leader="dot" w:pos="8296"/>
        </w:tabs>
        <w:rPr>
          <w:rFonts w:asciiTheme="minorHAnsi" w:hAnsiTheme="minorHAnsi"/>
          <w:sz w:val="22"/>
        </w:rPr>
      </w:pPr>
      <w:r>
        <w:fldChar w:fldCharType="begin"/>
      </w:r>
      <w:r>
        <w:instrText xml:space="preserve"> HYPERLINK \l "_Toc256000046" </w:instrText>
      </w:r>
      <w:r>
        <w:fldChar w:fldCharType="separate"/>
      </w:r>
      <w:r>
        <w:rPr>
          <w:rStyle w:val="21"/>
          <w:rFonts w:hint="eastAsia"/>
        </w:rPr>
        <w:t>6</w:t>
      </w:r>
      <w:r>
        <w:rPr>
          <w:rStyle w:val="21"/>
        </w:rPr>
        <w:t>.</w:t>
      </w:r>
      <w:r>
        <w:rPr>
          <w:rStyle w:val="21"/>
          <w:rFonts w:hint="eastAsia"/>
        </w:rPr>
        <w:t>5</w:t>
      </w:r>
      <w:r>
        <w:rPr>
          <w:rStyle w:val="21"/>
        </w:rPr>
        <w:t xml:space="preserve"> </w:t>
      </w:r>
      <w:r>
        <w:rPr>
          <w:rStyle w:val="21"/>
          <w:rFonts w:hint="eastAsia"/>
        </w:rPr>
        <w:t>履约能力的核查（如有）</w:t>
      </w:r>
      <w:r>
        <w:tab/>
      </w:r>
      <w:r>
        <w:fldChar w:fldCharType="begin"/>
      </w:r>
      <w:r>
        <w:instrText xml:space="preserve"> PAGEREF _Toc256000046 \h </w:instrText>
      </w:r>
      <w:r>
        <w:fldChar w:fldCharType="separate"/>
      </w:r>
      <w:r>
        <w:t>25</w:t>
      </w:r>
      <w:r>
        <w:fldChar w:fldCharType="end"/>
      </w:r>
      <w:r>
        <w:fldChar w:fldCharType="end"/>
      </w:r>
    </w:p>
    <w:p w14:paraId="3BD68A7C">
      <w:pPr>
        <w:pStyle w:val="14"/>
        <w:tabs>
          <w:tab w:val="right" w:leader="dot" w:pos="8296"/>
        </w:tabs>
        <w:rPr>
          <w:rFonts w:asciiTheme="minorHAnsi" w:hAnsiTheme="minorHAnsi"/>
          <w:sz w:val="22"/>
        </w:rPr>
      </w:pPr>
      <w:r>
        <w:fldChar w:fldCharType="begin"/>
      </w:r>
      <w:r>
        <w:instrText xml:space="preserve"> HYPERLINK \l "_Toc256000047" </w:instrText>
      </w:r>
      <w:r>
        <w:fldChar w:fldCharType="separate"/>
      </w:r>
      <w:r>
        <w:rPr>
          <w:rStyle w:val="21"/>
          <w:rFonts w:hint="eastAsia"/>
        </w:rPr>
        <w:t>7. 合同授予</w:t>
      </w:r>
      <w:r>
        <w:tab/>
      </w:r>
      <w:r>
        <w:fldChar w:fldCharType="begin"/>
      </w:r>
      <w:r>
        <w:instrText xml:space="preserve"> PAGEREF _Toc256000047 \h </w:instrText>
      </w:r>
      <w:r>
        <w:fldChar w:fldCharType="separate"/>
      </w:r>
      <w:r>
        <w:t>25</w:t>
      </w:r>
      <w:r>
        <w:fldChar w:fldCharType="end"/>
      </w:r>
      <w:r>
        <w:fldChar w:fldCharType="end"/>
      </w:r>
    </w:p>
    <w:p w14:paraId="58EC27A9">
      <w:pPr>
        <w:pStyle w:val="9"/>
        <w:tabs>
          <w:tab w:val="right" w:leader="dot" w:pos="8296"/>
        </w:tabs>
        <w:rPr>
          <w:rFonts w:asciiTheme="minorHAnsi" w:hAnsiTheme="minorHAnsi"/>
          <w:sz w:val="22"/>
        </w:rPr>
      </w:pPr>
      <w:r>
        <w:fldChar w:fldCharType="begin"/>
      </w:r>
      <w:r>
        <w:instrText xml:space="preserve"> HYPERLINK \l "_Toc256000048" </w:instrText>
      </w:r>
      <w:r>
        <w:fldChar w:fldCharType="separate"/>
      </w:r>
      <w:r>
        <w:rPr>
          <w:rStyle w:val="21"/>
          <w:rFonts w:hint="eastAsia"/>
        </w:rPr>
        <w:t>7.1 定标方式</w:t>
      </w:r>
      <w:r>
        <w:tab/>
      </w:r>
      <w:r>
        <w:fldChar w:fldCharType="begin"/>
      </w:r>
      <w:r>
        <w:instrText xml:space="preserve"> PAGEREF _Toc256000048 \h </w:instrText>
      </w:r>
      <w:r>
        <w:fldChar w:fldCharType="separate"/>
      </w:r>
      <w:r>
        <w:t>25</w:t>
      </w:r>
      <w:r>
        <w:fldChar w:fldCharType="end"/>
      </w:r>
      <w:r>
        <w:fldChar w:fldCharType="end"/>
      </w:r>
    </w:p>
    <w:p w14:paraId="7E5AA455">
      <w:pPr>
        <w:pStyle w:val="9"/>
        <w:tabs>
          <w:tab w:val="right" w:leader="dot" w:pos="8296"/>
        </w:tabs>
        <w:rPr>
          <w:rFonts w:asciiTheme="minorHAnsi" w:hAnsiTheme="minorHAnsi"/>
          <w:sz w:val="22"/>
        </w:rPr>
      </w:pPr>
      <w:r>
        <w:fldChar w:fldCharType="begin"/>
      </w:r>
      <w:r>
        <w:instrText xml:space="preserve"> HYPERLINK \l "_Toc256000049" </w:instrText>
      </w:r>
      <w:r>
        <w:fldChar w:fldCharType="separate"/>
      </w:r>
      <w:r>
        <w:rPr>
          <w:rStyle w:val="21"/>
          <w:rFonts w:hint="eastAsia"/>
        </w:rPr>
        <w:t>7.2 中标通知</w:t>
      </w:r>
      <w:r>
        <w:tab/>
      </w:r>
      <w:r>
        <w:fldChar w:fldCharType="begin"/>
      </w:r>
      <w:r>
        <w:instrText xml:space="preserve"> PAGEREF _Toc256000049 \h </w:instrText>
      </w:r>
      <w:r>
        <w:fldChar w:fldCharType="separate"/>
      </w:r>
      <w:r>
        <w:t>25</w:t>
      </w:r>
      <w:r>
        <w:fldChar w:fldCharType="end"/>
      </w:r>
      <w:r>
        <w:fldChar w:fldCharType="end"/>
      </w:r>
    </w:p>
    <w:p w14:paraId="56D3F94A">
      <w:pPr>
        <w:pStyle w:val="9"/>
        <w:tabs>
          <w:tab w:val="right" w:leader="dot" w:pos="8296"/>
        </w:tabs>
        <w:rPr>
          <w:rFonts w:asciiTheme="minorHAnsi" w:hAnsiTheme="minorHAnsi"/>
          <w:sz w:val="22"/>
        </w:rPr>
      </w:pPr>
      <w:r>
        <w:fldChar w:fldCharType="begin"/>
      </w:r>
      <w:r>
        <w:instrText xml:space="preserve"> HYPERLINK \l "_Toc256000050" </w:instrText>
      </w:r>
      <w:r>
        <w:fldChar w:fldCharType="separate"/>
      </w:r>
      <w:r>
        <w:rPr>
          <w:rStyle w:val="21"/>
          <w:rFonts w:hint="eastAsia"/>
        </w:rPr>
        <w:t>7.3 履约保证金</w:t>
      </w:r>
      <w:r>
        <w:tab/>
      </w:r>
      <w:r>
        <w:fldChar w:fldCharType="begin"/>
      </w:r>
      <w:r>
        <w:instrText xml:space="preserve"> PAGEREF _Toc256000050 \h </w:instrText>
      </w:r>
      <w:r>
        <w:fldChar w:fldCharType="separate"/>
      </w:r>
      <w:r>
        <w:t>26</w:t>
      </w:r>
      <w:r>
        <w:fldChar w:fldCharType="end"/>
      </w:r>
      <w:r>
        <w:fldChar w:fldCharType="end"/>
      </w:r>
    </w:p>
    <w:p w14:paraId="2A430D68">
      <w:pPr>
        <w:pStyle w:val="9"/>
        <w:tabs>
          <w:tab w:val="right" w:leader="dot" w:pos="8296"/>
        </w:tabs>
        <w:rPr>
          <w:rFonts w:asciiTheme="minorHAnsi" w:hAnsiTheme="minorHAnsi"/>
          <w:sz w:val="22"/>
        </w:rPr>
      </w:pPr>
      <w:r>
        <w:fldChar w:fldCharType="begin"/>
      </w:r>
      <w:r>
        <w:instrText xml:space="preserve"> HYPERLINK \l "_Toc256000051" </w:instrText>
      </w:r>
      <w:r>
        <w:fldChar w:fldCharType="separate"/>
      </w:r>
      <w:r>
        <w:rPr>
          <w:rStyle w:val="21"/>
          <w:rFonts w:hint="eastAsia"/>
        </w:rPr>
        <w:t>7.4 签订合同</w:t>
      </w:r>
      <w:r>
        <w:tab/>
      </w:r>
      <w:r>
        <w:fldChar w:fldCharType="begin"/>
      </w:r>
      <w:r>
        <w:instrText xml:space="preserve"> PAGEREF _Toc256000051 \h </w:instrText>
      </w:r>
      <w:r>
        <w:fldChar w:fldCharType="separate"/>
      </w:r>
      <w:r>
        <w:t>26</w:t>
      </w:r>
      <w:r>
        <w:fldChar w:fldCharType="end"/>
      </w:r>
      <w:r>
        <w:fldChar w:fldCharType="end"/>
      </w:r>
    </w:p>
    <w:p w14:paraId="19C5DB7D">
      <w:pPr>
        <w:pStyle w:val="14"/>
        <w:tabs>
          <w:tab w:val="right" w:leader="dot" w:pos="8296"/>
        </w:tabs>
        <w:rPr>
          <w:rFonts w:asciiTheme="minorHAnsi" w:hAnsiTheme="minorHAnsi"/>
          <w:sz w:val="22"/>
        </w:rPr>
      </w:pPr>
      <w:r>
        <w:fldChar w:fldCharType="begin"/>
      </w:r>
      <w:r>
        <w:instrText xml:space="preserve"> HYPERLINK \l "_Toc256000052" </w:instrText>
      </w:r>
      <w:r>
        <w:fldChar w:fldCharType="separate"/>
      </w:r>
      <w:r>
        <w:rPr>
          <w:rStyle w:val="21"/>
          <w:rFonts w:hint="eastAsia"/>
        </w:rPr>
        <w:t>8. 重新招标、不再招标和终止招标</w:t>
      </w:r>
      <w:r>
        <w:tab/>
      </w:r>
      <w:r>
        <w:fldChar w:fldCharType="begin"/>
      </w:r>
      <w:r>
        <w:instrText xml:space="preserve"> PAGEREF _Toc256000052 \h </w:instrText>
      </w:r>
      <w:r>
        <w:fldChar w:fldCharType="separate"/>
      </w:r>
      <w:r>
        <w:t>26</w:t>
      </w:r>
      <w:r>
        <w:fldChar w:fldCharType="end"/>
      </w:r>
      <w:r>
        <w:fldChar w:fldCharType="end"/>
      </w:r>
    </w:p>
    <w:p w14:paraId="51B046EA">
      <w:pPr>
        <w:pStyle w:val="9"/>
        <w:tabs>
          <w:tab w:val="right" w:leader="dot" w:pos="8296"/>
        </w:tabs>
        <w:rPr>
          <w:rFonts w:asciiTheme="minorHAnsi" w:hAnsiTheme="minorHAnsi"/>
          <w:sz w:val="22"/>
        </w:rPr>
      </w:pPr>
      <w:r>
        <w:fldChar w:fldCharType="begin"/>
      </w:r>
      <w:r>
        <w:instrText xml:space="preserve"> HYPERLINK \l "_Toc256000053" </w:instrText>
      </w:r>
      <w:r>
        <w:fldChar w:fldCharType="separate"/>
      </w:r>
      <w:r>
        <w:rPr>
          <w:rStyle w:val="21"/>
          <w:rFonts w:hint="eastAsia"/>
        </w:rPr>
        <w:t>8.1 重新招标</w:t>
      </w:r>
      <w:r>
        <w:tab/>
      </w:r>
      <w:r>
        <w:fldChar w:fldCharType="begin"/>
      </w:r>
      <w:r>
        <w:instrText xml:space="preserve"> PAGEREF _Toc256000053 \h </w:instrText>
      </w:r>
      <w:r>
        <w:fldChar w:fldCharType="separate"/>
      </w:r>
      <w:r>
        <w:t>26</w:t>
      </w:r>
      <w:r>
        <w:fldChar w:fldCharType="end"/>
      </w:r>
      <w:r>
        <w:fldChar w:fldCharType="end"/>
      </w:r>
    </w:p>
    <w:p w14:paraId="2FDF9341">
      <w:pPr>
        <w:pStyle w:val="9"/>
        <w:tabs>
          <w:tab w:val="right" w:leader="dot" w:pos="8296"/>
        </w:tabs>
        <w:rPr>
          <w:rFonts w:asciiTheme="minorHAnsi" w:hAnsiTheme="minorHAnsi"/>
          <w:sz w:val="22"/>
        </w:rPr>
      </w:pPr>
      <w:r>
        <w:fldChar w:fldCharType="begin"/>
      </w:r>
      <w:r>
        <w:instrText xml:space="preserve"> HYPERLINK \l "_Toc256000054" </w:instrText>
      </w:r>
      <w:r>
        <w:fldChar w:fldCharType="separate"/>
      </w:r>
      <w:r>
        <w:rPr>
          <w:rStyle w:val="21"/>
          <w:rFonts w:hint="eastAsia"/>
        </w:rPr>
        <w:t>8.2 不再招标</w:t>
      </w:r>
      <w:r>
        <w:tab/>
      </w:r>
      <w:r>
        <w:fldChar w:fldCharType="begin"/>
      </w:r>
      <w:r>
        <w:instrText xml:space="preserve"> PAGEREF _Toc256000054 \h </w:instrText>
      </w:r>
      <w:r>
        <w:fldChar w:fldCharType="separate"/>
      </w:r>
      <w:r>
        <w:t>26</w:t>
      </w:r>
      <w:r>
        <w:fldChar w:fldCharType="end"/>
      </w:r>
      <w:r>
        <w:fldChar w:fldCharType="end"/>
      </w:r>
    </w:p>
    <w:p w14:paraId="1E350EA9">
      <w:pPr>
        <w:pStyle w:val="9"/>
        <w:tabs>
          <w:tab w:val="right" w:leader="dot" w:pos="8296"/>
        </w:tabs>
        <w:rPr>
          <w:rFonts w:asciiTheme="minorHAnsi" w:hAnsiTheme="minorHAnsi"/>
          <w:sz w:val="22"/>
        </w:rPr>
      </w:pPr>
      <w:r>
        <w:fldChar w:fldCharType="begin"/>
      </w:r>
      <w:r>
        <w:instrText xml:space="preserve"> HYPERLINK \l "_Toc256000055" </w:instrText>
      </w:r>
      <w:r>
        <w:fldChar w:fldCharType="separate"/>
      </w:r>
      <w:r>
        <w:rPr>
          <w:rStyle w:val="21"/>
          <w:rFonts w:hint="eastAsia"/>
        </w:rPr>
        <w:t>8.3 终止招标</w:t>
      </w:r>
      <w:r>
        <w:tab/>
      </w:r>
      <w:r>
        <w:fldChar w:fldCharType="begin"/>
      </w:r>
      <w:r>
        <w:instrText xml:space="preserve"> PAGEREF _Toc256000055 \h </w:instrText>
      </w:r>
      <w:r>
        <w:fldChar w:fldCharType="separate"/>
      </w:r>
      <w:r>
        <w:t>27</w:t>
      </w:r>
      <w:r>
        <w:fldChar w:fldCharType="end"/>
      </w:r>
      <w:r>
        <w:fldChar w:fldCharType="end"/>
      </w:r>
    </w:p>
    <w:p w14:paraId="424B349B">
      <w:pPr>
        <w:pStyle w:val="14"/>
        <w:tabs>
          <w:tab w:val="right" w:leader="dot" w:pos="8296"/>
        </w:tabs>
        <w:rPr>
          <w:rFonts w:asciiTheme="minorHAnsi" w:hAnsiTheme="minorHAnsi"/>
          <w:sz w:val="22"/>
        </w:rPr>
      </w:pPr>
      <w:r>
        <w:fldChar w:fldCharType="begin"/>
      </w:r>
      <w:r>
        <w:instrText xml:space="preserve"> HYPERLINK \l "_Toc256000056" </w:instrText>
      </w:r>
      <w:r>
        <w:fldChar w:fldCharType="separate"/>
      </w:r>
      <w:r>
        <w:rPr>
          <w:rStyle w:val="21"/>
          <w:rFonts w:hint="eastAsia"/>
        </w:rPr>
        <w:t>9. 纪律和监督</w:t>
      </w:r>
      <w:r>
        <w:tab/>
      </w:r>
      <w:r>
        <w:fldChar w:fldCharType="begin"/>
      </w:r>
      <w:r>
        <w:instrText xml:space="preserve"> PAGEREF _Toc256000056 \h </w:instrText>
      </w:r>
      <w:r>
        <w:fldChar w:fldCharType="separate"/>
      </w:r>
      <w:r>
        <w:t>27</w:t>
      </w:r>
      <w:r>
        <w:fldChar w:fldCharType="end"/>
      </w:r>
      <w:r>
        <w:fldChar w:fldCharType="end"/>
      </w:r>
    </w:p>
    <w:p w14:paraId="13A8F84F">
      <w:pPr>
        <w:pStyle w:val="9"/>
        <w:tabs>
          <w:tab w:val="right" w:leader="dot" w:pos="8296"/>
        </w:tabs>
        <w:rPr>
          <w:rFonts w:asciiTheme="minorHAnsi" w:hAnsiTheme="minorHAnsi"/>
          <w:sz w:val="22"/>
        </w:rPr>
      </w:pPr>
      <w:r>
        <w:fldChar w:fldCharType="begin"/>
      </w:r>
      <w:r>
        <w:instrText xml:space="preserve"> HYPERLINK \l "_Toc256000057" </w:instrText>
      </w:r>
      <w:r>
        <w:fldChar w:fldCharType="separate"/>
      </w:r>
      <w:r>
        <w:rPr>
          <w:rStyle w:val="21"/>
          <w:rFonts w:hint="eastAsia"/>
        </w:rPr>
        <w:t>9.1 对招标人的纪律要求</w:t>
      </w:r>
      <w:r>
        <w:tab/>
      </w:r>
      <w:r>
        <w:fldChar w:fldCharType="begin"/>
      </w:r>
      <w:r>
        <w:instrText xml:space="preserve"> PAGEREF _Toc256000057 \h </w:instrText>
      </w:r>
      <w:r>
        <w:fldChar w:fldCharType="separate"/>
      </w:r>
      <w:r>
        <w:t>27</w:t>
      </w:r>
      <w:r>
        <w:fldChar w:fldCharType="end"/>
      </w:r>
      <w:r>
        <w:fldChar w:fldCharType="end"/>
      </w:r>
    </w:p>
    <w:p w14:paraId="307B0651">
      <w:pPr>
        <w:pStyle w:val="9"/>
        <w:tabs>
          <w:tab w:val="right" w:leader="dot" w:pos="8296"/>
        </w:tabs>
        <w:rPr>
          <w:rFonts w:asciiTheme="minorHAnsi" w:hAnsiTheme="minorHAnsi"/>
          <w:sz w:val="22"/>
        </w:rPr>
      </w:pPr>
      <w:r>
        <w:fldChar w:fldCharType="begin"/>
      </w:r>
      <w:r>
        <w:instrText xml:space="preserve"> HYPERLINK \l "_Toc256000058" </w:instrText>
      </w:r>
      <w:r>
        <w:fldChar w:fldCharType="separate"/>
      </w:r>
      <w:r>
        <w:rPr>
          <w:rStyle w:val="21"/>
          <w:rFonts w:hint="eastAsia"/>
        </w:rPr>
        <w:t>9.2 对投标人的纪律要求</w:t>
      </w:r>
      <w:r>
        <w:tab/>
      </w:r>
      <w:r>
        <w:fldChar w:fldCharType="begin"/>
      </w:r>
      <w:r>
        <w:instrText xml:space="preserve"> PAGEREF _Toc256000058 \h </w:instrText>
      </w:r>
      <w:r>
        <w:fldChar w:fldCharType="separate"/>
      </w:r>
      <w:r>
        <w:t>27</w:t>
      </w:r>
      <w:r>
        <w:fldChar w:fldCharType="end"/>
      </w:r>
      <w:r>
        <w:fldChar w:fldCharType="end"/>
      </w:r>
    </w:p>
    <w:p w14:paraId="69F66B84">
      <w:pPr>
        <w:pStyle w:val="9"/>
        <w:tabs>
          <w:tab w:val="right" w:leader="dot" w:pos="8296"/>
        </w:tabs>
        <w:rPr>
          <w:rFonts w:asciiTheme="minorHAnsi" w:hAnsiTheme="minorHAnsi"/>
          <w:sz w:val="22"/>
        </w:rPr>
      </w:pPr>
      <w:r>
        <w:fldChar w:fldCharType="begin"/>
      </w:r>
      <w:r>
        <w:instrText xml:space="preserve"> HYPERLINK \l "_Toc256000059" </w:instrText>
      </w:r>
      <w:r>
        <w:fldChar w:fldCharType="separate"/>
      </w:r>
      <w:r>
        <w:rPr>
          <w:rStyle w:val="21"/>
          <w:rFonts w:hint="eastAsia"/>
        </w:rPr>
        <w:t>9.3 对评标委员会成员的纪律要求</w:t>
      </w:r>
      <w:r>
        <w:tab/>
      </w:r>
      <w:r>
        <w:fldChar w:fldCharType="begin"/>
      </w:r>
      <w:r>
        <w:instrText xml:space="preserve"> PAGEREF _Toc256000059 \h </w:instrText>
      </w:r>
      <w:r>
        <w:fldChar w:fldCharType="separate"/>
      </w:r>
      <w:r>
        <w:t>27</w:t>
      </w:r>
      <w:r>
        <w:fldChar w:fldCharType="end"/>
      </w:r>
      <w:r>
        <w:fldChar w:fldCharType="end"/>
      </w:r>
    </w:p>
    <w:p w14:paraId="0983A075">
      <w:pPr>
        <w:pStyle w:val="9"/>
        <w:tabs>
          <w:tab w:val="right" w:leader="dot" w:pos="8296"/>
        </w:tabs>
        <w:rPr>
          <w:rFonts w:asciiTheme="minorHAnsi" w:hAnsiTheme="minorHAnsi"/>
          <w:sz w:val="22"/>
        </w:rPr>
      </w:pPr>
      <w:r>
        <w:fldChar w:fldCharType="begin"/>
      </w:r>
      <w:r>
        <w:instrText xml:space="preserve"> HYPERLINK \l "_Toc256000060" </w:instrText>
      </w:r>
      <w:r>
        <w:fldChar w:fldCharType="separate"/>
      </w:r>
      <w:r>
        <w:rPr>
          <w:rStyle w:val="21"/>
          <w:rFonts w:hint="eastAsia"/>
        </w:rPr>
        <w:t>9.4 对与评标活动有关的工作人员的纪律要求</w:t>
      </w:r>
      <w:r>
        <w:tab/>
      </w:r>
      <w:r>
        <w:fldChar w:fldCharType="begin"/>
      </w:r>
      <w:r>
        <w:instrText xml:space="preserve"> PAGEREF _Toc256000060 \h </w:instrText>
      </w:r>
      <w:r>
        <w:fldChar w:fldCharType="separate"/>
      </w:r>
      <w:r>
        <w:t>27</w:t>
      </w:r>
      <w:r>
        <w:fldChar w:fldCharType="end"/>
      </w:r>
      <w:r>
        <w:fldChar w:fldCharType="end"/>
      </w:r>
    </w:p>
    <w:p w14:paraId="3F4B8CC5">
      <w:pPr>
        <w:pStyle w:val="9"/>
        <w:tabs>
          <w:tab w:val="right" w:leader="dot" w:pos="8296"/>
        </w:tabs>
        <w:rPr>
          <w:rFonts w:asciiTheme="minorHAnsi" w:hAnsiTheme="minorHAnsi"/>
          <w:sz w:val="22"/>
        </w:rPr>
      </w:pPr>
      <w:r>
        <w:fldChar w:fldCharType="begin"/>
      </w:r>
      <w:r>
        <w:instrText xml:space="preserve"> HYPERLINK \l "_Toc256000061" </w:instrText>
      </w:r>
      <w:r>
        <w:fldChar w:fldCharType="separate"/>
      </w:r>
      <w:r>
        <w:rPr>
          <w:rStyle w:val="21"/>
          <w:rFonts w:hint="eastAsia"/>
        </w:rPr>
        <w:t>9.5 投诉</w:t>
      </w:r>
      <w:r>
        <w:tab/>
      </w:r>
      <w:r>
        <w:fldChar w:fldCharType="begin"/>
      </w:r>
      <w:r>
        <w:instrText xml:space="preserve"> PAGEREF _Toc256000061 \h </w:instrText>
      </w:r>
      <w:r>
        <w:fldChar w:fldCharType="separate"/>
      </w:r>
      <w:r>
        <w:t>27</w:t>
      </w:r>
      <w:r>
        <w:fldChar w:fldCharType="end"/>
      </w:r>
      <w:r>
        <w:fldChar w:fldCharType="end"/>
      </w:r>
    </w:p>
    <w:p w14:paraId="7AF0D639">
      <w:pPr>
        <w:pStyle w:val="14"/>
        <w:tabs>
          <w:tab w:val="right" w:leader="dot" w:pos="8296"/>
        </w:tabs>
        <w:rPr>
          <w:rFonts w:asciiTheme="minorHAnsi" w:hAnsiTheme="minorHAnsi"/>
          <w:sz w:val="22"/>
        </w:rPr>
      </w:pPr>
      <w:r>
        <w:fldChar w:fldCharType="begin"/>
      </w:r>
      <w:r>
        <w:instrText xml:space="preserve"> HYPERLINK \l "_Toc256000062" </w:instrText>
      </w:r>
      <w:r>
        <w:fldChar w:fldCharType="separate"/>
      </w:r>
      <w:r>
        <w:rPr>
          <w:rStyle w:val="21"/>
          <w:rFonts w:hint="eastAsia"/>
        </w:rPr>
        <w:t>10. 需要补充的其他内容</w:t>
      </w:r>
      <w:r>
        <w:tab/>
      </w:r>
      <w:r>
        <w:fldChar w:fldCharType="begin"/>
      </w:r>
      <w:r>
        <w:instrText xml:space="preserve"> PAGEREF _Toc256000062 \h </w:instrText>
      </w:r>
      <w:r>
        <w:fldChar w:fldCharType="separate"/>
      </w:r>
      <w:r>
        <w:t>28</w:t>
      </w:r>
      <w:r>
        <w:fldChar w:fldCharType="end"/>
      </w:r>
      <w:r>
        <w:fldChar w:fldCharType="end"/>
      </w:r>
    </w:p>
    <w:p w14:paraId="094D94E5">
      <w:pPr>
        <w:pStyle w:val="9"/>
        <w:tabs>
          <w:tab w:val="right" w:leader="dot" w:pos="8296"/>
        </w:tabs>
        <w:rPr>
          <w:rFonts w:asciiTheme="minorHAnsi" w:hAnsiTheme="minorHAnsi"/>
          <w:sz w:val="22"/>
        </w:rPr>
      </w:pPr>
      <w:r>
        <w:fldChar w:fldCharType="begin"/>
      </w:r>
      <w:r>
        <w:instrText xml:space="preserve"> HYPERLINK \l "_Toc256000063" </w:instrText>
      </w:r>
      <w:r>
        <w:fldChar w:fldCharType="separate"/>
      </w:r>
      <w:r>
        <w:rPr>
          <w:rStyle w:val="21"/>
          <w:rFonts w:hint="eastAsia"/>
        </w:rPr>
        <w:t>10.1 词语定义</w:t>
      </w:r>
      <w:r>
        <w:tab/>
      </w:r>
      <w:r>
        <w:fldChar w:fldCharType="begin"/>
      </w:r>
      <w:r>
        <w:instrText xml:space="preserve"> PAGEREF _Toc256000063 \h </w:instrText>
      </w:r>
      <w:r>
        <w:fldChar w:fldCharType="separate"/>
      </w:r>
      <w:r>
        <w:t>28</w:t>
      </w:r>
      <w:r>
        <w:fldChar w:fldCharType="end"/>
      </w:r>
      <w:r>
        <w:fldChar w:fldCharType="end"/>
      </w:r>
    </w:p>
    <w:p w14:paraId="0822C34C">
      <w:pPr>
        <w:pStyle w:val="9"/>
        <w:tabs>
          <w:tab w:val="right" w:leader="dot" w:pos="8296"/>
        </w:tabs>
        <w:rPr>
          <w:rFonts w:asciiTheme="minorHAnsi" w:hAnsiTheme="minorHAnsi"/>
          <w:sz w:val="22"/>
        </w:rPr>
      </w:pPr>
      <w:r>
        <w:fldChar w:fldCharType="begin"/>
      </w:r>
      <w:r>
        <w:instrText xml:space="preserve"> HYPERLINK \l "_Toc256000064" </w:instrText>
      </w:r>
      <w:r>
        <w:fldChar w:fldCharType="separate"/>
      </w:r>
      <w:r>
        <w:rPr>
          <w:rStyle w:val="21"/>
          <w:rFonts w:hint="eastAsia"/>
        </w:rPr>
        <w:t>10.</w:t>
      </w:r>
      <w:r>
        <w:rPr>
          <w:rStyle w:val="21"/>
        </w:rPr>
        <w:t>2</w:t>
      </w:r>
      <w:r>
        <w:rPr>
          <w:rStyle w:val="21"/>
          <w:rFonts w:hint="eastAsia"/>
        </w:rPr>
        <w:t xml:space="preserve"> 中标人的投标文件</w:t>
      </w:r>
      <w:r>
        <w:tab/>
      </w:r>
      <w:r>
        <w:fldChar w:fldCharType="begin"/>
      </w:r>
      <w:r>
        <w:instrText xml:space="preserve"> PAGEREF _Toc256000064 \h </w:instrText>
      </w:r>
      <w:r>
        <w:fldChar w:fldCharType="separate"/>
      </w:r>
      <w:r>
        <w:t>28</w:t>
      </w:r>
      <w:r>
        <w:fldChar w:fldCharType="end"/>
      </w:r>
      <w:r>
        <w:fldChar w:fldCharType="end"/>
      </w:r>
    </w:p>
    <w:p w14:paraId="288D959D">
      <w:pPr>
        <w:pStyle w:val="9"/>
        <w:tabs>
          <w:tab w:val="right" w:leader="dot" w:pos="8296"/>
        </w:tabs>
        <w:rPr>
          <w:rFonts w:asciiTheme="minorHAnsi" w:hAnsiTheme="minorHAnsi"/>
          <w:sz w:val="22"/>
        </w:rPr>
      </w:pPr>
      <w:r>
        <w:fldChar w:fldCharType="begin"/>
      </w:r>
      <w:r>
        <w:instrText xml:space="preserve"> HYPERLINK \l "_Toc256000065" </w:instrText>
      </w:r>
      <w:r>
        <w:fldChar w:fldCharType="separate"/>
      </w:r>
      <w:r>
        <w:rPr>
          <w:rStyle w:val="21"/>
          <w:rFonts w:hint="eastAsia"/>
        </w:rPr>
        <w:t>10.</w:t>
      </w:r>
      <w:r>
        <w:rPr>
          <w:rStyle w:val="21"/>
        </w:rPr>
        <w:t xml:space="preserve">3 </w:t>
      </w:r>
      <w:r>
        <w:rPr>
          <w:rStyle w:val="21"/>
          <w:rFonts w:hint="eastAsia"/>
        </w:rPr>
        <w:t>知识产权</w:t>
      </w:r>
      <w:r>
        <w:tab/>
      </w:r>
      <w:r>
        <w:fldChar w:fldCharType="begin"/>
      </w:r>
      <w:r>
        <w:instrText xml:space="preserve"> PAGEREF _Toc256000065 \h </w:instrText>
      </w:r>
      <w:r>
        <w:fldChar w:fldCharType="separate"/>
      </w:r>
      <w:r>
        <w:t>28</w:t>
      </w:r>
      <w:r>
        <w:fldChar w:fldCharType="end"/>
      </w:r>
      <w:r>
        <w:fldChar w:fldCharType="end"/>
      </w:r>
    </w:p>
    <w:p w14:paraId="4A2CEA53">
      <w:pPr>
        <w:pStyle w:val="9"/>
        <w:tabs>
          <w:tab w:val="right" w:leader="dot" w:pos="8296"/>
        </w:tabs>
        <w:rPr>
          <w:rFonts w:asciiTheme="minorHAnsi" w:hAnsiTheme="minorHAnsi"/>
          <w:sz w:val="22"/>
        </w:rPr>
      </w:pPr>
      <w:r>
        <w:fldChar w:fldCharType="begin"/>
      </w:r>
      <w:r>
        <w:instrText xml:space="preserve"> HYPERLINK \l "_Toc256000066" </w:instrText>
      </w:r>
      <w:r>
        <w:fldChar w:fldCharType="separate"/>
      </w:r>
      <w:r>
        <w:rPr>
          <w:rStyle w:val="21"/>
          <w:rFonts w:hint="eastAsia"/>
        </w:rPr>
        <w:t>10.</w:t>
      </w:r>
      <w:r>
        <w:rPr>
          <w:rStyle w:val="21"/>
        </w:rPr>
        <w:t xml:space="preserve">4 </w:t>
      </w:r>
      <w:r>
        <w:rPr>
          <w:rStyle w:val="21"/>
          <w:rFonts w:hint="eastAsia"/>
        </w:rPr>
        <w:t>同义词语</w:t>
      </w:r>
      <w:r>
        <w:tab/>
      </w:r>
      <w:r>
        <w:fldChar w:fldCharType="begin"/>
      </w:r>
      <w:r>
        <w:instrText xml:space="preserve"> PAGEREF _Toc256000066 \h </w:instrText>
      </w:r>
      <w:r>
        <w:fldChar w:fldCharType="separate"/>
      </w:r>
      <w:r>
        <w:t>28</w:t>
      </w:r>
      <w:r>
        <w:fldChar w:fldCharType="end"/>
      </w:r>
      <w:r>
        <w:fldChar w:fldCharType="end"/>
      </w:r>
    </w:p>
    <w:p w14:paraId="2291EA2D">
      <w:pPr>
        <w:pStyle w:val="9"/>
        <w:tabs>
          <w:tab w:val="right" w:leader="dot" w:pos="8296"/>
        </w:tabs>
        <w:rPr>
          <w:rFonts w:asciiTheme="minorHAnsi" w:hAnsiTheme="minorHAnsi"/>
          <w:sz w:val="22"/>
        </w:rPr>
      </w:pPr>
      <w:r>
        <w:fldChar w:fldCharType="begin"/>
      </w:r>
      <w:r>
        <w:instrText xml:space="preserve"> HYPERLINK \l "_Toc256000067" </w:instrText>
      </w:r>
      <w:r>
        <w:fldChar w:fldCharType="separate"/>
      </w:r>
      <w:r>
        <w:rPr>
          <w:rStyle w:val="21"/>
          <w:rFonts w:hint="eastAsia"/>
        </w:rPr>
        <w:t>10.</w:t>
      </w:r>
      <w:r>
        <w:rPr>
          <w:rStyle w:val="21"/>
        </w:rPr>
        <w:t>5</w:t>
      </w:r>
      <w:r>
        <w:rPr>
          <w:rStyle w:val="21"/>
          <w:rFonts w:hint="eastAsia"/>
        </w:rPr>
        <w:t xml:space="preserve"> 解释权</w:t>
      </w:r>
      <w:r>
        <w:tab/>
      </w:r>
      <w:r>
        <w:fldChar w:fldCharType="begin"/>
      </w:r>
      <w:r>
        <w:instrText xml:space="preserve"> PAGEREF _Toc256000067 \h </w:instrText>
      </w:r>
      <w:r>
        <w:fldChar w:fldCharType="separate"/>
      </w:r>
      <w:r>
        <w:t>28</w:t>
      </w:r>
      <w:r>
        <w:fldChar w:fldCharType="end"/>
      </w:r>
      <w:r>
        <w:fldChar w:fldCharType="end"/>
      </w:r>
    </w:p>
    <w:p w14:paraId="5C63F0C3">
      <w:pPr>
        <w:pStyle w:val="9"/>
        <w:tabs>
          <w:tab w:val="right" w:leader="dot" w:pos="8296"/>
        </w:tabs>
        <w:rPr>
          <w:rFonts w:asciiTheme="minorHAnsi" w:hAnsiTheme="minorHAnsi"/>
          <w:sz w:val="22"/>
        </w:rPr>
      </w:pPr>
      <w:r>
        <w:fldChar w:fldCharType="begin"/>
      </w:r>
      <w:r>
        <w:instrText xml:space="preserve"> HYPERLINK \l "_Toc256000068" </w:instrText>
      </w:r>
      <w:r>
        <w:fldChar w:fldCharType="separate"/>
      </w:r>
      <w:r>
        <w:rPr>
          <w:rStyle w:val="21"/>
          <w:rFonts w:hint="eastAsia"/>
        </w:rPr>
        <w:t>10.6 招标人补充的其他内容</w:t>
      </w:r>
      <w:r>
        <w:tab/>
      </w:r>
      <w:r>
        <w:fldChar w:fldCharType="begin"/>
      </w:r>
      <w:r>
        <w:instrText xml:space="preserve"> PAGEREF _Toc256000068 \h </w:instrText>
      </w:r>
      <w:r>
        <w:fldChar w:fldCharType="separate"/>
      </w:r>
      <w:r>
        <w:t>28</w:t>
      </w:r>
      <w:r>
        <w:fldChar w:fldCharType="end"/>
      </w:r>
      <w:r>
        <w:fldChar w:fldCharType="end"/>
      </w:r>
    </w:p>
    <w:p w14:paraId="763C9AF3">
      <w:pPr>
        <w:pStyle w:val="14"/>
        <w:tabs>
          <w:tab w:val="right" w:leader="dot" w:pos="8296"/>
        </w:tabs>
        <w:rPr>
          <w:rFonts w:asciiTheme="minorHAnsi" w:hAnsiTheme="minorHAnsi"/>
          <w:sz w:val="22"/>
        </w:rPr>
      </w:pPr>
      <w:r>
        <w:fldChar w:fldCharType="begin"/>
      </w:r>
      <w:r>
        <w:instrText xml:space="preserve"> HYPERLINK \l "_Toc256000069" </w:instrText>
      </w:r>
      <w:r>
        <w:fldChar w:fldCharType="separate"/>
      </w:r>
      <w:r>
        <w:rPr>
          <w:rStyle w:val="21"/>
          <w:rFonts w:hint="eastAsia"/>
        </w:rPr>
        <w:t>附表一：招标文件澄清申请函</w:t>
      </w:r>
      <w:r>
        <w:tab/>
      </w:r>
      <w:r>
        <w:fldChar w:fldCharType="begin"/>
      </w:r>
      <w:r>
        <w:instrText xml:space="preserve"> PAGEREF _Toc256000069 \h </w:instrText>
      </w:r>
      <w:r>
        <w:fldChar w:fldCharType="separate"/>
      </w:r>
      <w:r>
        <w:t>29</w:t>
      </w:r>
      <w:r>
        <w:fldChar w:fldCharType="end"/>
      </w:r>
      <w:r>
        <w:fldChar w:fldCharType="end"/>
      </w:r>
    </w:p>
    <w:p w14:paraId="18B79A70">
      <w:pPr>
        <w:pStyle w:val="14"/>
        <w:tabs>
          <w:tab w:val="right" w:leader="dot" w:pos="8296"/>
        </w:tabs>
        <w:rPr>
          <w:rFonts w:asciiTheme="minorHAnsi" w:hAnsiTheme="minorHAnsi"/>
          <w:sz w:val="22"/>
        </w:rPr>
      </w:pPr>
      <w:r>
        <w:fldChar w:fldCharType="begin"/>
      </w:r>
      <w:r>
        <w:instrText xml:space="preserve"> HYPERLINK \l "_Toc256000070" </w:instrText>
      </w:r>
      <w:r>
        <w:fldChar w:fldCharType="separate"/>
      </w:r>
      <w:r>
        <w:rPr>
          <w:rStyle w:val="21"/>
          <w:rFonts w:hint="eastAsia"/>
        </w:rPr>
        <w:t>附表二：招标文件澄清通知</w:t>
      </w:r>
      <w:r>
        <w:tab/>
      </w:r>
      <w:r>
        <w:fldChar w:fldCharType="begin"/>
      </w:r>
      <w:r>
        <w:instrText xml:space="preserve"> PAGEREF _Toc256000070 \h </w:instrText>
      </w:r>
      <w:r>
        <w:fldChar w:fldCharType="separate"/>
      </w:r>
      <w:r>
        <w:t>30</w:t>
      </w:r>
      <w:r>
        <w:fldChar w:fldCharType="end"/>
      </w:r>
      <w:r>
        <w:fldChar w:fldCharType="end"/>
      </w:r>
    </w:p>
    <w:p w14:paraId="6648D569">
      <w:pPr>
        <w:pStyle w:val="14"/>
        <w:tabs>
          <w:tab w:val="right" w:leader="dot" w:pos="8296"/>
        </w:tabs>
        <w:rPr>
          <w:rFonts w:asciiTheme="minorHAnsi" w:hAnsiTheme="minorHAnsi"/>
          <w:sz w:val="22"/>
        </w:rPr>
      </w:pPr>
      <w:r>
        <w:fldChar w:fldCharType="begin"/>
      </w:r>
      <w:r>
        <w:instrText xml:space="preserve"> HYPERLINK \l "_Toc256000071" </w:instrText>
      </w:r>
      <w:r>
        <w:fldChar w:fldCharType="separate"/>
      </w:r>
      <w:r>
        <w:rPr>
          <w:rStyle w:val="21"/>
          <w:rFonts w:hint="eastAsia"/>
        </w:rPr>
        <w:t>附表三：招标文件修改通知</w:t>
      </w:r>
      <w:r>
        <w:tab/>
      </w:r>
      <w:r>
        <w:fldChar w:fldCharType="begin"/>
      </w:r>
      <w:r>
        <w:instrText xml:space="preserve"> PAGEREF _Toc256000071 \h </w:instrText>
      </w:r>
      <w:r>
        <w:fldChar w:fldCharType="separate"/>
      </w:r>
      <w:r>
        <w:t>31</w:t>
      </w:r>
      <w:r>
        <w:fldChar w:fldCharType="end"/>
      </w:r>
      <w:r>
        <w:fldChar w:fldCharType="end"/>
      </w:r>
    </w:p>
    <w:p w14:paraId="54E04727">
      <w:pPr>
        <w:pStyle w:val="14"/>
        <w:tabs>
          <w:tab w:val="right" w:leader="dot" w:pos="8296"/>
        </w:tabs>
        <w:rPr>
          <w:rFonts w:asciiTheme="minorHAnsi" w:hAnsiTheme="minorHAnsi"/>
          <w:sz w:val="22"/>
        </w:rPr>
      </w:pPr>
      <w:r>
        <w:fldChar w:fldCharType="begin"/>
      </w:r>
      <w:r>
        <w:instrText xml:space="preserve"> HYPERLINK \l "_Toc256000072" </w:instrText>
      </w:r>
      <w:r>
        <w:fldChar w:fldCharType="separate"/>
      </w:r>
      <w:r>
        <w:rPr>
          <w:rStyle w:val="21"/>
          <w:rFonts w:hint="eastAsia"/>
        </w:rPr>
        <w:t>附表四：投标文件递交电子签收凭证</w:t>
      </w:r>
      <w:r>
        <w:tab/>
      </w:r>
      <w:r>
        <w:fldChar w:fldCharType="begin"/>
      </w:r>
      <w:r>
        <w:instrText xml:space="preserve"> PAGEREF _Toc256000072 \h </w:instrText>
      </w:r>
      <w:r>
        <w:fldChar w:fldCharType="separate"/>
      </w:r>
      <w:r>
        <w:t>32</w:t>
      </w:r>
      <w:r>
        <w:fldChar w:fldCharType="end"/>
      </w:r>
      <w:r>
        <w:fldChar w:fldCharType="end"/>
      </w:r>
    </w:p>
    <w:p w14:paraId="34CBFBDF">
      <w:pPr>
        <w:pStyle w:val="14"/>
        <w:tabs>
          <w:tab w:val="right" w:leader="dot" w:pos="8296"/>
        </w:tabs>
        <w:rPr>
          <w:rFonts w:asciiTheme="minorHAnsi" w:hAnsiTheme="minorHAnsi"/>
          <w:sz w:val="22"/>
        </w:rPr>
      </w:pPr>
      <w:r>
        <w:fldChar w:fldCharType="begin"/>
      </w:r>
      <w:r>
        <w:instrText xml:space="preserve"> HYPERLINK \l "_Toc256000073" </w:instrText>
      </w:r>
      <w:r>
        <w:fldChar w:fldCharType="separate"/>
      </w:r>
      <w:r>
        <w:rPr>
          <w:rStyle w:val="21"/>
          <w:rFonts w:hint="eastAsia"/>
        </w:rPr>
        <w:t>附表五：开标记录表</w:t>
      </w:r>
      <w:r>
        <w:tab/>
      </w:r>
      <w:r>
        <w:fldChar w:fldCharType="begin"/>
      </w:r>
      <w:r>
        <w:instrText xml:space="preserve"> PAGEREF _Toc256000073 \h </w:instrText>
      </w:r>
      <w:r>
        <w:fldChar w:fldCharType="separate"/>
      </w:r>
      <w:r>
        <w:t>33</w:t>
      </w:r>
      <w:r>
        <w:fldChar w:fldCharType="end"/>
      </w:r>
      <w:r>
        <w:fldChar w:fldCharType="end"/>
      </w:r>
    </w:p>
    <w:p w14:paraId="240C29C5">
      <w:pPr>
        <w:pStyle w:val="14"/>
        <w:tabs>
          <w:tab w:val="right" w:leader="dot" w:pos="8296"/>
        </w:tabs>
        <w:rPr>
          <w:rFonts w:asciiTheme="minorHAnsi" w:hAnsiTheme="minorHAnsi"/>
          <w:sz w:val="22"/>
        </w:rPr>
      </w:pPr>
      <w:r>
        <w:fldChar w:fldCharType="begin"/>
      </w:r>
      <w:r>
        <w:instrText xml:space="preserve"> HYPERLINK \l "_Toc256000074" </w:instrText>
      </w:r>
      <w:r>
        <w:fldChar w:fldCharType="separate"/>
      </w:r>
      <w:r>
        <w:rPr>
          <w:rStyle w:val="21"/>
          <w:rFonts w:hint="eastAsia"/>
        </w:rPr>
        <w:t>附表六：投标文件问题澄清通知</w:t>
      </w:r>
      <w:r>
        <w:tab/>
      </w:r>
      <w:r>
        <w:fldChar w:fldCharType="begin"/>
      </w:r>
      <w:r>
        <w:instrText xml:space="preserve"> PAGEREF _Toc256000074 \h </w:instrText>
      </w:r>
      <w:r>
        <w:fldChar w:fldCharType="separate"/>
      </w:r>
      <w:r>
        <w:t>34</w:t>
      </w:r>
      <w:r>
        <w:fldChar w:fldCharType="end"/>
      </w:r>
      <w:r>
        <w:fldChar w:fldCharType="end"/>
      </w:r>
    </w:p>
    <w:p w14:paraId="5558F6C5">
      <w:pPr>
        <w:pStyle w:val="14"/>
        <w:tabs>
          <w:tab w:val="right" w:leader="dot" w:pos="8296"/>
        </w:tabs>
        <w:rPr>
          <w:rFonts w:asciiTheme="minorHAnsi" w:hAnsiTheme="minorHAnsi"/>
          <w:sz w:val="22"/>
        </w:rPr>
      </w:pPr>
      <w:r>
        <w:fldChar w:fldCharType="begin"/>
      </w:r>
      <w:r>
        <w:instrText xml:space="preserve"> HYPERLINK \l "_Toc256000075" </w:instrText>
      </w:r>
      <w:r>
        <w:fldChar w:fldCharType="separate"/>
      </w:r>
      <w:r>
        <w:rPr>
          <w:rStyle w:val="21"/>
          <w:rFonts w:hint="eastAsia"/>
        </w:rPr>
        <w:t>附表七：投标文件问题的澄清</w:t>
      </w:r>
      <w:r>
        <w:tab/>
      </w:r>
      <w:r>
        <w:fldChar w:fldCharType="begin"/>
      </w:r>
      <w:r>
        <w:instrText xml:space="preserve"> PAGEREF _Toc256000075 \h </w:instrText>
      </w:r>
      <w:r>
        <w:fldChar w:fldCharType="separate"/>
      </w:r>
      <w:r>
        <w:t>35</w:t>
      </w:r>
      <w:r>
        <w:fldChar w:fldCharType="end"/>
      </w:r>
      <w:r>
        <w:fldChar w:fldCharType="end"/>
      </w:r>
    </w:p>
    <w:p w14:paraId="0F0B2DBD">
      <w:pPr>
        <w:pStyle w:val="14"/>
        <w:tabs>
          <w:tab w:val="right" w:leader="dot" w:pos="8296"/>
        </w:tabs>
        <w:rPr>
          <w:rFonts w:asciiTheme="minorHAnsi" w:hAnsiTheme="minorHAnsi"/>
          <w:sz w:val="22"/>
        </w:rPr>
      </w:pPr>
      <w:r>
        <w:fldChar w:fldCharType="begin"/>
      </w:r>
      <w:r>
        <w:instrText xml:space="preserve"> HYPERLINK \l "_Toc256000076" </w:instrText>
      </w:r>
      <w:r>
        <w:fldChar w:fldCharType="separate"/>
      </w:r>
      <w:r>
        <w:rPr>
          <w:rStyle w:val="21"/>
          <w:rFonts w:hint="eastAsia"/>
        </w:rPr>
        <w:t>附表八：中标通知书</w:t>
      </w:r>
      <w:r>
        <w:tab/>
      </w:r>
      <w:r>
        <w:fldChar w:fldCharType="begin"/>
      </w:r>
      <w:r>
        <w:instrText xml:space="preserve"> PAGEREF _Toc256000076 \h </w:instrText>
      </w:r>
      <w:r>
        <w:fldChar w:fldCharType="separate"/>
      </w:r>
      <w:r>
        <w:t>36</w:t>
      </w:r>
      <w:r>
        <w:fldChar w:fldCharType="end"/>
      </w:r>
      <w:r>
        <w:fldChar w:fldCharType="end"/>
      </w:r>
    </w:p>
    <w:p w14:paraId="1549AA02">
      <w:pPr>
        <w:pStyle w:val="14"/>
        <w:tabs>
          <w:tab w:val="right" w:leader="dot" w:pos="8296"/>
        </w:tabs>
        <w:rPr>
          <w:rFonts w:asciiTheme="minorHAnsi" w:hAnsiTheme="minorHAnsi"/>
          <w:sz w:val="22"/>
        </w:rPr>
      </w:pPr>
      <w:r>
        <w:fldChar w:fldCharType="begin"/>
      </w:r>
      <w:r>
        <w:instrText xml:space="preserve"> HYPERLINK \l "_Toc256000077" </w:instrText>
      </w:r>
      <w:r>
        <w:fldChar w:fldCharType="separate"/>
      </w:r>
      <w:r>
        <w:rPr>
          <w:rStyle w:val="21"/>
          <w:rFonts w:hint="eastAsia"/>
        </w:rPr>
        <w:t>附表九：中标结果通知书</w:t>
      </w:r>
      <w:r>
        <w:tab/>
      </w:r>
      <w:r>
        <w:fldChar w:fldCharType="begin"/>
      </w:r>
      <w:r>
        <w:instrText xml:space="preserve"> PAGEREF _Toc256000077 \h </w:instrText>
      </w:r>
      <w:r>
        <w:fldChar w:fldCharType="separate"/>
      </w:r>
      <w:r>
        <w:t>37</w:t>
      </w:r>
      <w:r>
        <w:fldChar w:fldCharType="end"/>
      </w:r>
      <w:r>
        <w:fldChar w:fldCharType="end"/>
      </w:r>
    </w:p>
    <w:p w14:paraId="4CEEA522">
      <w:pPr>
        <w:pStyle w:val="14"/>
        <w:tabs>
          <w:tab w:val="right" w:leader="dot" w:pos="8296"/>
        </w:tabs>
        <w:rPr>
          <w:rFonts w:asciiTheme="minorHAnsi" w:hAnsiTheme="minorHAnsi"/>
          <w:sz w:val="22"/>
        </w:rPr>
      </w:pPr>
      <w:r>
        <w:fldChar w:fldCharType="begin"/>
      </w:r>
      <w:r>
        <w:instrText xml:space="preserve"> HYPERLINK \l "_Toc256000078" </w:instrText>
      </w:r>
      <w:r>
        <w:fldChar w:fldCharType="separate"/>
      </w:r>
      <w:r>
        <w:rPr>
          <w:rStyle w:val="21"/>
          <w:rFonts w:hint="eastAsia"/>
        </w:rPr>
        <w:t>附表十：异议书</w:t>
      </w:r>
      <w:r>
        <w:tab/>
      </w:r>
      <w:r>
        <w:fldChar w:fldCharType="begin"/>
      </w:r>
      <w:r>
        <w:instrText xml:space="preserve"> PAGEREF _Toc256000078 \h </w:instrText>
      </w:r>
      <w:r>
        <w:fldChar w:fldCharType="separate"/>
      </w:r>
      <w:r>
        <w:t>38</w:t>
      </w:r>
      <w:r>
        <w:fldChar w:fldCharType="end"/>
      </w:r>
      <w:r>
        <w:fldChar w:fldCharType="end"/>
      </w:r>
    </w:p>
    <w:p w14:paraId="64FD0296">
      <w:pPr>
        <w:pStyle w:val="14"/>
        <w:tabs>
          <w:tab w:val="right" w:leader="dot" w:pos="8296"/>
        </w:tabs>
        <w:rPr>
          <w:rFonts w:asciiTheme="minorHAnsi" w:hAnsiTheme="minorHAnsi"/>
          <w:sz w:val="22"/>
        </w:rPr>
      </w:pPr>
      <w:r>
        <w:fldChar w:fldCharType="begin"/>
      </w:r>
      <w:r>
        <w:instrText xml:space="preserve"> HYPERLINK \l "_Toc256000079" </w:instrText>
      </w:r>
      <w:r>
        <w:fldChar w:fldCharType="separate"/>
      </w:r>
      <w:r>
        <w:rPr>
          <w:rStyle w:val="21"/>
          <w:rFonts w:hint="eastAsia"/>
        </w:rPr>
        <w:t>附表十一：异议答复函</w:t>
      </w:r>
      <w:r>
        <w:tab/>
      </w:r>
      <w:r>
        <w:fldChar w:fldCharType="begin"/>
      </w:r>
      <w:r>
        <w:instrText xml:space="preserve"> PAGEREF _Toc256000079 \h </w:instrText>
      </w:r>
      <w:r>
        <w:fldChar w:fldCharType="separate"/>
      </w:r>
      <w:r>
        <w:t>39</w:t>
      </w:r>
      <w:r>
        <w:fldChar w:fldCharType="end"/>
      </w:r>
      <w:r>
        <w:fldChar w:fldCharType="end"/>
      </w:r>
    </w:p>
    <w:p w14:paraId="655F54A2">
      <w:pPr>
        <w:pStyle w:val="13"/>
        <w:tabs>
          <w:tab w:val="right" w:leader="dot" w:pos="8296"/>
        </w:tabs>
        <w:rPr>
          <w:rFonts w:asciiTheme="minorHAnsi" w:hAnsiTheme="minorHAnsi"/>
          <w:sz w:val="22"/>
        </w:rPr>
      </w:pPr>
      <w:r>
        <w:fldChar w:fldCharType="begin"/>
      </w:r>
      <w:r>
        <w:instrText xml:space="preserve"> HYPERLINK \l "_Toc256000080" </w:instrText>
      </w:r>
      <w:r>
        <w:fldChar w:fldCharType="separate"/>
      </w:r>
      <w:r>
        <w:rPr>
          <w:rStyle w:val="21"/>
          <w:rFonts w:ascii="黑体" w:hAnsi="黑体" w:eastAsia="黑体"/>
        </w:rPr>
        <w:t>第三章</w:t>
      </w:r>
      <w:r>
        <w:rPr>
          <w:rStyle w:val="21"/>
          <w:rFonts w:hint="eastAsia" w:ascii="黑体" w:hAnsi="黑体" w:eastAsia="黑体"/>
        </w:rPr>
        <w:t xml:space="preserve">  </w:t>
      </w:r>
      <w:r>
        <w:rPr>
          <w:rStyle w:val="21"/>
          <w:rFonts w:ascii="黑体" w:hAnsi="黑体" w:eastAsia="黑体"/>
        </w:rPr>
        <w:t>评标办法</w:t>
      </w:r>
      <w:r>
        <w:tab/>
      </w:r>
      <w:r>
        <w:fldChar w:fldCharType="begin"/>
      </w:r>
      <w:r>
        <w:instrText xml:space="preserve"> PAGEREF _Toc256000080 \h </w:instrText>
      </w:r>
      <w:r>
        <w:fldChar w:fldCharType="separate"/>
      </w:r>
      <w:r>
        <w:t>40</w:t>
      </w:r>
      <w:r>
        <w:fldChar w:fldCharType="end"/>
      </w:r>
      <w:r>
        <w:fldChar w:fldCharType="end"/>
      </w:r>
    </w:p>
    <w:p w14:paraId="3CDE2D0B">
      <w:pPr>
        <w:pStyle w:val="14"/>
        <w:tabs>
          <w:tab w:val="right" w:leader="dot" w:pos="8296"/>
        </w:tabs>
        <w:rPr>
          <w:rFonts w:asciiTheme="minorHAnsi" w:hAnsiTheme="minorHAnsi"/>
          <w:sz w:val="22"/>
        </w:rPr>
      </w:pPr>
      <w:r>
        <w:fldChar w:fldCharType="begin"/>
      </w:r>
      <w:r>
        <w:instrText xml:space="preserve"> HYPERLINK \l "_Toc256000081" </w:instrText>
      </w:r>
      <w:r>
        <w:fldChar w:fldCharType="separate"/>
      </w:r>
      <w:r>
        <w:rPr>
          <w:rStyle w:val="21"/>
          <w:rFonts w:hint="eastAsia"/>
        </w:rPr>
        <w:t>评标办法前附表（综合评估法）</w:t>
      </w:r>
      <w:r>
        <w:tab/>
      </w:r>
      <w:r>
        <w:fldChar w:fldCharType="begin"/>
      </w:r>
      <w:r>
        <w:instrText xml:space="preserve"> PAGEREF _Toc256000081 \h </w:instrText>
      </w:r>
      <w:r>
        <w:fldChar w:fldCharType="separate"/>
      </w:r>
      <w:r>
        <w:t>41</w:t>
      </w:r>
      <w:r>
        <w:fldChar w:fldCharType="end"/>
      </w:r>
      <w:r>
        <w:fldChar w:fldCharType="end"/>
      </w:r>
    </w:p>
    <w:p w14:paraId="241FFE2B">
      <w:pPr>
        <w:pStyle w:val="14"/>
        <w:tabs>
          <w:tab w:val="right" w:leader="dot" w:pos="8296"/>
        </w:tabs>
        <w:rPr>
          <w:rFonts w:asciiTheme="minorHAnsi" w:hAnsiTheme="minorHAnsi"/>
          <w:sz w:val="22"/>
        </w:rPr>
      </w:pPr>
      <w:r>
        <w:fldChar w:fldCharType="begin"/>
      </w:r>
      <w:r>
        <w:instrText xml:space="preserve"> HYPERLINK \l "_Toc256000082" </w:instrText>
      </w:r>
      <w:r>
        <w:fldChar w:fldCharType="separate"/>
      </w:r>
      <w:r>
        <w:rPr>
          <w:rStyle w:val="21"/>
          <w:rFonts w:hint="eastAsia"/>
        </w:rPr>
        <w:t>评标办法正文部分</w:t>
      </w:r>
      <w:r>
        <w:tab/>
      </w:r>
      <w:r>
        <w:fldChar w:fldCharType="begin"/>
      </w:r>
      <w:r>
        <w:instrText xml:space="preserve"> PAGEREF _Toc256000082 \h </w:instrText>
      </w:r>
      <w:r>
        <w:fldChar w:fldCharType="separate"/>
      </w:r>
      <w:r>
        <w:t>55</w:t>
      </w:r>
      <w:r>
        <w:fldChar w:fldCharType="end"/>
      </w:r>
      <w:r>
        <w:fldChar w:fldCharType="end"/>
      </w:r>
    </w:p>
    <w:p w14:paraId="037DA9A7">
      <w:pPr>
        <w:pStyle w:val="14"/>
        <w:tabs>
          <w:tab w:val="right" w:leader="dot" w:pos="8296"/>
        </w:tabs>
        <w:rPr>
          <w:rFonts w:asciiTheme="minorHAnsi" w:hAnsiTheme="minorHAnsi"/>
          <w:sz w:val="22"/>
        </w:rPr>
      </w:pPr>
      <w:r>
        <w:fldChar w:fldCharType="begin"/>
      </w:r>
      <w:r>
        <w:instrText xml:space="preserve"> HYPERLINK \l "_Toc256000083" </w:instrText>
      </w:r>
      <w:r>
        <w:fldChar w:fldCharType="separate"/>
      </w:r>
      <w:r>
        <w:rPr>
          <w:rStyle w:val="21"/>
          <w:rFonts w:hint="eastAsia"/>
        </w:rPr>
        <w:t>1. 评标方法</w:t>
      </w:r>
      <w:r>
        <w:tab/>
      </w:r>
      <w:r>
        <w:fldChar w:fldCharType="begin"/>
      </w:r>
      <w:r>
        <w:instrText xml:space="preserve"> PAGEREF _Toc256000083 \h </w:instrText>
      </w:r>
      <w:r>
        <w:fldChar w:fldCharType="separate"/>
      </w:r>
      <w:r>
        <w:t>55</w:t>
      </w:r>
      <w:r>
        <w:fldChar w:fldCharType="end"/>
      </w:r>
      <w:r>
        <w:fldChar w:fldCharType="end"/>
      </w:r>
    </w:p>
    <w:p w14:paraId="086A84DA">
      <w:pPr>
        <w:pStyle w:val="14"/>
        <w:tabs>
          <w:tab w:val="right" w:leader="dot" w:pos="8296"/>
        </w:tabs>
        <w:rPr>
          <w:rFonts w:asciiTheme="minorHAnsi" w:hAnsiTheme="minorHAnsi"/>
          <w:sz w:val="22"/>
        </w:rPr>
      </w:pPr>
      <w:r>
        <w:fldChar w:fldCharType="begin"/>
      </w:r>
      <w:r>
        <w:instrText xml:space="preserve"> HYPERLINK \l "_Toc256000084" </w:instrText>
      </w:r>
      <w:r>
        <w:fldChar w:fldCharType="separate"/>
      </w:r>
      <w:r>
        <w:rPr>
          <w:rStyle w:val="21"/>
          <w:rFonts w:hint="eastAsia"/>
        </w:rPr>
        <w:t>2. 评审标准</w:t>
      </w:r>
      <w:r>
        <w:tab/>
      </w:r>
      <w:r>
        <w:fldChar w:fldCharType="begin"/>
      </w:r>
      <w:r>
        <w:instrText xml:space="preserve"> PAGEREF _Toc256000084 \h </w:instrText>
      </w:r>
      <w:r>
        <w:fldChar w:fldCharType="separate"/>
      </w:r>
      <w:r>
        <w:t>55</w:t>
      </w:r>
      <w:r>
        <w:fldChar w:fldCharType="end"/>
      </w:r>
      <w:r>
        <w:fldChar w:fldCharType="end"/>
      </w:r>
    </w:p>
    <w:p w14:paraId="59E9391B">
      <w:pPr>
        <w:pStyle w:val="9"/>
        <w:tabs>
          <w:tab w:val="right" w:leader="dot" w:pos="8296"/>
        </w:tabs>
        <w:rPr>
          <w:rFonts w:asciiTheme="minorHAnsi" w:hAnsiTheme="minorHAnsi"/>
          <w:sz w:val="22"/>
        </w:rPr>
      </w:pPr>
      <w:r>
        <w:fldChar w:fldCharType="begin"/>
      </w:r>
      <w:r>
        <w:instrText xml:space="preserve"> HYPERLINK \l "_Toc256000085" </w:instrText>
      </w:r>
      <w:r>
        <w:fldChar w:fldCharType="separate"/>
      </w:r>
      <w:r>
        <w:rPr>
          <w:rStyle w:val="21"/>
          <w:rFonts w:hint="eastAsia"/>
        </w:rPr>
        <w:t>2.1 初步评审标准</w:t>
      </w:r>
      <w:r>
        <w:tab/>
      </w:r>
      <w:r>
        <w:fldChar w:fldCharType="begin"/>
      </w:r>
      <w:r>
        <w:instrText xml:space="preserve"> PAGEREF _Toc256000085 \h </w:instrText>
      </w:r>
      <w:r>
        <w:fldChar w:fldCharType="separate"/>
      </w:r>
      <w:r>
        <w:t>55</w:t>
      </w:r>
      <w:r>
        <w:fldChar w:fldCharType="end"/>
      </w:r>
      <w:r>
        <w:fldChar w:fldCharType="end"/>
      </w:r>
    </w:p>
    <w:p w14:paraId="2A0FA9B9">
      <w:pPr>
        <w:pStyle w:val="9"/>
        <w:tabs>
          <w:tab w:val="right" w:leader="dot" w:pos="8296"/>
        </w:tabs>
        <w:rPr>
          <w:rFonts w:asciiTheme="minorHAnsi" w:hAnsiTheme="minorHAnsi"/>
          <w:sz w:val="22"/>
        </w:rPr>
      </w:pPr>
      <w:r>
        <w:fldChar w:fldCharType="begin"/>
      </w:r>
      <w:r>
        <w:instrText xml:space="preserve"> HYPERLINK \l "_Toc256000086" </w:instrText>
      </w:r>
      <w:r>
        <w:fldChar w:fldCharType="separate"/>
      </w:r>
      <w:r>
        <w:rPr>
          <w:rStyle w:val="21"/>
          <w:rFonts w:hint="eastAsia"/>
        </w:rPr>
        <w:t>2.2 分值构成与评分标准</w:t>
      </w:r>
      <w:r>
        <w:tab/>
      </w:r>
      <w:r>
        <w:fldChar w:fldCharType="begin"/>
      </w:r>
      <w:r>
        <w:instrText xml:space="preserve"> PAGEREF _Toc256000086 \h </w:instrText>
      </w:r>
      <w:r>
        <w:fldChar w:fldCharType="separate"/>
      </w:r>
      <w:r>
        <w:t>55</w:t>
      </w:r>
      <w:r>
        <w:fldChar w:fldCharType="end"/>
      </w:r>
      <w:r>
        <w:fldChar w:fldCharType="end"/>
      </w:r>
    </w:p>
    <w:p w14:paraId="235D9E15">
      <w:pPr>
        <w:pStyle w:val="14"/>
        <w:tabs>
          <w:tab w:val="right" w:leader="dot" w:pos="8296"/>
        </w:tabs>
        <w:rPr>
          <w:rFonts w:asciiTheme="minorHAnsi" w:hAnsiTheme="minorHAnsi"/>
          <w:sz w:val="22"/>
        </w:rPr>
      </w:pPr>
      <w:r>
        <w:fldChar w:fldCharType="begin"/>
      </w:r>
      <w:r>
        <w:instrText xml:space="preserve"> HYPERLINK \l "_Toc256000087" </w:instrText>
      </w:r>
      <w:r>
        <w:fldChar w:fldCharType="separate"/>
      </w:r>
      <w:r>
        <w:rPr>
          <w:rStyle w:val="21"/>
          <w:rFonts w:hint="eastAsia"/>
        </w:rPr>
        <w:t>3. 评标程序</w:t>
      </w:r>
      <w:r>
        <w:tab/>
      </w:r>
      <w:r>
        <w:fldChar w:fldCharType="begin"/>
      </w:r>
      <w:r>
        <w:instrText xml:space="preserve"> PAGEREF _Toc256000087 \h </w:instrText>
      </w:r>
      <w:r>
        <w:fldChar w:fldCharType="separate"/>
      </w:r>
      <w:r>
        <w:t>55</w:t>
      </w:r>
      <w:r>
        <w:fldChar w:fldCharType="end"/>
      </w:r>
      <w:r>
        <w:fldChar w:fldCharType="end"/>
      </w:r>
    </w:p>
    <w:p w14:paraId="683B11AB">
      <w:pPr>
        <w:pStyle w:val="9"/>
        <w:tabs>
          <w:tab w:val="right" w:leader="dot" w:pos="8296"/>
        </w:tabs>
        <w:rPr>
          <w:rFonts w:asciiTheme="minorHAnsi" w:hAnsiTheme="minorHAnsi"/>
          <w:sz w:val="22"/>
        </w:rPr>
      </w:pPr>
      <w:r>
        <w:fldChar w:fldCharType="begin"/>
      </w:r>
      <w:r>
        <w:instrText xml:space="preserve"> HYPERLINK \l "_Toc256000088" </w:instrText>
      </w:r>
      <w:r>
        <w:fldChar w:fldCharType="separate"/>
      </w:r>
      <w:r>
        <w:rPr>
          <w:rStyle w:val="21"/>
          <w:rFonts w:hint="eastAsia"/>
        </w:rPr>
        <w:t>3.1 初步评审</w:t>
      </w:r>
      <w:r>
        <w:tab/>
      </w:r>
      <w:r>
        <w:fldChar w:fldCharType="begin"/>
      </w:r>
      <w:r>
        <w:instrText xml:space="preserve"> PAGEREF _Toc256000088 \h </w:instrText>
      </w:r>
      <w:r>
        <w:fldChar w:fldCharType="separate"/>
      </w:r>
      <w:r>
        <w:t>55</w:t>
      </w:r>
      <w:r>
        <w:fldChar w:fldCharType="end"/>
      </w:r>
      <w:r>
        <w:fldChar w:fldCharType="end"/>
      </w:r>
    </w:p>
    <w:p w14:paraId="1615A3C4">
      <w:pPr>
        <w:pStyle w:val="9"/>
        <w:tabs>
          <w:tab w:val="right" w:leader="dot" w:pos="8296"/>
        </w:tabs>
        <w:rPr>
          <w:rFonts w:asciiTheme="minorHAnsi" w:hAnsiTheme="minorHAnsi"/>
          <w:sz w:val="22"/>
        </w:rPr>
      </w:pPr>
      <w:r>
        <w:fldChar w:fldCharType="begin"/>
      </w:r>
      <w:r>
        <w:instrText xml:space="preserve"> HYPERLINK \l "_Toc256000089" </w:instrText>
      </w:r>
      <w:r>
        <w:fldChar w:fldCharType="separate"/>
      </w:r>
      <w:r>
        <w:rPr>
          <w:rStyle w:val="21"/>
          <w:rFonts w:hint="eastAsia"/>
        </w:rPr>
        <w:t>3.2 详细评审</w:t>
      </w:r>
      <w:r>
        <w:tab/>
      </w:r>
      <w:r>
        <w:fldChar w:fldCharType="begin"/>
      </w:r>
      <w:r>
        <w:instrText xml:space="preserve"> PAGEREF _Toc256000089 \h </w:instrText>
      </w:r>
      <w:r>
        <w:fldChar w:fldCharType="separate"/>
      </w:r>
      <w:r>
        <w:t>56</w:t>
      </w:r>
      <w:r>
        <w:fldChar w:fldCharType="end"/>
      </w:r>
      <w:r>
        <w:fldChar w:fldCharType="end"/>
      </w:r>
    </w:p>
    <w:p w14:paraId="04D38B9B">
      <w:pPr>
        <w:pStyle w:val="9"/>
        <w:tabs>
          <w:tab w:val="right" w:leader="dot" w:pos="8296"/>
        </w:tabs>
        <w:rPr>
          <w:rFonts w:asciiTheme="minorHAnsi" w:hAnsiTheme="minorHAnsi"/>
          <w:sz w:val="22"/>
        </w:rPr>
      </w:pPr>
      <w:r>
        <w:fldChar w:fldCharType="begin"/>
      </w:r>
      <w:r>
        <w:instrText xml:space="preserve"> HYPERLINK \l "_Toc256000090" </w:instrText>
      </w:r>
      <w:r>
        <w:fldChar w:fldCharType="separate"/>
      </w:r>
      <w:r>
        <w:rPr>
          <w:rStyle w:val="21"/>
          <w:rFonts w:hint="eastAsia"/>
        </w:rPr>
        <w:t>3.3 投标文件的澄清和补正</w:t>
      </w:r>
      <w:r>
        <w:tab/>
      </w:r>
      <w:r>
        <w:fldChar w:fldCharType="begin"/>
      </w:r>
      <w:r>
        <w:instrText xml:space="preserve"> PAGEREF _Toc256000090 \h </w:instrText>
      </w:r>
      <w:r>
        <w:fldChar w:fldCharType="separate"/>
      </w:r>
      <w:r>
        <w:t>57</w:t>
      </w:r>
      <w:r>
        <w:fldChar w:fldCharType="end"/>
      </w:r>
      <w:r>
        <w:fldChar w:fldCharType="end"/>
      </w:r>
    </w:p>
    <w:p w14:paraId="4A7508C9">
      <w:pPr>
        <w:pStyle w:val="9"/>
        <w:tabs>
          <w:tab w:val="right" w:leader="dot" w:pos="8296"/>
        </w:tabs>
        <w:rPr>
          <w:rFonts w:asciiTheme="minorHAnsi" w:hAnsiTheme="minorHAnsi"/>
          <w:sz w:val="22"/>
        </w:rPr>
      </w:pPr>
      <w:r>
        <w:fldChar w:fldCharType="begin"/>
      </w:r>
      <w:r>
        <w:instrText xml:space="preserve"> HYPERLINK \l "_Toc256000091" </w:instrText>
      </w:r>
      <w:r>
        <w:fldChar w:fldCharType="separate"/>
      </w:r>
      <w:r>
        <w:rPr>
          <w:rStyle w:val="21"/>
          <w:rFonts w:hint="eastAsia"/>
        </w:rPr>
        <w:t>3.4 评标结果</w:t>
      </w:r>
      <w:r>
        <w:tab/>
      </w:r>
      <w:r>
        <w:fldChar w:fldCharType="begin"/>
      </w:r>
      <w:r>
        <w:instrText xml:space="preserve"> PAGEREF _Toc256000091 \h </w:instrText>
      </w:r>
      <w:r>
        <w:fldChar w:fldCharType="separate"/>
      </w:r>
      <w:r>
        <w:t>57</w:t>
      </w:r>
      <w:r>
        <w:fldChar w:fldCharType="end"/>
      </w:r>
      <w:r>
        <w:fldChar w:fldCharType="end"/>
      </w:r>
    </w:p>
    <w:p w14:paraId="735D08F3">
      <w:pPr>
        <w:pStyle w:val="14"/>
        <w:tabs>
          <w:tab w:val="right" w:leader="dot" w:pos="8296"/>
        </w:tabs>
        <w:rPr>
          <w:rFonts w:asciiTheme="minorHAnsi" w:hAnsiTheme="minorHAnsi"/>
          <w:sz w:val="22"/>
        </w:rPr>
      </w:pPr>
      <w:r>
        <w:fldChar w:fldCharType="begin"/>
      </w:r>
      <w:r>
        <w:instrText xml:space="preserve"> HYPERLINK \l "_Toc256000092" </w:instrText>
      </w:r>
      <w:r>
        <w:fldChar w:fldCharType="separate"/>
      </w:r>
      <w:r>
        <w:rPr>
          <w:rStyle w:val="21"/>
          <w:rFonts w:hint="eastAsia"/>
        </w:rPr>
        <w:t>附件A：评标详细程序</w:t>
      </w:r>
      <w:r>
        <w:tab/>
      </w:r>
      <w:r>
        <w:fldChar w:fldCharType="begin"/>
      </w:r>
      <w:r>
        <w:instrText xml:space="preserve"> PAGEREF _Toc256000092 \h </w:instrText>
      </w:r>
      <w:r>
        <w:fldChar w:fldCharType="separate"/>
      </w:r>
      <w:r>
        <w:t>58</w:t>
      </w:r>
      <w:r>
        <w:fldChar w:fldCharType="end"/>
      </w:r>
      <w:r>
        <w:fldChar w:fldCharType="end"/>
      </w:r>
    </w:p>
    <w:p w14:paraId="1E0CFF77">
      <w:pPr>
        <w:pStyle w:val="9"/>
        <w:tabs>
          <w:tab w:val="right" w:leader="dot" w:pos="8296"/>
        </w:tabs>
        <w:rPr>
          <w:rFonts w:asciiTheme="minorHAnsi" w:hAnsiTheme="minorHAnsi"/>
          <w:sz w:val="22"/>
        </w:rPr>
      </w:pPr>
      <w:r>
        <w:fldChar w:fldCharType="begin"/>
      </w:r>
      <w:r>
        <w:instrText xml:space="preserve"> HYPERLINK \l "_Toc256000093" </w:instrText>
      </w:r>
      <w:r>
        <w:fldChar w:fldCharType="separate"/>
      </w:r>
      <w:r>
        <w:rPr>
          <w:rStyle w:val="21"/>
          <w:rFonts w:hint="eastAsia"/>
        </w:rPr>
        <w:t>A0.总  则</w:t>
      </w:r>
      <w:r>
        <w:tab/>
      </w:r>
      <w:r>
        <w:fldChar w:fldCharType="begin"/>
      </w:r>
      <w:r>
        <w:instrText xml:space="preserve"> PAGEREF _Toc256000093 \h </w:instrText>
      </w:r>
      <w:r>
        <w:fldChar w:fldCharType="separate"/>
      </w:r>
      <w:r>
        <w:t>58</w:t>
      </w:r>
      <w:r>
        <w:fldChar w:fldCharType="end"/>
      </w:r>
      <w:r>
        <w:fldChar w:fldCharType="end"/>
      </w:r>
    </w:p>
    <w:p w14:paraId="4FD4103F">
      <w:pPr>
        <w:pStyle w:val="9"/>
        <w:tabs>
          <w:tab w:val="right" w:leader="dot" w:pos="8296"/>
        </w:tabs>
        <w:rPr>
          <w:rFonts w:asciiTheme="minorHAnsi" w:hAnsiTheme="minorHAnsi"/>
          <w:sz w:val="22"/>
        </w:rPr>
      </w:pPr>
      <w:r>
        <w:fldChar w:fldCharType="begin"/>
      </w:r>
      <w:r>
        <w:instrText xml:space="preserve"> HYPERLINK \l "_Toc256000094" </w:instrText>
      </w:r>
      <w:r>
        <w:fldChar w:fldCharType="separate"/>
      </w:r>
      <w:r>
        <w:rPr>
          <w:rStyle w:val="21"/>
          <w:rFonts w:hint="eastAsia"/>
        </w:rPr>
        <w:t>A1.基本程序</w:t>
      </w:r>
      <w:r>
        <w:tab/>
      </w:r>
      <w:r>
        <w:fldChar w:fldCharType="begin"/>
      </w:r>
      <w:r>
        <w:instrText xml:space="preserve"> PAGEREF _Toc256000094 \h </w:instrText>
      </w:r>
      <w:r>
        <w:fldChar w:fldCharType="separate"/>
      </w:r>
      <w:r>
        <w:t>58</w:t>
      </w:r>
      <w:r>
        <w:fldChar w:fldCharType="end"/>
      </w:r>
      <w:r>
        <w:fldChar w:fldCharType="end"/>
      </w:r>
    </w:p>
    <w:p w14:paraId="2656060B">
      <w:pPr>
        <w:pStyle w:val="9"/>
        <w:tabs>
          <w:tab w:val="right" w:leader="dot" w:pos="8296"/>
        </w:tabs>
        <w:rPr>
          <w:rFonts w:asciiTheme="minorHAnsi" w:hAnsiTheme="minorHAnsi"/>
          <w:sz w:val="22"/>
        </w:rPr>
      </w:pPr>
      <w:r>
        <w:fldChar w:fldCharType="begin"/>
      </w:r>
      <w:r>
        <w:instrText xml:space="preserve"> HYPERLINK \l "_Toc256000095" </w:instrText>
      </w:r>
      <w:r>
        <w:fldChar w:fldCharType="separate"/>
      </w:r>
      <w:r>
        <w:rPr>
          <w:rStyle w:val="21"/>
          <w:rFonts w:hint="eastAsia"/>
        </w:rPr>
        <w:t>A2.评标准备</w:t>
      </w:r>
      <w:r>
        <w:tab/>
      </w:r>
      <w:r>
        <w:fldChar w:fldCharType="begin"/>
      </w:r>
      <w:r>
        <w:instrText xml:space="preserve"> PAGEREF _Toc256000095 \h </w:instrText>
      </w:r>
      <w:r>
        <w:fldChar w:fldCharType="separate"/>
      </w:r>
      <w:r>
        <w:t>58</w:t>
      </w:r>
      <w:r>
        <w:fldChar w:fldCharType="end"/>
      </w:r>
      <w:r>
        <w:fldChar w:fldCharType="end"/>
      </w:r>
    </w:p>
    <w:p w14:paraId="4667E39D">
      <w:pPr>
        <w:pStyle w:val="9"/>
        <w:tabs>
          <w:tab w:val="right" w:leader="dot" w:pos="8296"/>
        </w:tabs>
        <w:rPr>
          <w:rFonts w:asciiTheme="minorHAnsi" w:hAnsiTheme="minorHAnsi"/>
          <w:sz w:val="22"/>
        </w:rPr>
      </w:pPr>
      <w:r>
        <w:fldChar w:fldCharType="begin"/>
      </w:r>
      <w:r>
        <w:instrText xml:space="preserve"> HYPERLINK \l "_Toc256000096" </w:instrText>
      </w:r>
      <w:r>
        <w:fldChar w:fldCharType="separate"/>
      </w:r>
      <w:r>
        <w:rPr>
          <w:rStyle w:val="21"/>
          <w:rFonts w:hint="eastAsia"/>
          <w:bCs/>
        </w:rPr>
        <w:t>A2.1评标委员会成员签到</w:t>
      </w:r>
      <w:r>
        <w:tab/>
      </w:r>
      <w:r>
        <w:fldChar w:fldCharType="begin"/>
      </w:r>
      <w:r>
        <w:instrText xml:space="preserve"> PAGEREF _Toc256000096 \h </w:instrText>
      </w:r>
      <w:r>
        <w:fldChar w:fldCharType="separate"/>
      </w:r>
      <w:r>
        <w:t>58</w:t>
      </w:r>
      <w:r>
        <w:fldChar w:fldCharType="end"/>
      </w:r>
      <w:r>
        <w:fldChar w:fldCharType="end"/>
      </w:r>
    </w:p>
    <w:p w14:paraId="12DB0221">
      <w:pPr>
        <w:pStyle w:val="9"/>
        <w:tabs>
          <w:tab w:val="right" w:leader="dot" w:pos="8296"/>
        </w:tabs>
        <w:rPr>
          <w:rFonts w:asciiTheme="minorHAnsi" w:hAnsiTheme="minorHAnsi"/>
          <w:sz w:val="22"/>
        </w:rPr>
      </w:pPr>
      <w:r>
        <w:fldChar w:fldCharType="begin"/>
      </w:r>
      <w:r>
        <w:instrText xml:space="preserve"> HYPERLINK \l "_Toc256000097" </w:instrText>
      </w:r>
      <w:r>
        <w:fldChar w:fldCharType="separate"/>
      </w:r>
      <w:r>
        <w:rPr>
          <w:rStyle w:val="21"/>
          <w:rFonts w:hint="eastAsia"/>
          <w:bCs/>
        </w:rPr>
        <w:t>A2.2评标委员会的分工</w:t>
      </w:r>
      <w:r>
        <w:tab/>
      </w:r>
      <w:r>
        <w:fldChar w:fldCharType="begin"/>
      </w:r>
      <w:r>
        <w:instrText xml:space="preserve"> PAGEREF _Toc256000097 \h </w:instrText>
      </w:r>
      <w:r>
        <w:fldChar w:fldCharType="separate"/>
      </w:r>
      <w:r>
        <w:t>58</w:t>
      </w:r>
      <w:r>
        <w:fldChar w:fldCharType="end"/>
      </w:r>
      <w:r>
        <w:fldChar w:fldCharType="end"/>
      </w:r>
    </w:p>
    <w:p w14:paraId="67C2EDB6">
      <w:pPr>
        <w:pStyle w:val="9"/>
        <w:tabs>
          <w:tab w:val="right" w:leader="dot" w:pos="8296"/>
        </w:tabs>
        <w:rPr>
          <w:rFonts w:asciiTheme="minorHAnsi" w:hAnsiTheme="minorHAnsi"/>
          <w:sz w:val="22"/>
        </w:rPr>
      </w:pPr>
      <w:r>
        <w:fldChar w:fldCharType="begin"/>
      </w:r>
      <w:r>
        <w:instrText xml:space="preserve"> HYPERLINK \l "_Toc256000098" </w:instrText>
      </w:r>
      <w:r>
        <w:fldChar w:fldCharType="separate"/>
      </w:r>
      <w:r>
        <w:rPr>
          <w:rStyle w:val="21"/>
          <w:rFonts w:hint="eastAsia"/>
          <w:bCs/>
        </w:rPr>
        <w:t>A2.3熟悉文件资料</w:t>
      </w:r>
      <w:r>
        <w:tab/>
      </w:r>
      <w:r>
        <w:fldChar w:fldCharType="begin"/>
      </w:r>
      <w:r>
        <w:instrText xml:space="preserve"> PAGEREF _Toc256000098 \h </w:instrText>
      </w:r>
      <w:r>
        <w:fldChar w:fldCharType="separate"/>
      </w:r>
      <w:r>
        <w:t>59</w:t>
      </w:r>
      <w:r>
        <w:fldChar w:fldCharType="end"/>
      </w:r>
      <w:r>
        <w:fldChar w:fldCharType="end"/>
      </w:r>
    </w:p>
    <w:p w14:paraId="667A4209">
      <w:pPr>
        <w:pStyle w:val="9"/>
        <w:tabs>
          <w:tab w:val="right" w:leader="dot" w:pos="8296"/>
        </w:tabs>
        <w:rPr>
          <w:rFonts w:asciiTheme="minorHAnsi" w:hAnsiTheme="minorHAnsi"/>
          <w:sz w:val="22"/>
        </w:rPr>
      </w:pPr>
      <w:r>
        <w:fldChar w:fldCharType="begin"/>
      </w:r>
      <w:r>
        <w:instrText xml:space="preserve"> HYPERLINK \l "_Toc256000099" </w:instrText>
      </w:r>
      <w:r>
        <w:fldChar w:fldCharType="separate"/>
      </w:r>
      <w:r>
        <w:rPr>
          <w:rStyle w:val="21"/>
          <w:rFonts w:hint="eastAsia"/>
          <w:bCs/>
        </w:rPr>
        <w:t>A2.4暗标编号</w:t>
      </w:r>
      <w:r>
        <w:tab/>
      </w:r>
      <w:r>
        <w:fldChar w:fldCharType="begin"/>
      </w:r>
      <w:r>
        <w:instrText xml:space="preserve"> PAGEREF _Toc256000099 \h </w:instrText>
      </w:r>
      <w:r>
        <w:fldChar w:fldCharType="separate"/>
      </w:r>
      <w:r>
        <w:t>59</w:t>
      </w:r>
      <w:r>
        <w:fldChar w:fldCharType="end"/>
      </w:r>
      <w:r>
        <w:fldChar w:fldCharType="end"/>
      </w:r>
    </w:p>
    <w:p w14:paraId="06038D5A">
      <w:pPr>
        <w:pStyle w:val="9"/>
        <w:tabs>
          <w:tab w:val="right" w:leader="dot" w:pos="8296"/>
        </w:tabs>
        <w:rPr>
          <w:rFonts w:asciiTheme="minorHAnsi" w:hAnsiTheme="minorHAnsi"/>
          <w:sz w:val="22"/>
        </w:rPr>
      </w:pPr>
      <w:r>
        <w:fldChar w:fldCharType="begin"/>
      </w:r>
      <w:r>
        <w:instrText xml:space="preserve"> HYPERLINK \l "_Toc256000100" </w:instrText>
      </w:r>
      <w:r>
        <w:fldChar w:fldCharType="separate"/>
      </w:r>
      <w:r>
        <w:rPr>
          <w:rStyle w:val="21"/>
          <w:rFonts w:hint="eastAsia"/>
          <w:bCs/>
        </w:rPr>
        <w:t>A2.5对投标文件进行基础性数据分析和整理工作</w:t>
      </w:r>
      <w:r>
        <w:tab/>
      </w:r>
      <w:r>
        <w:fldChar w:fldCharType="begin"/>
      </w:r>
      <w:r>
        <w:instrText xml:space="preserve"> PAGEREF _Toc256000100 \h </w:instrText>
      </w:r>
      <w:r>
        <w:fldChar w:fldCharType="separate"/>
      </w:r>
      <w:r>
        <w:t>59</w:t>
      </w:r>
      <w:r>
        <w:fldChar w:fldCharType="end"/>
      </w:r>
      <w:r>
        <w:fldChar w:fldCharType="end"/>
      </w:r>
    </w:p>
    <w:p w14:paraId="052249EF">
      <w:pPr>
        <w:pStyle w:val="9"/>
        <w:tabs>
          <w:tab w:val="right" w:leader="dot" w:pos="8296"/>
        </w:tabs>
        <w:rPr>
          <w:rFonts w:asciiTheme="minorHAnsi" w:hAnsiTheme="minorHAnsi"/>
          <w:sz w:val="22"/>
        </w:rPr>
      </w:pPr>
      <w:r>
        <w:fldChar w:fldCharType="begin"/>
      </w:r>
      <w:r>
        <w:instrText xml:space="preserve"> HYPERLINK \l "_Toc256000101" </w:instrText>
      </w:r>
      <w:r>
        <w:fldChar w:fldCharType="separate"/>
      </w:r>
      <w:r>
        <w:rPr>
          <w:rStyle w:val="21"/>
          <w:rFonts w:hint="eastAsia"/>
        </w:rPr>
        <w:t>A3</w:t>
      </w:r>
      <w:r>
        <w:rPr>
          <w:rStyle w:val="21"/>
        </w:rPr>
        <w:t>.</w:t>
      </w:r>
      <w:r>
        <w:rPr>
          <w:rStyle w:val="21"/>
          <w:rFonts w:hint="eastAsia"/>
        </w:rPr>
        <w:t>初步评审</w:t>
      </w:r>
      <w:r>
        <w:tab/>
      </w:r>
      <w:r>
        <w:fldChar w:fldCharType="begin"/>
      </w:r>
      <w:r>
        <w:instrText xml:space="preserve"> PAGEREF _Toc256000101 \h </w:instrText>
      </w:r>
      <w:r>
        <w:fldChar w:fldCharType="separate"/>
      </w:r>
      <w:r>
        <w:t>59</w:t>
      </w:r>
      <w:r>
        <w:fldChar w:fldCharType="end"/>
      </w:r>
      <w:r>
        <w:fldChar w:fldCharType="end"/>
      </w:r>
    </w:p>
    <w:p w14:paraId="59763CE5">
      <w:pPr>
        <w:pStyle w:val="9"/>
        <w:tabs>
          <w:tab w:val="right" w:leader="dot" w:pos="8296"/>
        </w:tabs>
        <w:rPr>
          <w:rFonts w:asciiTheme="minorHAnsi" w:hAnsiTheme="minorHAnsi"/>
          <w:sz w:val="22"/>
        </w:rPr>
      </w:pPr>
      <w:r>
        <w:fldChar w:fldCharType="begin"/>
      </w:r>
      <w:r>
        <w:instrText xml:space="preserve"> HYPERLINK \l "_Toc256000102" </w:instrText>
      </w:r>
      <w:r>
        <w:fldChar w:fldCharType="separate"/>
      </w:r>
      <w:r>
        <w:rPr>
          <w:rStyle w:val="21"/>
          <w:rFonts w:hint="eastAsia"/>
          <w:bCs/>
        </w:rPr>
        <w:t>A3.1形式评审</w:t>
      </w:r>
      <w:r>
        <w:tab/>
      </w:r>
      <w:r>
        <w:fldChar w:fldCharType="begin"/>
      </w:r>
      <w:r>
        <w:instrText xml:space="preserve"> PAGEREF _Toc256000102 \h </w:instrText>
      </w:r>
      <w:r>
        <w:fldChar w:fldCharType="separate"/>
      </w:r>
      <w:r>
        <w:t>59</w:t>
      </w:r>
      <w:r>
        <w:fldChar w:fldCharType="end"/>
      </w:r>
      <w:r>
        <w:fldChar w:fldCharType="end"/>
      </w:r>
    </w:p>
    <w:p w14:paraId="5BCB8927">
      <w:pPr>
        <w:pStyle w:val="9"/>
        <w:tabs>
          <w:tab w:val="right" w:leader="dot" w:pos="8296"/>
        </w:tabs>
        <w:rPr>
          <w:rFonts w:asciiTheme="minorHAnsi" w:hAnsiTheme="minorHAnsi"/>
          <w:sz w:val="22"/>
        </w:rPr>
      </w:pPr>
      <w:r>
        <w:fldChar w:fldCharType="begin"/>
      </w:r>
      <w:r>
        <w:instrText xml:space="preserve"> HYPERLINK \l "_Toc256000103" </w:instrText>
      </w:r>
      <w:r>
        <w:fldChar w:fldCharType="separate"/>
      </w:r>
      <w:r>
        <w:rPr>
          <w:rStyle w:val="21"/>
          <w:rFonts w:hint="eastAsia"/>
          <w:bCs/>
        </w:rPr>
        <w:t>A3.2资格评审</w:t>
      </w:r>
      <w:r>
        <w:tab/>
      </w:r>
      <w:r>
        <w:fldChar w:fldCharType="begin"/>
      </w:r>
      <w:r>
        <w:instrText xml:space="preserve"> PAGEREF _Toc256000103 \h </w:instrText>
      </w:r>
      <w:r>
        <w:fldChar w:fldCharType="separate"/>
      </w:r>
      <w:r>
        <w:t>60</w:t>
      </w:r>
      <w:r>
        <w:fldChar w:fldCharType="end"/>
      </w:r>
      <w:r>
        <w:fldChar w:fldCharType="end"/>
      </w:r>
    </w:p>
    <w:p w14:paraId="67FAADA4">
      <w:pPr>
        <w:pStyle w:val="9"/>
        <w:tabs>
          <w:tab w:val="right" w:leader="dot" w:pos="8296"/>
        </w:tabs>
        <w:rPr>
          <w:rFonts w:asciiTheme="minorHAnsi" w:hAnsiTheme="minorHAnsi"/>
          <w:sz w:val="22"/>
        </w:rPr>
      </w:pPr>
      <w:r>
        <w:fldChar w:fldCharType="begin"/>
      </w:r>
      <w:r>
        <w:instrText xml:space="preserve"> HYPERLINK \l "_Toc256000104" </w:instrText>
      </w:r>
      <w:r>
        <w:fldChar w:fldCharType="separate"/>
      </w:r>
      <w:r>
        <w:rPr>
          <w:rStyle w:val="21"/>
          <w:rFonts w:hint="eastAsia"/>
          <w:bCs/>
        </w:rPr>
        <w:t>A3.3响应性评审</w:t>
      </w:r>
      <w:r>
        <w:tab/>
      </w:r>
      <w:r>
        <w:fldChar w:fldCharType="begin"/>
      </w:r>
      <w:r>
        <w:instrText xml:space="preserve"> PAGEREF _Toc256000104 \h </w:instrText>
      </w:r>
      <w:r>
        <w:fldChar w:fldCharType="separate"/>
      </w:r>
      <w:r>
        <w:t>60</w:t>
      </w:r>
      <w:r>
        <w:fldChar w:fldCharType="end"/>
      </w:r>
      <w:r>
        <w:fldChar w:fldCharType="end"/>
      </w:r>
    </w:p>
    <w:p w14:paraId="78F8B588">
      <w:pPr>
        <w:pStyle w:val="9"/>
        <w:tabs>
          <w:tab w:val="right" w:leader="dot" w:pos="8296"/>
        </w:tabs>
        <w:rPr>
          <w:rFonts w:asciiTheme="minorHAnsi" w:hAnsiTheme="minorHAnsi"/>
          <w:sz w:val="22"/>
        </w:rPr>
      </w:pPr>
      <w:r>
        <w:fldChar w:fldCharType="begin"/>
      </w:r>
      <w:r>
        <w:instrText xml:space="preserve"> HYPERLINK \l "_Toc256000105" </w:instrText>
      </w:r>
      <w:r>
        <w:fldChar w:fldCharType="separate"/>
      </w:r>
      <w:r>
        <w:rPr>
          <w:rStyle w:val="21"/>
          <w:rFonts w:hint="eastAsia"/>
          <w:bCs/>
        </w:rPr>
        <w:t>A3.</w:t>
      </w:r>
      <w:r>
        <w:rPr>
          <w:rStyle w:val="21"/>
          <w:bCs/>
        </w:rPr>
        <w:t>4</w:t>
      </w:r>
      <w:r>
        <w:rPr>
          <w:rStyle w:val="21"/>
          <w:rFonts w:hint="eastAsia"/>
          <w:bCs/>
        </w:rPr>
        <w:t>算术错误修正</w:t>
      </w:r>
      <w:r>
        <w:tab/>
      </w:r>
      <w:r>
        <w:fldChar w:fldCharType="begin"/>
      </w:r>
      <w:r>
        <w:instrText xml:space="preserve"> PAGEREF _Toc256000105 \h </w:instrText>
      </w:r>
      <w:r>
        <w:fldChar w:fldCharType="separate"/>
      </w:r>
      <w:r>
        <w:t>60</w:t>
      </w:r>
      <w:r>
        <w:fldChar w:fldCharType="end"/>
      </w:r>
      <w:r>
        <w:fldChar w:fldCharType="end"/>
      </w:r>
    </w:p>
    <w:p w14:paraId="6264C0CE">
      <w:pPr>
        <w:pStyle w:val="9"/>
        <w:tabs>
          <w:tab w:val="right" w:leader="dot" w:pos="8296"/>
        </w:tabs>
        <w:rPr>
          <w:rFonts w:asciiTheme="minorHAnsi" w:hAnsiTheme="minorHAnsi"/>
          <w:sz w:val="22"/>
        </w:rPr>
      </w:pPr>
      <w:r>
        <w:fldChar w:fldCharType="begin"/>
      </w:r>
      <w:r>
        <w:instrText xml:space="preserve"> HYPERLINK \l "_Toc256000106" </w:instrText>
      </w:r>
      <w:r>
        <w:fldChar w:fldCharType="separate"/>
      </w:r>
      <w:r>
        <w:rPr>
          <w:rStyle w:val="21"/>
          <w:rFonts w:hint="eastAsia"/>
          <w:bCs/>
        </w:rPr>
        <w:t>A3.</w:t>
      </w:r>
      <w:r>
        <w:rPr>
          <w:rStyle w:val="21"/>
          <w:bCs/>
        </w:rPr>
        <w:t>5</w:t>
      </w:r>
      <w:r>
        <w:rPr>
          <w:rStyle w:val="21"/>
          <w:rFonts w:hint="eastAsia"/>
          <w:bCs/>
        </w:rPr>
        <w:t>判断投标报价是否低于成本</w:t>
      </w:r>
      <w:r>
        <w:tab/>
      </w:r>
      <w:r>
        <w:fldChar w:fldCharType="begin"/>
      </w:r>
      <w:r>
        <w:instrText xml:space="preserve"> PAGEREF _Toc256000106 \h </w:instrText>
      </w:r>
      <w:r>
        <w:fldChar w:fldCharType="separate"/>
      </w:r>
      <w:r>
        <w:t>60</w:t>
      </w:r>
      <w:r>
        <w:fldChar w:fldCharType="end"/>
      </w:r>
      <w:r>
        <w:fldChar w:fldCharType="end"/>
      </w:r>
    </w:p>
    <w:p w14:paraId="31F8E957">
      <w:pPr>
        <w:pStyle w:val="9"/>
        <w:tabs>
          <w:tab w:val="right" w:leader="dot" w:pos="8296"/>
        </w:tabs>
        <w:rPr>
          <w:rFonts w:asciiTheme="minorHAnsi" w:hAnsiTheme="minorHAnsi"/>
          <w:sz w:val="22"/>
        </w:rPr>
      </w:pPr>
      <w:r>
        <w:fldChar w:fldCharType="begin"/>
      </w:r>
      <w:r>
        <w:instrText xml:space="preserve"> HYPERLINK \l "_Toc256000107" </w:instrText>
      </w:r>
      <w:r>
        <w:fldChar w:fldCharType="separate"/>
      </w:r>
      <w:r>
        <w:rPr>
          <w:rStyle w:val="21"/>
          <w:rFonts w:hint="eastAsia"/>
          <w:bCs/>
        </w:rPr>
        <w:t>A3.</w:t>
      </w:r>
      <w:r>
        <w:rPr>
          <w:rStyle w:val="21"/>
          <w:bCs/>
        </w:rPr>
        <w:t>6</w:t>
      </w:r>
      <w:r>
        <w:rPr>
          <w:rStyle w:val="21"/>
          <w:rFonts w:hint="eastAsia"/>
          <w:bCs/>
        </w:rPr>
        <w:t xml:space="preserve"> 判断投标是否为应当被否决</w:t>
      </w:r>
      <w:r>
        <w:tab/>
      </w:r>
      <w:r>
        <w:fldChar w:fldCharType="begin"/>
      </w:r>
      <w:r>
        <w:instrText xml:space="preserve"> PAGEREF _Toc256000107 \h </w:instrText>
      </w:r>
      <w:r>
        <w:fldChar w:fldCharType="separate"/>
      </w:r>
      <w:r>
        <w:t>60</w:t>
      </w:r>
      <w:r>
        <w:fldChar w:fldCharType="end"/>
      </w:r>
      <w:r>
        <w:fldChar w:fldCharType="end"/>
      </w:r>
    </w:p>
    <w:p w14:paraId="3DCCC457">
      <w:pPr>
        <w:pStyle w:val="9"/>
        <w:tabs>
          <w:tab w:val="right" w:leader="dot" w:pos="8296"/>
        </w:tabs>
        <w:rPr>
          <w:rFonts w:asciiTheme="minorHAnsi" w:hAnsiTheme="minorHAnsi"/>
          <w:sz w:val="22"/>
        </w:rPr>
      </w:pPr>
      <w:r>
        <w:fldChar w:fldCharType="begin"/>
      </w:r>
      <w:r>
        <w:instrText xml:space="preserve"> HYPERLINK \l "_Toc256000108" </w:instrText>
      </w:r>
      <w:r>
        <w:fldChar w:fldCharType="separate"/>
      </w:r>
      <w:r>
        <w:rPr>
          <w:rStyle w:val="21"/>
          <w:rFonts w:hint="eastAsia"/>
          <w:bCs/>
        </w:rPr>
        <w:t>A3.</w:t>
      </w:r>
      <w:r>
        <w:rPr>
          <w:rStyle w:val="21"/>
          <w:bCs/>
        </w:rPr>
        <w:t>7</w:t>
      </w:r>
      <w:r>
        <w:rPr>
          <w:rStyle w:val="21"/>
          <w:rFonts w:hint="eastAsia"/>
          <w:bCs/>
        </w:rPr>
        <w:t xml:space="preserve"> 澄清、说明或补正</w:t>
      </w:r>
      <w:r>
        <w:tab/>
      </w:r>
      <w:r>
        <w:fldChar w:fldCharType="begin"/>
      </w:r>
      <w:r>
        <w:instrText xml:space="preserve"> PAGEREF _Toc256000108 \h </w:instrText>
      </w:r>
      <w:r>
        <w:fldChar w:fldCharType="separate"/>
      </w:r>
      <w:r>
        <w:t>60</w:t>
      </w:r>
      <w:r>
        <w:fldChar w:fldCharType="end"/>
      </w:r>
      <w:r>
        <w:fldChar w:fldCharType="end"/>
      </w:r>
    </w:p>
    <w:p w14:paraId="3C91C6D4">
      <w:pPr>
        <w:pStyle w:val="9"/>
        <w:tabs>
          <w:tab w:val="right" w:leader="dot" w:pos="8296"/>
        </w:tabs>
        <w:rPr>
          <w:rFonts w:asciiTheme="minorHAnsi" w:hAnsiTheme="minorHAnsi"/>
          <w:sz w:val="22"/>
        </w:rPr>
      </w:pPr>
      <w:r>
        <w:fldChar w:fldCharType="begin"/>
      </w:r>
      <w:r>
        <w:instrText xml:space="preserve"> HYPERLINK \l "_Toc256000109" </w:instrText>
      </w:r>
      <w:r>
        <w:fldChar w:fldCharType="separate"/>
      </w:r>
      <w:r>
        <w:rPr>
          <w:rStyle w:val="21"/>
          <w:rFonts w:hint="eastAsia"/>
        </w:rPr>
        <w:t>A4.详细评审</w:t>
      </w:r>
      <w:r>
        <w:tab/>
      </w:r>
      <w:r>
        <w:fldChar w:fldCharType="begin"/>
      </w:r>
      <w:r>
        <w:instrText xml:space="preserve"> PAGEREF _Toc256000109 \h </w:instrText>
      </w:r>
      <w:r>
        <w:fldChar w:fldCharType="separate"/>
      </w:r>
      <w:r>
        <w:t>61</w:t>
      </w:r>
      <w:r>
        <w:fldChar w:fldCharType="end"/>
      </w:r>
      <w:r>
        <w:fldChar w:fldCharType="end"/>
      </w:r>
    </w:p>
    <w:p w14:paraId="03A45064">
      <w:pPr>
        <w:pStyle w:val="9"/>
        <w:tabs>
          <w:tab w:val="right" w:leader="dot" w:pos="8296"/>
        </w:tabs>
        <w:rPr>
          <w:rFonts w:asciiTheme="minorHAnsi" w:hAnsiTheme="minorHAnsi"/>
          <w:sz w:val="22"/>
        </w:rPr>
      </w:pPr>
      <w:r>
        <w:fldChar w:fldCharType="begin"/>
      </w:r>
      <w:r>
        <w:instrText xml:space="preserve"> HYPERLINK \l "_Toc256000110" </w:instrText>
      </w:r>
      <w:r>
        <w:fldChar w:fldCharType="separate"/>
      </w:r>
      <w:r>
        <w:rPr>
          <w:rStyle w:val="21"/>
          <w:rFonts w:hint="eastAsia"/>
          <w:bCs/>
        </w:rPr>
        <w:t>A4.1详细评审的程序</w:t>
      </w:r>
      <w:r>
        <w:tab/>
      </w:r>
      <w:r>
        <w:fldChar w:fldCharType="begin"/>
      </w:r>
      <w:r>
        <w:instrText xml:space="preserve"> PAGEREF _Toc256000110 \h </w:instrText>
      </w:r>
      <w:r>
        <w:fldChar w:fldCharType="separate"/>
      </w:r>
      <w:r>
        <w:t>61</w:t>
      </w:r>
      <w:r>
        <w:fldChar w:fldCharType="end"/>
      </w:r>
      <w:r>
        <w:fldChar w:fldCharType="end"/>
      </w:r>
    </w:p>
    <w:p w14:paraId="4714C461">
      <w:pPr>
        <w:pStyle w:val="9"/>
        <w:tabs>
          <w:tab w:val="right" w:leader="dot" w:pos="8296"/>
        </w:tabs>
        <w:rPr>
          <w:rFonts w:asciiTheme="minorHAnsi" w:hAnsiTheme="minorHAnsi"/>
          <w:sz w:val="22"/>
        </w:rPr>
      </w:pPr>
      <w:r>
        <w:fldChar w:fldCharType="begin"/>
      </w:r>
      <w:r>
        <w:instrText xml:space="preserve"> HYPERLINK \l "_Toc256000111" </w:instrText>
      </w:r>
      <w:r>
        <w:fldChar w:fldCharType="separate"/>
      </w:r>
      <w:r>
        <w:rPr>
          <w:rStyle w:val="21"/>
          <w:rFonts w:hint="eastAsia"/>
          <w:bCs/>
        </w:rPr>
        <w:t>A4.2经济标评审和评分</w:t>
      </w:r>
      <w:r>
        <w:tab/>
      </w:r>
      <w:r>
        <w:fldChar w:fldCharType="begin"/>
      </w:r>
      <w:r>
        <w:instrText xml:space="preserve"> PAGEREF _Toc256000111 \h </w:instrText>
      </w:r>
      <w:r>
        <w:fldChar w:fldCharType="separate"/>
      </w:r>
      <w:r>
        <w:t>61</w:t>
      </w:r>
      <w:r>
        <w:fldChar w:fldCharType="end"/>
      </w:r>
      <w:r>
        <w:fldChar w:fldCharType="end"/>
      </w:r>
    </w:p>
    <w:p w14:paraId="108C1453">
      <w:pPr>
        <w:pStyle w:val="9"/>
        <w:tabs>
          <w:tab w:val="right" w:leader="dot" w:pos="8296"/>
        </w:tabs>
        <w:rPr>
          <w:rFonts w:asciiTheme="minorHAnsi" w:hAnsiTheme="minorHAnsi"/>
          <w:sz w:val="22"/>
        </w:rPr>
      </w:pPr>
      <w:r>
        <w:fldChar w:fldCharType="begin"/>
      </w:r>
      <w:r>
        <w:instrText xml:space="preserve"> HYPERLINK \l "_Toc256000112" </w:instrText>
      </w:r>
      <w:r>
        <w:fldChar w:fldCharType="separate"/>
      </w:r>
      <w:r>
        <w:rPr>
          <w:rStyle w:val="21"/>
          <w:rFonts w:hint="eastAsia"/>
          <w:bCs/>
        </w:rPr>
        <w:t>A4.3 技术标评审和评分</w:t>
      </w:r>
      <w:r>
        <w:tab/>
      </w:r>
      <w:r>
        <w:fldChar w:fldCharType="begin"/>
      </w:r>
      <w:r>
        <w:instrText xml:space="preserve"> PAGEREF _Toc256000112 \h </w:instrText>
      </w:r>
      <w:r>
        <w:fldChar w:fldCharType="separate"/>
      </w:r>
      <w:r>
        <w:t>61</w:t>
      </w:r>
      <w:r>
        <w:fldChar w:fldCharType="end"/>
      </w:r>
      <w:r>
        <w:fldChar w:fldCharType="end"/>
      </w:r>
    </w:p>
    <w:p w14:paraId="3EA82F07">
      <w:pPr>
        <w:pStyle w:val="9"/>
        <w:tabs>
          <w:tab w:val="right" w:leader="dot" w:pos="8296"/>
        </w:tabs>
        <w:rPr>
          <w:rFonts w:asciiTheme="minorHAnsi" w:hAnsiTheme="minorHAnsi"/>
          <w:sz w:val="22"/>
        </w:rPr>
      </w:pPr>
      <w:r>
        <w:fldChar w:fldCharType="begin"/>
      </w:r>
      <w:r>
        <w:instrText xml:space="preserve"> HYPERLINK \l "_Toc256000113" </w:instrText>
      </w:r>
      <w:r>
        <w:fldChar w:fldCharType="separate"/>
      </w:r>
      <w:r>
        <w:rPr>
          <w:rStyle w:val="21"/>
          <w:rFonts w:hint="eastAsia"/>
          <w:bCs/>
        </w:rPr>
        <w:t>A4.4资信标评审和评分</w:t>
      </w:r>
      <w:r>
        <w:tab/>
      </w:r>
      <w:r>
        <w:fldChar w:fldCharType="begin"/>
      </w:r>
      <w:r>
        <w:instrText xml:space="preserve"> PAGEREF _Toc256000113 \h </w:instrText>
      </w:r>
      <w:r>
        <w:fldChar w:fldCharType="separate"/>
      </w:r>
      <w:r>
        <w:t>61</w:t>
      </w:r>
      <w:r>
        <w:fldChar w:fldCharType="end"/>
      </w:r>
      <w:r>
        <w:fldChar w:fldCharType="end"/>
      </w:r>
    </w:p>
    <w:p w14:paraId="539D77BF">
      <w:pPr>
        <w:pStyle w:val="9"/>
        <w:tabs>
          <w:tab w:val="right" w:leader="dot" w:pos="8296"/>
        </w:tabs>
        <w:rPr>
          <w:rFonts w:asciiTheme="minorHAnsi" w:hAnsiTheme="minorHAnsi"/>
          <w:sz w:val="22"/>
        </w:rPr>
      </w:pPr>
      <w:r>
        <w:fldChar w:fldCharType="begin"/>
      </w:r>
      <w:r>
        <w:instrText xml:space="preserve"> HYPERLINK \l "_Toc256000114" </w:instrText>
      </w:r>
      <w:r>
        <w:fldChar w:fldCharType="separate"/>
      </w:r>
      <w:r>
        <w:rPr>
          <w:rStyle w:val="21"/>
          <w:rFonts w:hint="eastAsia"/>
          <w:bCs/>
        </w:rPr>
        <w:t>A4.5 其他因素的评审和评分</w:t>
      </w:r>
      <w:r>
        <w:tab/>
      </w:r>
      <w:r>
        <w:fldChar w:fldCharType="begin"/>
      </w:r>
      <w:r>
        <w:instrText xml:space="preserve"> PAGEREF _Toc256000114 \h </w:instrText>
      </w:r>
      <w:r>
        <w:fldChar w:fldCharType="separate"/>
      </w:r>
      <w:r>
        <w:t>61</w:t>
      </w:r>
      <w:r>
        <w:fldChar w:fldCharType="end"/>
      </w:r>
      <w:r>
        <w:fldChar w:fldCharType="end"/>
      </w:r>
    </w:p>
    <w:p w14:paraId="077FE382">
      <w:pPr>
        <w:pStyle w:val="9"/>
        <w:tabs>
          <w:tab w:val="right" w:leader="dot" w:pos="8296"/>
        </w:tabs>
        <w:rPr>
          <w:rFonts w:asciiTheme="minorHAnsi" w:hAnsiTheme="minorHAnsi"/>
          <w:sz w:val="22"/>
        </w:rPr>
      </w:pPr>
      <w:r>
        <w:fldChar w:fldCharType="begin"/>
      </w:r>
      <w:r>
        <w:instrText xml:space="preserve"> HYPERLINK \l "_Toc256000115" </w:instrText>
      </w:r>
      <w:r>
        <w:fldChar w:fldCharType="separate"/>
      </w:r>
      <w:r>
        <w:rPr>
          <w:rStyle w:val="21"/>
          <w:rFonts w:hint="eastAsia"/>
          <w:bCs/>
        </w:rPr>
        <w:t>A4.6 澄清、说明或补正</w:t>
      </w:r>
      <w:r>
        <w:tab/>
      </w:r>
      <w:r>
        <w:fldChar w:fldCharType="begin"/>
      </w:r>
      <w:r>
        <w:instrText xml:space="preserve"> PAGEREF _Toc256000115 \h </w:instrText>
      </w:r>
      <w:r>
        <w:fldChar w:fldCharType="separate"/>
      </w:r>
      <w:r>
        <w:t>61</w:t>
      </w:r>
      <w:r>
        <w:fldChar w:fldCharType="end"/>
      </w:r>
      <w:r>
        <w:fldChar w:fldCharType="end"/>
      </w:r>
    </w:p>
    <w:p w14:paraId="151E19F1">
      <w:pPr>
        <w:pStyle w:val="9"/>
        <w:tabs>
          <w:tab w:val="right" w:leader="dot" w:pos="8296"/>
        </w:tabs>
        <w:rPr>
          <w:rFonts w:asciiTheme="minorHAnsi" w:hAnsiTheme="minorHAnsi"/>
          <w:sz w:val="22"/>
        </w:rPr>
      </w:pPr>
      <w:r>
        <w:fldChar w:fldCharType="begin"/>
      </w:r>
      <w:r>
        <w:instrText xml:space="preserve"> HYPERLINK \l "_Toc256000116" </w:instrText>
      </w:r>
      <w:r>
        <w:fldChar w:fldCharType="separate"/>
      </w:r>
      <w:r>
        <w:rPr>
          <w:rStyle w:val="21"/>
          <w:rFonts w:hint="eastAsia"/>
          <w:bCs/>
        </w:rPr>
        <w:t>A4.7汇总评分（评审）结果</w:t>
      </w:r>
      <w:r>
        <w:tab/>
      </w:r>
      <w:r>
        <w:fldChar w:fldCharType="begin"/>
      </w:r>
      <w:r>
        <w:instrText xml:space="preserve"> PAGEREF _Toc256000116 \h </w:instrText>
      </w:r>
      <w:r>
        <w:fldChar w:fldCharType="separate"/>
      </w:r>
      <w:r>
        <w:t>62</w:t>
      </w:r>
      <w:r>
        <w:fldChar w:fldCharType="end"/>
      </w:r>
      <w:r>
        <w:fldChar w:fldCharType="end"/>
      </w:r>
    </w:p>
    <w:p w14:paraId="3D9E97E0">
      <w:pPr>
        <w:pStyle w:val="9"/>
        <w:tabs>
          <w:tab w:val="right" w:leader="dot" w:pos="8296"/>
        </w:tabs>
        <w:rPr>
          <w:rFonts w:asciiTheme="minorHAnsi" w:hAnsiTheme="minorHAnsi"/>
          <w:sz w:val="22"/>
        </w:rPr>
      </w:pPr>
      <w:r>
        <w:fldChar w:fldCharType="begin"/>
      </w:r>
      <w:r>
        <w:instrText xml:space="preserve"> HYPERLINK \l "_Toc256000117" </w:instrText>
      </w:r>
      <w:r>
        <w:fldChar w:fldCharType="separate"/>
      </w:r>
      <w:r>
        <w:rPr>
          <w:rStyle w:val="21"/>
          <w:rFonts w:hint="eastAsia"/>
        </w:rPr>
        <w:t>A5</w:t>
      </w:r>
      <w:r>
        <w:rPr>
          <w:rStyle w:val="21"/>
        </w:rPr>
        <w:t>.</w:t>
      </w:r>
      <w:r>
        <w:rPr>
          <w:rStyle w:val="21"/>
          <w:rFonts w:hint="eastAsia"/>
        </w:rPr>
        <w:t>推荐中标候选人或者直接确定中标人</w:t>
      </w:r>
      <w:r>
        <w:tab/>
      </w:r>
      <w:r>
        <w:fldChar w:fldCharType="begin"/>
      </w:r>
      <w:r>
        <w:instrText xml:space="preserve"> PAGEREF _Toc256000117 \h </w:instrText>
      </w:r>
      <w:r>
        <w:fldChar w:fldCharType="separate"/>
      </w:r>
      <w:r>
        <w:t>62</w:t>
      </w:r>
      <w:r>
        <w:fldChar w:fldCharType="end"/>
      </w:r>
      <w:r>
        <w:fldChar w:fldCharType="end"/>
      </w:r>
    </w:p>
    <w:p w14:paraId="4C0256A0">
      <w:pPr>
        <w:pStyle w:val="9"/>
        <w:tabs>
          <w:tab w:val="right" w:leader="dot" w:pos="8296"/>
        </w:tabs>
        <w:rPr>
          <w:rFonts w:asciiTheme="minorHAnsi" w:hAnsiTheme="minorHAnsi"/>
          <w:sz w:val="22"/>
        </w:rPr>
      </w:pPr>
      <w:r>
        <w:fldChar w:fldCharType="begin"/>
      </w:r>
      <w:r>
        <w:instrText xml:space="preserve"> HYPERLINK \l "_Toc256000118" </w:instrText>
      </w:r>
      <w:r>
        <w:fldChar w:fldCharType="separate"/>
      </w:r>
      <w:r>
        <w:rPr>
          <w:rStyle w:val="21"/>
          <w:rFonts w:hint="eastAsia"/>
          <w:bCs/>
        </w:rPr>
        <w:t>A5.1推荐中标候选人</w:t>
      </w:r>
      <w:r>
        <w:tab/>
      </w:r>
      <w:r>
        <w:fldChar w:fldCharType="begin"/>
      </w:r>
      <w:r>
        <w:instrText xml:space="preserve"> PAGEREF _Toc256000118 \h </w:instrText>
      </w:r>
      <w:r>
        <w:fldChar w:fldCharType="separate"/>
      </w:r>
      <w:r>
        <w:t>62</w:t>
      </w:r>
      <w:r>
        <w:fldChar w:fldCharType="end"/>
      </w:r>
      <w:r>
        <w:fldChar w:fldCharType="end"/>
      </w:r>
    </w:p>
    <w:p w14:paraId="03A99DF2">
      <w:pPr>
        <w:pStyle w:val="9"/>
        <w:tabs>
          <w:tab w:val="right" w:leader="dot" w:pos="8296"/>
        </w:tabs>
        <w:rPr>
          <w:rFonts w:asciiTheme="minorHAnsi" w:hAnsiTheme="minorHAnsi"/>
          <w:sz w:val="22"/>
        </w:rPr>
      </w:pPr>
      <w:r>
        <w:fldChar w:fldCharType="begin"/>
      </w:r>
      <w:r>
        <w:instrText xml:space="preserve"> HYPERLINK \l "_Toc256000119" </w:instrText>
      </w:r>
      <w:r>
        <w:fldChar w:fldCharType="separate"/>
      </w:r>
      <w:r>
        <w:rPr>
          <w:rStyle w:val="21"/>
          <w:rFonts w:hint="eastAsia"/>
          <w:bCs/>
        </w:rPr>
        <w:t>A5.2直接确定中标人</w:t>
      </w:r>
      <w:r>
        <w:tab/>
      </w:r>
      <w:r>
        <w:fldChar w:fldCharType="begin"/>
      </w:r>
      <w:r>
        <w:instrText xml:space="preserve"> PAGEREF _Toc256000119 \h </w:instrText>
      </w:r>
      <w:r>
        <w:fldChar w:fldCharType="separate"/>
      </w:r>
      <w:r>
        <w:t>62</w:t>
      </w:r>
      <w:r>
        <w:fldChar w:fldCharType="end"/>
      </w:r>
      <w:r>
        <w:fldChar w:fldCharType="end"/>
      </w:r>
    </w:p>
    <w:p w14:paraId="5F3920B1">
      <w:pPr>
        <w:pStyle w:val="9"/>
        <w:tabs>
          <w:tab w:val="right" w:leader="dot" w:pos="8296"/>
        </w:tabs>
        <w:rPr>
          <w:rFonts w:asciiTheme="minorHAnsi" w:hAnsiTheme="minorHAnsi"/>
          <w:sz w:val="22"/>
        </w:rPr>
      </w:pPr>
      <w:r>
        <w:fldChar w:fldCharType="begin"/>
      </w:r>
      <w:r>
        <w:instrText xml:space="preserve"> HYPERLINK \l "_Toc256000120" </w:instrText>
      </w:r>
      <w:r>
        <w:fldChar w:fldCharType="separate"/>
      </w:r>
      <w:r>
        <w:rPr>
          <w:rStyle w:val="21"/>
          <w:rFonts w:hint="eastAsia"/>
          <w:bCs/>
        </w:rPr>
        <w:t>A5.3编制评标报告</w:t>
      </w:r>
      <w:r>
        <w:tab/>
      </w:r>
      <w:r>
        <w:fldChar w:fldCharType="begin"/>
      </w:r>
      <w:r>
        <w:instrText xml:space="preserve"> PAGEREF _Toc256000120 \h </w:instrText>
      </w:r>
      <w:r>
        <w:fldChar w:fldCharType="separate"/>
      </w:r>
      <w:r>
        <w:t>62</w:t>
      </w:r>
      <w:r>
        <w:fldChar w:fldCharType="end"/>
      </w:r>
      <w:r>
        <w:fldChar w:fldCharType="end"/>
      </w:r>
    </w:p>
    <w:p w14:paraId="03C77C2D">
      <w:pPr>
        <w:pStyle w:val="9"/>
        <w:tabs>
          <w:tab w:val="right" w:leader="dot" w:pos="8296"/>
        </w:tabs>
        <w:rPr>
          <w:rFonts w:asciiTheme="minorHAnsi" w:hAnsiTheme="minorHAnsi"/>
          <w:sz w:val="22"/>
        </w:rPr>
      </w:pPr>
      <w:r>
        <w:fldChar w:fldCharType="begin"/>
      </w:r>
      <w:r>
        <w:instrText xml:space="preserve"> HYPERLINK \l "_Toc256000121" </w:instrText>
      </w:r>
      <w:r>
        <w:fldChar w:fldCharType="separate"/>
      </w:r>
      <w:r>
        <w:rPr>
          <w:rStyle w:val="21"/>
          <w:rFonts w:hint="eastAsia"/>
        </w:rPr>
        <w:t>A6.特殊情况的处置程序</w:t>
      </w:r>
      <w:r>
        <w:tab/>
      </w:r>
      <w:r>
        <w:fldChar w:fldCharType="begin"/>
      </w:r>
      <w:r>
        <w:instrText xml:space="preserve"> PAGEREF _Toc256000121 \h </w:instrText>
      </w:r>
      <w:r>
        <w:fldChar w:fldCharType="separate"/>
      </w:r>
      <w:r>
        <w:t>63</w:t>
      </w:r>
      <w:r>
        <w:fldChar w:fldCharType="end"/>
      </w:r>
      <w:r>
        <w:fldChar w:fldCharType="end"/>
      </w:r>
    </w:p>
    <w:p w14:paraId="4A1B00FC">
      <w:pPr>
        <w:pStyle w:val="9"/>
        <w:tabs>
          <w:tab w:val="right" w:leader="dot" w:pos="8296"/>
        </w:tabs>
        <w:rPr>
          <w:rFonts w:asciiTheme="minorHAnsi" w:hAnsiTheme="minorHAnsi"/>
          <w:sz w:val="22"/>
        </w:rPr>
      </w:pPr>
      <w:r>
        <w:fldChar w:fldCharType="begin"/>
      </w:r>
      <w:r>
        <w:instrText xml:space="preserve"> HYPERLINK \l "_Toc256000122" </w:instrText>
      </w:r>
      <w:r>
        <w:fldChar w:fldCharType="separate"/>
      </w:r>
      <w:r>
        <w:rPr>
          <w:rStyle w:val="21"/>
          <w:rFonts w:hint="eastAsia"/>
          <w:bCs/>
        </w:rPr>
        <w:t>A6.1暗标评审的评审程序规定（适用于对技术标进行暗标评审的）</w:t>
      </w:r>
      <w:r>
        <w:tab/>
      </w:r>
      <w:r>
        <w:fldChar w:fldCharType="begin"/>
      </w:r>
      <w:r>
        <w:instrText xml:space="preserve"> PAGEREF _Toc256000122 \h </w:instrText>
      </w:r>
      <w:r>
        <w:fldChar w:fldCharType="separate"/>
      </w:r>
      <w:r>
        <w:t>63</w:t>
      </w:r>
      <w:r>
        <w:fldChar w:fldCharType="end"/>
      </w:r>
      <w:r>
        <w:fldChar w:fldCharType="end"/>
      </w:r>
    </w:p>
    <w:p w14:paraId="1C4EBC61">
      <w:pPr>
        <w:pStyle w:val="9"/>
        <w:tabs>
          <w:tab w:val="right" w:leader="dot" w:pos="8296"/>
        </w:tabs>
        <w:rPr>
          <w:rFonts w:asciiTheme="minorHAnsi" w:hAnsiTheme="minorHAnsi"/>
          <w:sz w:val="22"/>
        </w:rPr>
      </w:pPr>
      <w:r>
        <w:fldChar w:fldCharType="begin"/>
      </w:r>
      <w:r>
        <w:instrText xml:space="preserve"> HYPERLINK \l "_Toc256000123" </w:instrText>
      </w:r>
      <w:r>
        <w:fldChar w:fldCharType="separate"/>
      </w:r>
      <w:r>
        <w:rPr>
          <w:rStyle w:val="21"/>
          <w:rFonts w:hint="eastAsia"/>
          <w:bCs/>
        </w:rPr>
        <w:t>A6.2关于评标活动暂停</w:t>
      </w:r>
      <w:r>
        <w:tab/>
      </w:r>
      <w:r>
        <w:fldChar w:fldCharType="begin"/>
      </w:r>
      <w:r>
        <w:instrText xml:space="preserve"> PAGEREF _Toc256000123 \h </w:instrText>
      </w:r>
      <w:r>
        <w:fldChar w:fldCharType="separate"/>
      </w:r>
      <w:r>
        <w:t>63</w:t>
      </w:r>
      <w:r>
        <w:fldChar w:fldCharType="end"/>
      </w:r>
      <w:r>
        <w:fldChar w:fldCharType="end"/>
      </w:r>
    </w:p>
    <w:p w14:paraId="69E2DB4F">
      <w:pPr>
        <w:pStyle w:val="9"/>
        <w:tabs>
          <w:tab w:val="right" w:leader="dot" w:pos="8296"/>
        </w:tabs>
        <w:rPr>
          <w:rFonts w:asciiTheme="minorHAnsi" w:hAnsiTheme="minorHAnsi"/>
          <w:sz w:val="22"/>
        </w:rPr>
      </w:pPr>
      <w:r>
        <w:fldChar w:fldCharType="begin"/>
      </w:r>
      <w:r>
        <w:instrText xml:space="preserve"> HYPERLINK \l "_Toc256000124" </w:instrText>
      </w:r>
      <w:r>
        <w:fldChar w:fldCharType="separate"/>
      </w:r>
      <w:r>
        <w:rPr>
          <w:rStyle w:val="21"/>
          <w:rFonts w:hint="eastAsia"/>
          <w:bCs/>
        </w:rPr>
        <w:t>A6.3关于评标中途更换评标委员会成员</w:t>
      </w:r>
      <w:r>
        <w:tab/>
      </w:r>
      <w:r>
        <w:fldChar w:fldCharType="begin"/>
      </w:r>
      <w:r>
        <w:instrText xml:space="preserve"> PAGEREF _Toc256000124 \h </w:instrText>
      </w:r>
      <w:r>
        <w:fldChar w:fldCharType="separate"/>
      </w:r>
      <w:r>
        <w:t>63</w:t>
      </w:r>
      <w:r>
        <w:fldChar w:fldCharType="end"/>
      </w:r>
      <w:r>
        <w:fldChar w:fldCharType="end"/>
      </w:r>
    </w:p>
    <w:p w14:paraId="12D8A75C">
      <w:pPr>
        <w:pStyle w:val="9"/>
        <w:tabs>
          <w:tab w:val="right" w:leader="dot" w:pos="8296"/>
        </w:tabs>
        <w:rPr>
          <w:rFonts w:asciiTheme="minorHAnsi" w:hAnsiTheme="minorHAnsi"/>
          <w:sz w:val="22"/>
        </w:rPr>
      </w:pPr>
      <w:r>
        <w:fldChar w:fldCharType="begin"/>
      </w:r>
      <w:r>
        <w:instrText xml:space="preserve"> HYPERLINK \l "_Toc256000125" </w:instrText>
      </w:r>
      <w:r>
        <w:fldChar w:fldCharType="separate"/>
      </w:r>
      <w:r>
        <w:rPr>
          <w:rStyle w:val="21"/>
          <w:rFonts w:hint="eastAsia"/>
          <w:bCs/>
        </w:rPr>
        <w:t>A6.4 评标争议处理</w:t>
      </w:r>
      <w:r>
        <w:tab/>
      </w:r>
      <w:r>
        <w:fldChar w:fldCharType="begin"/>
      </w:r>
      <w:r>
        <w:instrText xml:space="preserve"> PAGEREF _Toc256000125 \h </w:instrText>
      </w:r>
      <w:r>
        <w:fldChar w:fldCharType="separate"/>
      </w:r>
      <w:r>
        <w:t>63</w:t>
      </w:r>
      <w:r>
        <w:fldChar w:fldCharType="end"/>
      </w:r>
      <w:r>
        <w:fldChar w:fldCharType="end"/>
      </w:r>
    </w:p>
    <w:p w14:paraId="350B8B24">
      <w:pPr>
        <w:pStyle w:val="9"/>
        <w:tabs>
          <w:tab w:val="right" w:leader="dot" w:pos="8296"/>
        </w:tabs>
        <w:rPr>
          <w:rFonts w:asciiTheme="minorHAnsi" w:hAnsiTheme="minorHAnsi"/>
          <w:sz w:val="22"/>
        </w:rPr>
      </w:pPr>
      <w:r>
        <w:fldChar w:fldCharType="begin"/>
      </w:r>
      <w:r>
        <w:instrText xml:space="preserve"> HYPERLINK \l "_Toc256000126" </w:instrText>
      </w:r>
      <w:r>
        <w:fldChar w:fldCharType="separate"/>
      </w:r>
      <w:r>
        <w:rPr>
          <w:rStyle w:val="21"/>
          <w:rFonts w:hint="eastAsia"/>
        </w:rPr>
        <w:t>A7.补充条款</w:t>
      </w:r>
      <w:r>
        <w:tab/>
      </w:r>
      <w:r>
        <w:fldChar w:fldCharType="begin"/>
      </w:r>
      <w:r>
        <w:instrText xml:space="preserve"> PAGEREF _Toc256000126 \h </w:instrText>
      </w:r>
      <w:r>
        <w:fldChar w:fldCharType="separate"/>
      </w:r>
      <w:r>
        <w:t>63</w:t>
      </w:r>
      <w:r>
        <w:fldChar w:fldCharType="end"/>
      </w:r>
      <w:r>
        <w:fldChar w:fldCharType="end"/>
      </w:r>
    </w:p>
    <w:p w14:paraId="594F4978">
      <w:pPr>
        <w:pStyle w:val="14"/>
        <w:tabs>
          <w:tab w:val="right" w:leader="dot" w:pos="8296"/>
        </w:tabs>
        <w:rPr>
          <w:rFonts w:asciiTheme="minorHAnsi" w:hAnsiTheme="minorHAnsi"/>
          <w:sz w:val="22"/>
        </w:rPr>
      </w:pPr>
      <w:r>
        <w:fldChar w:fldCharType="begin"/>
      </w:r>
      <w:r>
        <w:instrText xml:space="preserve"> HYPERLINK \l "_Toc256000127" </w:instrText>
      </w:r>
      <w:r>
        <w:fldChar w:fldCharType="separate"/>
      </w:r>
      <w:r>
        <w:rPr>
          <w:rStyle w:val="21"/>
          <w:rFonts w:hint="eastAsia"/>
        </w:rPr>
        <w:t>附件B：否决投标的条件</w:t>
      </w:r>
      <w:r>
        <w:tab/>
      </w:r>
      <w:r>
        <w:fldChar w:fldCharType="begin"/>
      </w:r>
      <w:r>
        <w:instrText xml:space="preserve"> PAGEREF _Toc256000127 \h </w:instrText>
      </w:r>
      <w:r>
        <w:fldChar w:fldCharType="separate"/>
      </w:r>
      <w:r>
        <w:t>64</w:t>
      </w:r>
      <w:r>
        <w:fldChar w:fldCharType="end"/>
      </w:r>
      <w:r>
        <w:fldChar w:fldCharType="end"/>
      </w:r>
    </w:p>
    <w:p w14:paraId="44997064">
      <w:pPr>
        <w:pStyle w:val="9"/>
        <w:tabs>
          <w:tab w:val="right" w:leader="dot" w:pos="8296"/>
        </w:tabs>
        <w:rPr>
          <w:rFonts w:asciiTheme="minorHAnsi" w:hAnsiTheme="minorHAnsi"/>
          <w:sz w:val="22"/>
        </w:rPr>
      </w:pPr>
      <w:r>
        <w:fldChar w:fldCharType="begin"/>
      </w:r>
      <w:r>
        <w:instrText xml:space="preserve"> HYPERLINK \l "_Toc256000128" </w:instrText>
      </w:r>
      <w:r>
        <w:fldChar w:fldCharType="separate"/>
      </w:r>
      <w:r>
        <w:rPr>
          <w:rStyle w:val="21"/>
          <w:rFonts w:hint="eastAsia"/>
        </w:rPr>
        <w:t>B0.总  则</w:t>
      </w:r>
      <w:r>
        <w:tab/>
      </w:r>
      <w:r>
        <w:fldChar w:fldCharType="begin"/>
      </w:r>
      <w:r>
        <w:instrText xml:space="preserve"> PAGEREF _Toc256000128 \h </w:instrText>
      </w:r>
      <w:r>
        <w:fldChar w:fldCharType="separate"/>
      </w:r>
      <w:r>
        <w:t>64</w:t>
      </w:r>
      <w:r>
        <w:fldChar w:fldCharType="end"/>
      </w:r>
      <w:r>
        <w:fldChar w:fldCharType="end"/>
      </w:r>
    </w:p>
    <w:p w14:paraId="7321E1BD">
      <w:pPr>
        <w:pStyle w:val="9"/>
        <w:tabs>
          <w:tab w:val="right" w:leader="dot" w:pos="8296"/>
        </w:tabs>
        <w:rPr>
          <w:rFonts w:asciiTheme="minorHAnsi" w:hAnsiTheme="minorHAnsi"/>
          <w:sz w:val="22"/>
        </w:rPr>
      </w:pPr>
      <w:r>
        <w:fldChar w:fldCharType="begin"/>
      </w:r>
      <w:r>
        <w:instrText xml:space="preserve"> HYPERLINK \l "_Toc256000129" </w:instrText>
      </w:r>
      <w:r>
        <w:fldChar w:fldCharType="separate"/>
      </w:r>
      <w:r>
        <w:rPr>
          <w:rStyle w:val="21"/>
          <w:rFonts w:hint="eastAsia"/>
        </w:rPr>
        <w:t>B1</w:t>
      </w:r>
      <w:r>
        <w:rPr>
          <w:rStyle w:val="21"/>
        </w:rPr>
        <w:t>.</w:t>
      </w:r>
      <w:r>
        <w:rPr>
          <w:rStyle w:val="21"/>
          <w:rFonts w:hint="eastAsia"/>
        </w:rPr>
        <w:t>否决投标的条件</w:t>
      </w:r>
      <w:r>
        <w:tab/>
      </w:r>
      <w:r>
        <w:fldChar w:fldCharType="begin"/>
      </w:r>
      <w:r>
        <w:instrText xml:space="preserve"> PAGEREF _Toc256000129 \h </w:instrText>
      </w:r>
      <w:r>
        <w:fldChar w:fldCharType="separate"/>
      </w:r>
      <w:r>
        <w:t>64</w:t>
      </w:r>
      <w:r>
        <w:fldChar w:fldCharType="end"/>
      </w:r>
      <w:r>
        <w:fldChar w:fldCharType="end"/>
      </w:r>
    </w:p>
    <w:p w14:paraId="190ABC3A">
      <w:pPr>
        <w:pStyle w:val="9"/>
        <w:tabs>
          <w:tab w:val="right" w:leader="dot" w:pos="8296"/>
        </w:tabs>
        <w:rPr>
          <w:rFonts w:asciiTheme="minorHAnsi" w:hAnsiTheme="minorHAnsi"/>
          <w:sz w:val="22"/>
        </w:rPr>
      </w:pPr>
      <w:r>
        <w:fldChar w:fldCharType="begin"/>
      </w:r>
      <w:r>
        <w:instrText xml:space="preserve"> HYPERLINK \l "_Toc256000130" </w:instrText>
      </w:r>
      <w:r>
        <w:fldChar w:fldCharType="separate"/>
      </w:r>
      <w:r>
        <w:rPr>
          <w:rStyle w:val="21"/>
          <w:rFonts w:hint="eastAsia"/>
        </w:rPr>
        <w:t>附表A-1：评标委员会签到表</w:t>
      </w:r>
      <w:r>
        <w:tab/>
      </w:r>
      <w:r>
        <w:fldChar w:fldCharType="begin"/>
      </w:r>
      <w:r>
        <w:instrText xml:space="preserve"> PAGEREF _Toc256000130 \h </w:instrText>
      </w:r>
      <w:r>
        <w:fldChar w:fldCharType="separate"/>
      </w:r>
      <w:r>
        <w:t>67</w:t>
      </w:r>
      <w:r>
        <w:fldChar w:fldCharType="end"/>
      </w:r>
      <w:r>
        <w:fldChar w:fldCharType="end"/>
      </w:r>
    </w:p>
    <w:p w14:paraId="6D3582F6">
      <w:pPr>
        <w:pStyle w:val="9"/>
        <w:tabs>
          <w:tab w:val="right" w:leader="dot" w:pos="8296"/>
        </w:tabs>
        <w:rPr>
          <w:rFonts w:asciiTheme="minorHAnsi" w:hAnsiTheme="minorHAnsi"/>
          <w:sz w:val="22"/>
        </w:rPr>
      </w:pPr>
      <w:r>
        <w:fldChar w:fldCharType="begin"/>
      </w:r>
      <w:r>
        <w:instrText xml:space="preserve"> HYPERLINK \l "_Toc256000131" </w:instrText>
      </w:r>
      <w:r>
        <w:fldChar w:fldCharType="separate"/>
      </w:r>
      <w:r>
        <w:rPr>
          <w:rStyle w:val="21"/>
        </w:rPr>
        <w:t>附表A-2：评标专家</w:t>
      </w:r>
      <w:r>
        <w:rPr>
          <w:rStyle w:val="21"/>
          <w:rFonts w:hint="eastAsia"/>
        </w:rPr>
        <w:t>告知承诺函</w:t>
      </w:r>
      <w:r>
        <w:tab/>
      </w:r>
      <w:r>
        <w:fldChar w:fldCharType="begin"/>
      </w:r>
      <w:r>
        <w:instrText xml:space="preserve"> PAGEREF _Toc256000131 \h </w:instrText>
      </w:r>
      <w:r>
        <w:fldChar w:fldCharType="separate"/>
      </w:r>
      <w:r>
        <w:t>68</w:t>
      </w:r>
      <w:r>
        <w:fldChar w:fldCharType="end"/>
      </w:r>
      <w:r>
        <w:fldChar w:fldCharType="end"/>
      </w:r>
    </w:p>
    <w:p w14:paraId="00B4E0D4">
      <w:pPr>
        <w:pStyle w:val="9"/>
        <w:tabs>
          <w:tab w:val="right" w:leader="dot" w:pos="8296"/>
        </w:tabs>
        <w:rPr>
          <w:rFonts w:asciiTheme="minorHAnsi" w:hAnsiTheme="minorHAnsi"/>
          <w:sz w:val="22"/>
        </w:rPr>
      </w:pPr>
      <w:r>
        <w:fldChar w:fldCharType="begin"/>
      </w:r>
      <w:r>
        <w:instrText xml:space="preserve"> HYPERLINK \l "_Toc256000132" </w:instrText>
      </w:r>
      <w:r>
        <w:fldChar w:fldCharType="separate"/>
      </w:r>
      <w:r>
        <w:rPr>
          <w:rStyle w:val="21"/>
        </w:rPr>
        <w:t>附表A-3：技术暗标编号确认表</w:t>
      </w:r>
      <w:r>
        <w:tab/>
      </w:r>
      <w:r>
        <w:fldChar w:fldCharType="begin"/>
      </w:r>
      <w:r>
        <w:instrText xml:space="preserve"> PAGEREF _Toc256000132 \h </w:instrText>
      </w:r>
      <w:r>
        <w:fldChar w:fldCharType="separate"/>
      </w:r>
      <w:r>
        <w:t>70</w:t>
      </w:r>
      <w:r>
        <w:fldChar w:fldCharType="end"/>
      </w:r>
      <w:r>
        <w:fldChar w:fldCharType="end"/>
      </w:r>
    </w:p>
    <w:p w14:paraId="7128E08A">
      <w:pPr>
        <w:pStyle w:val="9"/>
        <w:tabs>
          <w:tab w:val="right" w:leader="dot" w:pos="8296"/>
        </w:tabs>
        <w:rPr>
          <w:rFonts w:asciiTheme="minorHAnsi" w:hAnsiTheme="minorHAnsi"/>
          <w:sz w:val="22"/>
        </w:rPr>
      </w:pPr>
      <w:r>
        <w:fldChar w:fldCharType="begin"/>
      </w:r>
      <w:r>
        <w:instrText xml:space="preserve"> HYPERLINK \l "_Toc256000133" </w:instrText>
      </w:r>
      <w:r>
        <w:fldChar w:fldCharType="separate"/>
      </w:r>
      <w:r>
        <w:rPr>
          <w:rStyle w:val="21"/>
          <w:rFonts w:hint="eastAsia"/>
        </w:rPr>
        <w:t>附表A-4：形式评审记录表</w:t>
      </w:r>
      <w:r>
        <w:tab/>
      </w:r>
      <w:r>
        <w:fldChar w:fldCharType="begin"/>
      </w:r>
      <w:r>
        <w:instrText xml:space="preserve"> PAGEREF _Toc256000133 \h </w:instrText>
      </w:r>
      <w:r>
        <w:fldChar w:fldCharType="separate"/>
      </w:r>
      <w:r>
        <w:t>71</w:t>
      </w:r>
      <w:r>
        <w:fldChar w:fldCharType="end"/>
      </w:r>
      <w:r>
        <w:fldChar w:fldCharType="end"/>
      </w:r>
    </w:p>
    <w:p w14:paraId="713034AE">
      <w:pPr>
        <w:pStyle w:val="9"/>
        <w:tabs>
          <w:tab w:val="right" w:leader="dot" w:pos="8296"/>
        </w:tabs>
        <w:rPr>
          <w:rFonts w:asciiTheme="minorHAnsi" w:hAnsiTheme="minorHAnsi"/>
          <w:sz w:val="22"/>
        </w:rPr>
      </w:pPr>
      <w:r>
        <w:fldChar w:fldCharType="begin"/>
      </w:r>
      <w:r>
        <w:instrText xml:space="preserve"> HYPERLINK \l "_Toc256000134" </w:instrText>
      </w:r>
      <w:r>
        <w:fldChar w:fldCharType="separate"/>
      </w:r>
      <w:r>
        <w:rPr>
          <w:rStyle w:val="21"/>
          <w:rFonts w:hint="eastAsia"/>
        </w:rPr>
        <w:t>附表A-5：资格评审记录表</w:t>
      </w:r>
      <w:r>
        <w:tab/>
      </w:r>
      <w:r>
        <w:fldChar w:fldCharType="begin"/>
      </w:r>
      <w:r>
        <w:instrText xml:space="preserve"> PAGEREF _Toc256000134 \h </w:instrText>
      </w:r>
      <w:r>
        <w:fldChar w:fldCharType="separate"/>
      </w:r>
      <w:r>
        <w:t>72</w:t>
      </w:r>
      <w:r>
        <w:fldChar w:fldCharType="end"/>
      </w:r>
      <w:r>
        <w:fldChar w:fldCharType="end"/>
      </w:r>
    </w:p>
    <w:p w14:paraId="44E7C589">
      <w:pPr>
        <w:pStyle w:val="9"/>
        <w:tabs>
          <w:tab w:val="right" w:leader="dot" w:pos="8296"/>
        </w:tabs>
        <w:rPr>
          <w:rFonts w:asciiTheme="minorHAnsi" w:hAnsiTheme="minorHAnsi"/>
          <w:sz w:val="22"/>
        </w:rPr>
      </w:pPr>
      <w:r>
        <w:fldChar w:fldCharType="begin"/>
      </w:r>
      <w:r>
        <w:instrText xml:space="preserve"> HYPERLINK \l "_Toc256000135" </w:instrText>
      </w:r>
      <w:r>
        <w:fldChar w:fldCharType="separate"/>
      </w:r>
      <w:r>
        <w:rPr>
          <w:rStyle w:val="21"/>
          <w:rFonts w:hint="eastAsia"/>
        </w:rPr>
        <w:t>附表A-6：响应性评审记录表</w:t>
      </w:r>
      <w:r>
        <w:tab/>
      </w:r>
      <w:r>
        <w:fldChar w:fldCharType="begin"/>
      </w:r>
      <w:r>
        <w:instrText xml:space="preserve"> PAGEREF _Toc256000135 \h </w:instrText>
      </w:r>
      <w:r>
        <w:fldChar w:fldCharType="separate"/>
      </w:r>
      <w:r>
        <w:t>73</w:t>
      </w:r>
      <w:r>
        <w:fldChar w:fldCharType="end"/>
      </w:r>
      <w:r>
        <w:fldChar w:fldCharType="end"/>
      </w:r>
    </w:p>
    <w:p w14:paraId="44BEFB0A">
      <w:pPr>
        <w:pStyle w:val="9"/>
        <w:tabs>
          <w:tab w:val="right" w:leader="dot" w:pos="8296"/>
        </w:tabs>
        <w:rPr>
          <w:rFonts w:asciiTheme="minorHAnsi" w:hAnsiTheme="minorHAnsi"/>
          <w:sz w:val="22"/>
        </w:rPr>
      </w:pPr>
      <w:r>
        <w:fldChar w:fldCharType="begin"/>
      </w:r>
      <w:r>
        <w:instrText xml:space="preserve"> HYPERLINK \l "_Toc256000136" </w:instrText>
      </w:r>
      <w:r>
        <w:fldChar w:fldCharType="separate"/>
      </w:r>
      <w:r>
        <w:rPr>
          <w:rStyle w:val="21"/>
          <w:rFonts w:hint="eastAsia"/>
        </w:rPr>
        <w:t>附表A-7：技术标评审记录表（合格性）</w:t>
      </w:r>
      <w:r>
        <w:tab/>
      </w:r>
      <w:r>
        <w:fldChar w:fldCharType="begin"/>
      </w:r>
      <w:r>
        <w:instrText xml:space="preserve"> PAGEREF _Toc256000136 \h </w:instrText>
      </w:r>
      <w:r>
        <w:fldChar w:fldCharType="separate"/>
      </w:r>
      <w:r>
        <w:t>74</w:t>
      </w:r>
      <w:r>
        <w:fldChar w:fldCharType="end"/>
      </w:r>
      <w:r>
        <w:fldChar w:fldCharType="end"/>
      </w:r>
    </w:p>
    <w:p w14:paraId="047DA75F">
      <w:pPr>
        <w:pStyle w:val="9"/>
        <w:tabs>
          <w:tab w:val="right" w:leader="dot" w:pos="8296"/>
        </w:tabs>
        <w:rPr>
          <w:rFonts w:asciiTheme="minorHAnsi" w:hAnsiTheme="minorHAnsi"/>
          <w:sz w:val="22"/>
        </w:rPr>
      </w:pPr>
      <w:r>
        <w:fldChar w:fldCharType="begin"/>
      </w:r>
      <w:r>
        <w:instrText xml:space="preserve"> HYPERLINK \l "_Toc256000137" </w:instrText>
      </w:r>
      <w:r>
        <w:fldChar w:fldCharType="separate"/>
      </w:r>
      <w:r>
        <w:rPr>
          <w:rStyle w:val="21"/>
          <w:rFonts w:hint="eastAsia"/>
        </w:rPr>
        <w:t>附表A-</w:t>
      </w:r>
      <w:r>
        <w:rPr>
          <w:rStyle w:val="21"/>
        </w:rPr>
        <w:t>8</w:t>
      </w:r>
      <w:r>
        <w:rPr>
          <w:rStyle w:val="21"/>
          <w:rFonts w:hint="eastAsia"/>
        </w:rPr>
        <w:t>：初步评审汇总记录表</w:t>
      </w:r>
      <w:r>
        <w:tab/>
      </w:r>
      <w:r>
        <w:fldChar w:fldCharType="begin"/>
      </w:r>
      <w:r>
        <w:instrText xml:space="preserve"> PAGEREF _Toc256000137 \h </w:instrText>
      </w:r>
      <w:r>
        <w:fldChar w:fldCharType="separate"/>
      </w:r>
      <w:r>
        <w:t>75</w:t>
      </w:r>
      <w:r>
        <w:fldChar w:fldCharType="end"/>
      </w:r>
      <w:r>
        <w:fldChar w:fldCharType="end"/>
      </w:r>
    </w:p>
    <w:p w14:paraId="532CD5A4">
      <w:pPr>
        <w:pStyle w:val="9"/>
        <w:tabs>
          <w:tab w:val="right" w:leader="dot" w:pos="8296"/>
        </w:tabs>
        <w:rPr>
          <w:rFonts w:asciiTheme="minorHAnsi" w:hAnsiTheme="minorHAnsi"/>
          <w:sz w:val="22"/>
        </w:rPr>
      </w:pPr>
      <w:r>
        <w:fldChar w:fldCharType="begin"/>
      </w:r>
      <w:r>
        <w:instrText xml:space="preserve"> HYPERLINK \l "_Toc256000138" </w:instrText>
      </w:r>
      <w:r>
        <w:fldChar w:fldCharType="separate"/>
      </w:r>
      <w:r>
        <w:rPr>
          <w:rStyle w:val="21"/>
          <w:rFonts w:hint="eastAsia"/>
        </w:rPr>
        <w:t>附表A-</w:t>
      </w:r>
      <w:r>
        <w:rPr>
          <w:rStyle w:val="21"/>
        </w:rPr>
        <w:t>9</w:t>
      </w:r>
      <w:r>
        <w:rPr>
          <w:rStyle w:val="21"/>
          <w:rFonts w:hint="eastAsia"/>
        </w:rPr>
        <w:t>：否决投标的情况说明</w:t>
      </w:r>
      <w:r>
        <w:tab/>
      </w:r>
      <w:r>
        <w:fldChar w:fldCharType="begin"/>
      </w:r>
      <w:r>
        <w:instrText xml:space="preserve"> PAGEREF _Toc256000138 \h </w:instrText>
      </w:r>
      <w:r>
        <w:fldChar w:fldCharType="separate"/>
      </w:r>
      <w:r>
        <w:t>76</w:t>
      </w:r>
      <w:r>
        <w:fldChar w:fldCharType="end"/>
      </w:r>
      <w:r>
        <w:fldChar w:fldCharType="end"/>
      </w:r>
    </w:p>
    <w:p w14:paraId="41564170">
      <w:pPr>
        <w:pStyle w:val="9"/>
        <w:tabs>
          <w:tab w:val="right" w:leader="dot" w:pos="8296"/>
        </w:tabs>
        <w:rPr>
          <w:rFonts w:asciiTheme="minorHAnsi" w:hAnsiTheme="minorHAnsi"/>
          <w:sz w:val="22"/>
        </w:rPr>
      </w:pPr>
      <w:r>
        <w:fldChar w:fldCharType="begin"/>
      </w:r>
      <w:r>
        <w:instrText xml:space="preserve"> HYPERLINK \l "_Toc256000139" </w:instrText>
      </w:r>
      <w:r>
        <w:fldChar w:fldCharType="separate"/>
      </w:r>
      <w:r>
        <w:rPr>
          <w:rStyle w:val="21"/>
          <w:rFonts w:hint="eastAsia"/>
        </w:rPr>
        <w:t>附表A-</w:t>
      </w:r>
      <w:r>
        <w:rPr>
          <w:rStyle w:val="21"/>
        </w:rPr>
        <w:t>10</w:t>
      </w:r>
      <w:r>
        <w:rPr>
          <w:rStyle w:val="21"/>
          <w:rFonts w:hint="eastAsia"/>
        </w:rPr>
        <w:t>：经济标评分记录表</w:t>
      </w:r>
      <w:r>
        <w:tab/>
      </w:r>
      <w:r>
        <w:fldChar w:fldCharType="begin"/>
      </w:r>
      <w:r>
        <w:instrText xml:space="preserve"> PAGEREF _Toc256000139 \h </w:instrText>
      </w:r>
      <w:r>
        <w:fldChar w:fldCharType="separate"/>
      </w:r>
      <w:r>
        <w:t>77</w:t>
      </w:r>
      <w:r>
        <w:fldChar w:fldCharType="end"/>
      </w:r>
      <w:r>
        <w:fldChar w:fldCharType="end"/>
      </w:r>
    </w:p>
    <w:p w14:paraId="01038C62">
      <w:pPr>
        <w:pStyle w:val="9"/>
        <w:tabs>
          <w:tab w:val="right" w:leader="dot" w:pos="8296"/>
        </w:tabs>
        <w:rPr>
          <w:rFonts w:asciiTheme="minorHAnsi" w:hAnsiTheme="minorHAnsi"/>
          <w:sz w:val="22"/>
        </w:rPr>
      </w:pPr>
      <w:r>
        <w:fldChar w:fldCharType="begin"/>
      </w:r>
      <w:r>
        <w:instrText xml:space="preserve"> HYPERLINK \l "_Toc256000140" </w:instrText>
      </w:r>
      <w:r>
        <w:fldChar w:fldCharType="separate"/>
      </w:r>
      <w:r>
        <w:rPr>
          <w:rStyle w:val="21"/>
          <w:rFonts w:hint="eastAsia"/>
        </w:rPr>
        <w:t>附表A-</w:t>
      </w:r>
      <w:r>
        <w:rPr>
          <w:rStyle w:val="21"/>
        </w:rPr>
        <w:t>11</w:t>
      </w:r>
      <w:r>
        <w:rPr>
          <w:rStyle w:val="21"/>
          <w:rFonts w:hint="eastAsia"/>
        </w:rPr>
        <w:t>：技术标评审记录表（评分）</w:t>
      </w:r>
      <w:r>
        <w:tab/>
      </w:r>
      <w:r>
        <w:fldChar w:fldCharType="begin"/>
      </w:r>
      <w:r>
        <w:instrText xml:space="preserve"> PAGEREF _Toc256000140 \h </w:instrText>
      </w:r>
      <w:r>
        <w:fldChar w:fldCharType="separate"/>
      </w:r>
      <w:r>
        <w:t>78</w:t>
      </w:r>
      <w:r>
        <w:fldChar w:fldCharType="end"/>
      </w:r>
      <w:r>
        <w:fldChar w:fldCharType="end"/>
      </w:r>
    </w:p>
    <w:p w14:paraId="66BCFB49">
      <w:pPr>
        <w:pStyle w:val="9"/>
        <w:tabs>
          <w:tab w:val="right" w:leader="dot" w:pos="8296"/>
        </w:tabs>
        <w:rPr>
          <w:rFonts w:asciiTheme="minorHAnsi" w:hAnsiTheme="minorHAnsi"/>
          <w:sz w:val="22"/>
        </w:rPr>
      </w:pPr>
      <w:r>
        <w:fldChar w:fldCharType="begin"/>
      </w:r>
      <w:r>
        <w:instrText xml:space="preserve"> HYPERLINK \l "_Toc256000141" </w:instrText>
      </w:r>
      <w:r>
        <w:fldChar w:fldCharType="separate"/>
      </w:r>
      <w:r>
        <w:rPr>
          <w:rStyle w:val="21"/>
          <w:rFonts w:hint="eastAsia"/>
        </w:rPr>
        <w:t>附表A-</w:t>
      </w:r>
      <w:r>
        <w:rPr>
          <w:rStyle w:val="21"/>
        </w:rPr>
        <w:t>12</w:t>
      </w:r>
      <w:r>
        <w:rPr>
          <w:rStyle w:val="21"/>
          <w:rFonts w:hint="eastAsia"/>
        </w:rPr>
        <w:t>：技术标评审记录表（个人）</w:t>
      </w:r>
      <w:r>
        <w:tab/>
      </w:r>
      <w:r>
        <w:fldChar w:fldCharType="begin"/>
      </w:r>
      <w:r>
        <w:instrText xml:space="preserve"> PAGEREF _Toc256000141 \h </w:instrText>
      </w:r>
      <w:r>
        <w:fldChar w:fldCharType="separate"/>
      </w:r>
      <w:r>
        <w:t>79</w:t>
      </w:r>
      <w:r>
        <w:fldChar w:fldCharType="end"/>
      </w:r>
      <w:r>
        <w:fldChar w:fldCharType="end"/>
      </w:r>
    </w:p>
    <w:p w14:paraId="446BD718">
      <w:pPr>
        <w:pStyle w:val="9"/>
        <w:tabs>
          <w:tab w:val="right" w:leader="dot" w:pos="8296"/>
        </w:tabs>
        <w:rPr>
          <w:rFonts w:asciiTheme="minorHAnsi" w:hAnsiTheme="minorHAnsi"/>
          <w:sz w:val="22"/>
        </w:rPr>
      </w:pPr>
      <w:r>
        <w:fldChar w:fldCharType="begin"/>
      </w:r>
      <w:r>
        <w:instrText xml:space="preserve"> HYPERLINK \l "_Toc256000142" </w:instrText>
      </w:r>
      <w:r>
        <w:fldChar w:fldCharType="separate"/>
      </w:r>
      <w:r>
        <w:rPr>
          <w:rStyle w:val="21"/>
          <w:rFonts w:hint="eastAsia"/>
        </w:rPr>
        <w:t>附表A-1</w:t>
      </w:r>
      <w:r>
        <w:rPr>
          <w:rStyle w:val="21"/>
        </w:rPr>
        <w:t>3</w:t>
      </w:r>
      <w:r>
        <w:rPr>
          <w:rStyle w:val="21"/>
          <w:rFonts w:hint="eastAsia"/>
        </w:rPr>
        <w:t>：</w:t>
      </w:r>
      <w:r>
        <w:rPr>
          <w:rStyle w:val="21"/>
          <w:rFonts w:hint="eastAsia" w:ascii="宋体" w:hAnsi="宋体"/>
        </w:rPr>
        <w:t>资信标</w:t>
      </w:r>
      <w:r>
        <w:rPr>
          <w:rStyle w:val="21"/>
          <w:rFonts w:hint="eastAsia"/>
        </w:rPr>
        <w:t>评审记录表</w:t>
      </w:r>
      <w:r>
        <w:tab/>
      </w:r>
      <w:r>
        <w:fldChar w:fldCharType="begin"/>
      </w:r>
      <w:r>
        <w:instrText xml:space="preserve"> PAGEREF _Toc256000142 \h </w:instrText>
      </w:r>
      <w:r>
        <w:fldChar w:fldCharType="separate"/>
      </w:r>
      <w:r>
        <w:t>80</w:t>
      </w:r>
      <w:r>
        <w:fldChar w:fldCharType="end"/>
      </w:r>
      <w:r>
        <w:fldChar w:fldCharType="end"/>
      </w:r>
    </w:p>
    <w:p w14:paraId="2BCC28A1">
      <w:pPr>
        <w:pStyle w:val="9"/>
        <w:tabs>
          <w:tab w:val="right" w:leader="dot" w:pos="8296"/>
        </w:tabs>
        <w:rPr>
          <w:rFonts w:asciiTheme="minorHAnsi" w:hAnsiTheme="minorHAnsi"/>
          <w:sz w:val="22"/>
        </w:rPr>
      </w:pPr>
      <w:r>
        <w:fldChar w:fldCharType="begin"/>
      </w:r>
      <w:r>
        <w:instrText xml:space="preserve"> HYPERLINK \l "_Toc256000143" </w:instrText>
      </w:r>
      <w:r>
        <w:fldChar w:fldCharType="separate"/>
      </w:r>
      <w:r>
        <w:rPr>
          <w:rStyle w:val="21"/>
          <w:rFonts w:hint="eastAsia"/>
        </w:rPr>
        <w:t>附表A-1</w:t>
      </w:r>
      <w:r>
        <w:rPr>
          <w:rStyle w:val="21"/>
        </w:rPr>
        <w:t>4</w:t>
      </w:r>
      <w:r>
        <w:rPr>
          <w:rStyle w:val="21"/>
          <w:rFonts w:hint="eastAsia"/>
        </w:rPr>
        <w:t>：其他因素评审记录表</w:t>
      </w:r>
      <w:r>
        <w:tab/>
      </w:r>
      <w:r>
        <w:fldChar w:fldCharType="begin"/>
      </w:r>
      <w:r>
        <w:instrText xml:space="preserve"> PAGEREF _Toc256000143 \h </w:instrText>
      </w:r>
      <w:r>
        <w:fldChar w:fldCharType="separate"/>
      </w:r>
      <w:r>
        <w:t>81</w:t>
      </w:r>
      <w:r>
        <w:fldChar w:fldCharType="end"/>
      </w:r>
      <w:r>
        <w:fldChar w:fldCharType="end"/>
      </w:r>
    </w:p>
    <w:p w14:paraId="4E44011B">
      <w:pPr>
        <w:pStyle w:val="9"/>
        <w:tabs>
          <w:tab w:val="right" w:leader="dot" w:pos="8296"/>
        </w:tabs>
        <w:rPr>
          <w:rFonts w:asciiTheme="minorHAnsi" w:hAnsiTheme="minorHAnsi"/>
          <w:sz w:val="22"/>
        </w:rPr>
      </w:pPr>
      <w:r>
        <w:fldChar w:fldCharType="begin"/>
      </w:r>
      <w:r>
        <w:instrText xml:space="preserve"> HYPERLINK \l "_Toc256000144" </w:instrText>
      </w:r>
      <w:r>
        <w:fldChar w:fldCharType="separate"/>
      </w:r>
      <w:r>
        <w:rPr>
          <w:rStyle w:val="21"/>
          <w:rFonts w:hint="eastAsia"/>
        </w:rPr>
        <w:t>附表A-1</w:t>
      </w:r>
      <w:r>
        <w:rPr>
          <w:rStyle w:val="21"/>
        </w:rPr>
        <w:t>5</w:t>
      </w:r>
      <w:r>
        <w:rPr>
          <w:rStyle w:val="21"/>
          <w:rFonts w:hint="eastAsia"/>
        </w:rPr>
        <w:t>：详细评审评分汇总表</w:t>
      </w:r>
      <w:r>
        <w:tab/>
      </w:r>
      <w:r>
        <w:fldChar w:fldCharType="begin"/>
      </w:r>
      <w:r>
        <w:instrText xml:space="preserve"> PAGEREF _Toc256000144 \h </w:instrText>
      </w:r>
      <w:r>
        <w:fldChar w:fldCharType="separate"/>
      </w:r>
      <w:r>
        <w:t>82</w:t>
      </w:r>
      <w:r>
        <w:fldChar w:fldCharType="end"/>
      </w:r>
      <w:r>
        <w:fldChar w:fldCharType="end"/>
      </w:r>
    </w:p>
    <w:p w14:paraId="0CC639A5">
      <w:pPr>
        <w:pStyle w:val="9"/>
        <w:tabs>
          <w:tab w:val="right" w:leader="dot" w:pos="8296"/>
        </w:tabs>
        <w:rPr>
          <w:rFonts w:asciiTheme="minorHAnsi" w:hAnsiTheme="minorHAnsi"/>
          <w:sz w:val="22"/>
        </w:rPr>
      </w:pPr>
      <w:r>
        <w:fldChar w:fldCharType="begin"/>
      </w:r>
      <w:r>
        <w:instrText xml:space="preserve"> HYPERLINK \l "_Toc256000145" </w:instrText>
      </w:r>
      <w:r>
        <w:fldChar w:fldCharType="separate"/>
      </w:r>
      <w:r>
        <w:rPr>
          <w:rStyle w:val="21"/>
          <w:rFonts w:hint="eastAsia"/>
        </w:rPr>
        <w:t>附表A-1</w:t>
      </w:r>
      <w:r>
        <w:rPr>
          <w:rStyle w:val="21"/>
        </w:rPr>
        <w:t>6</w:t>
      </w:r>
      <w:r>
        <w:rPr>
          <w:rStyle w:val="21"/>
          <w:rFonts w:hint="eastAsia"/>
        </w:rPr>
        <w:t>：评标结果汇总表</w:t>
      </w:r>
      <w:r>
        <w:tab/>
      </w:r>
      <w:r>
        <w:fldChar w:fldCharType="begin"/>
      </w:r>
      <w:r>
        <w:instrText xml:space="preserve"> PAGEREF _Toc256000145 \h </w:instrText>
      </w:r>
      <w:r>
        <w:fldChar w:fldCharType="separate"/>
      </w:r>
      <w:r>
        <w:t>83</w:t>
      </w:r>
      <w:r>
        <w:fldChar w:fldCharType="end"/>
      </w:r>
      <w:r>
        <w:fldChar w:fldCharType="end"/>
      </w:r>
    </w:p>
    <w:p w14:paraId="67BE9A99">
      <w:pPr>
        <w:pStyle w:val="9"/>
        <w:tabs>
          <w:tab w:val="right" w:leader="dot" w:pos="8296"/>
        </w:tabs>
        <w:rPr>
          <w:rFonts w:asciiTheme="minorHAnsi" w:hAnsiTheme="minorHAnsi"/>
          <w:sz w:val="22"/>
        </w:rPr>
      </w:pPr>
      <w:r>
        <w:fldChar w:fldCharType="begin"/>
      </w:r>
      <w:r>
        <w:instrText xml:space="preserve"> HYPERLINK \l "_Toc256000146" </w:instrText>
      </w:r>
      <w:r>
        <w:fldChar w:fldCharType="separate"/>
      </w:r>
      <w:r>
        <w:rPr>
          <w:rStyle w:val="21"/>
          <w:rFonts w:hint="eastAsia"/>
        </w:rPr>
        <w:t>附表A-1</w:t>
      </w:r>
      <w:r>
        <w:rPr>
          <w:rStyle w:val="21"/>
        </w:rPr>
        <w:t>7</w:t>
      </w:r>
      <w:r>
        <w:rPr>
          <w:rStyle w:val="21"/>
          <w:rFonts w:hint="eastAsia"/>
        </w:rPr>
        <w:t>：推荐中标候选人一览表</w:t>
      </w:r>
      <w:r>
        <w:tab/>
      </w:r>
      <w:r>
        <w:fldChar w:fldCharType="begin"/>
      </w:r>
      <w:r>
        <w:instrText xml:space="preserve"> PAGEREF _Toc256000146 \h </w:instrText>
      </w:r>
      <w:r>
        <w:fldChar w:fldCharType="separate"/>
      </w:r>
      <w:r>
        <w:t>84</w:t>
      </w:r>
      <w:r>
        <w:fldChar w:fldCharType="end"/>
      </w:r>
      <w:r>
        <w:fldChar w:fldCharType="end"/>
      </w:r>
    </w:p>
    <w:p w14:paraId="0B0906E7">
      <w:pPr>
        <w:pStyle w:val="9"/>
        <w:tabs>
          <w:tab w:val="right" w:leader="dot" w:pos="8296"/>
        </w:tabs>
        <w:rPr>
          <w:rFonts w:asciiTheme="minorHAnsi" w:hAnsiTheme="minorHAnsi"/>
          <w:sz w:val="22"/>
        </w:rPr>
      </w:pPr>
      <w:r>
        <w:fldChar w:fldCharType="begin"/>
      </w:r>
      <w:r>
        <w:instrText xml:space="preserve"> HYPERLINK \l "_Toc256000147" </w:instrText>
      </w:r>
      <w:r>
        <w:fldChar w:fldCharType="separate"/>
      </w:r>
      <w:r>
        <w:rPr>
          <w:rStyle w:val="21"/>
          <w:rFonts w:hint="eastAsia"/>
        </w:rPr>
        <w:t>附表</w:t>
      </w:r>
      <w:r>
        <w:rPr>
          <w:rStyle w:val="21"/>
        </w:rPr>
        <w:t>C</w:t>
      </w:r>
      <w:r>
        <w:rPr>
          <w:rStyle w:val="21"/>
          <w:rFonts w:hint="eastAsia"/>
        </w:rPr>
        <w:t>-1：成本评审结论记录表</w:t>
      </w:r>
      <w:r>
        <w:tab/>
      </w:r>
      <w:r>
        <w:fldChar w:fldCharType="begin"/>
      </w:r>
      <w:r>
        <w:instrText xml:space="preserve"> PAGEREF _Toc256000147 \h </w:instrText>
      </w:r>
      <w:r>
        <w:fldChar w:fldCharType="separate"/>
      </w:r>
      <w:r>
        <w:t>85</w:t>
      </w:r>
      <w:r>
        <w:fldChar w:fldCharType="end"/>
      </w:r>
      <w:r>
        <w:fldChar w:fldCharType="end"/>
      </w:r>
    </w:p>
    <w:p w14:paraId="382B68C0">
      <w:pPr>
        <w:pStyle w:val="13"/>
        <w:tabs>
          <w:tab w:val="right" w:leader="dot" w:pos="8296"/>
        </w:tabs>
        <w:rPr>
          <w:rFonts w:asciiTheme="minorHAnsi" w:hAnsiTheme="minorHAnsi"/>
          <w:sz w:val="22"/>
        </w:rPr>
      </w:pPr>
      <w:r>
        <w:fldChar w:fldCharType="begin"/>
      </w:r>
      <w:r>
        <w:instrText xml:space="preserve"> HYPERLINK \l "_Toc256000148" </w:instrText>
      </w:r>
      <w:r>
        <w:fldChar w:fldCharType="separate"/>
      </w:r>
      <w:r>
        <w:rPr>
          <w:rStyle w:val="21"/>
          <w:rFonts w:hint="eastAsia" w:ascii="黑体" w:hAnsi="黑体" w:eastAsia="黑体"/>
        </w:rPr>
        <w:t>第四章  合同条款及格式</w:t>
      </w:r>
      <w:r>
        <w:tab/>
      </w:r>
      <w:r>
        <w:fldChar w:fldCharType="begin"/>
      </w:r>
      <w:r>
        <w:instrText xml:space="preserve"> PAGEREF _Toc256000148 \h </w:instrText>
      </w:r>
      <w:r>
        <w:fldChar w:fldCharType="separate"/>
      </w:r>
      <w:r>
        <w:t>86</w:t>
      </w:r>
      <w:r>
        <w:fldChar w:fldCharType="end"/>
      </w:r>
      <w:r>
        <w:fldChar w:fldCharType="end"/>
      </w:r>
    </w:p>
    <w:p w14:paraId="79749A85">
      <w:pPr>
        <w:pStyle w:val="14"/>
        <w:tabs>
          <w:tab w:val="right" w:leader="dot" w:pos="8296"/>
        </w:tabs>
        <w:rPr>
          <w:rFonts w:asciiTheme="minorHAnsi" w:hAnsiTheme="minorHAnsi"/>
          <w:sz w:val="22"/>
        </w:rPr>
      </w:pPr>
      <w:r>
        <w:fldChar w:fldCharType="begin"/>
      </w:r>
      <w:r>
        <w:instrText xml:space="preserve"> HYPERLINK \l "_Toc256000149" </w:instrText>
      </w:r>
      <w:r>
        <w:fldChar w:fldCharType="separate"/>
      </w:r>
      <w:r>
        <w:rPr>
          <w:rStyle w:val="21"/>
          <w:rFonts w:hint="eastAsia"/>
        </w:rPr>
        <w:t>第一部分 合同协议书</w:t>
      </w:r>
      <w:r>
        <w:tab/>
      </w:r>
      <w:r>
        <w:fldChar w:fldCharType="begin"/>
      </w:r>
      <w:r>
        <w:instrText xml:space="preserve"> PAGEREF _Toc256000149 \h </w:instrText>
      </w:r>
      <w:r>
        <w:fldChar w:fldCharType="separate"/>
      </w:r>
      <w:r>
        <w:t>87</w:t>
      </w:r>
      <w:r>
        <w:fldChar w:fldCharType="end"/>
      </w:r>
      <w:r>
        <w:fldChar w:fldCharType="end"/>
      </w:r>
    </w:p>
    <w:p w14:paraId="61387787">
      <w:pPr>
        <w:pStyle w:val="14"/>
        <w:tabs>
          <w:tab w:val="right" w:leader="dot" w:pos="8296"/>
        </w:tabs>
        <w:rPr>
          <w:rFonts w:asciiTheme="minorHAnsi" w:hAnsiTheme="minorHAnsi"/>
          <w:sz w:val="22"/>
        </w:rPr>
      </w:pPr>
      <w:r>
        <w:fldChar w:fldCharType="begin"/>
      </w:r>
      <w:r>
        <w:instrText xml:space="preserve"> HYPERLINK \l "_Toc256000150" </w:instrText>
      </w:r>
      <w:r>
        <w:fldChar w:fldCharType="separate"/>
      </w:r>
      <w:r>
        <w:rPr>
          <w:rStyle w:val="21"/>
          <w:rFonts w:hint="eastAsia"/>
        </w:rPr>
        <w:t>第二部分 通用合同条款</w:t>
      </w:r>
      <w:r>
        <w:tab/>
      </w:r>
      <w:r>
        <w:fldChar w:fldCharType="begin"/>
      </w:r>
      <w:r>
        <w:instrText xml:space="preserve"> PAGEREF _Toc256000150 \h </w:instrText>
      </w:r>
      <w:r>
        <w:fldChar w:fldCharType="separate"/>
      </w:r>
      <w:r>
        <w:t>90</w:t>
      </w:r>
      <w:r>
        <w:fldChar w:fldCharType="end"/>
      </w:r>
      <w:r>
        <w:fldChar w:fldCharType="end"/>
      </w:r>
    </w:p>
    <w:p w14:paraId="117021D8">
      <w:pPr>
        <w:pStyle w:val="14"/>
        <w:tabs>
          <w:tab w:val="right" w:leader="dot" w:pos="8296"/>
        </w:tabs>
        <w:rPr>
          <w:rFonts w:asciiTheme="minorHAnsi" w:hAnsiTheme="minorHAnsi"/>
          <w:sz w:val="22"/>
        </w:rPr>
      </w:pPr>
      <w:r>
        <w:fldChar w:fldCharType="begin"/>
      </w:r>
      <w:r>
        <w:instrText xml:space="preserve"> HYPERLINK \l "_Toc256000151" </w:instrText>
      </w:r>
      <w:r>
        <w:fldChar w:fldCharType="separate"/>
      </w:r>
      <w:r>
        <w:rPr>
          <w:rStyle w:val="21"/>
          <w:rFonts w:hint="eastAsia" w:ascii="黑体" w:hAnsi="宋体" w:cs="黑体"/>
          <w:kern w:val="0"/>
          <w:lang w:bidi="ar"/>
        </w:rPr>
        <w:t>1.一般约定</w:t>
      </w:r>
      <w:r>
        <w:tab/>
      </w:r>
      <w:r>
        <w:fldChar w:fldCharType="begin"/>
      </w:r>
      <w:r>
        <w:instrText xml:space="preserve"> PAGEREF _Toc256000151 \h </w:instrText>
      </w:r>
      <w:r>
        <w:fldChar w:fldCharType="separate"/>
      </w:r>
      <w:r>
        <w:t>90</w:t>
      </w:r>
      <w:r>
        <w:fldChar w:fldCharType="end"/>
      </w:r>
      <w:r>
        <w:fldChar w:fldCharType="end"/>
      </w:r>
    </w:p>
    <w:p w14:paraId="2E8C3872">
      <w:pPr>
        <w:pStyle w:val="9"/>
        <w:tabs>
          <w:tab w:val="right" w:leader="dot" w:pos="8296"/>
        </w:tabs>
        <w:rPr>
          <w:rFonts w:asciiTheme="minorHAnsi" w:hAnsiTheme="minorHAnsi"/>
          <w:sz w:val="22"/>
        </w:rPr>
      </w:pPr>
      <w:r>
        <w:fldChar w:fldCharType="begin"/>
      </w:r>
      <w:r>
        <w:instrText xml:space="preserve"> HYPERLINK \l "_Toc256000152" </w:instrText>
      </w:r>
      <w:r>
        <w:fldChar w:fldCharType="separate"/>
      </w:r>
      <w:r>
        <w:rPr>
          <w:rStyle w:val="21"/>
          <w:b/>
        </w:rPr>
        <w:t>1.1词语定义与解释</w:t>
      </w:r>
      <w:r>
        <w:tab/>
      </w:r>
      <w:r>
        <w:fldChar w:fldCharType="begin"/>
      </w:r>
      <w:r>
        <w:instrText xml:space="preserve"> PAGEREF _Toc256000152 \h </w:instrText>
      </w:r>
      <w:r>
        <w:fldChar w:fldCharType="separate"/>
      </w:r>
      <w:r>
        <w:t>90</w:t>
      </w:r>
      <w:r>
        <w:fldChar w:fldCharType="end"/>
      </w:r>
      <w:r>
        <w:fldChar w:fldCharType="end"/>
      </w:r>
    </w:p>
    <w:p w14:paraId="59B7F2F5">
      <w:pPr>
        <w:pStyle w:val="9"/>
        <w:tabs>
          <w:tab w:val="right" w:leader="dot" w:pos="8296"/>
        </w:tabs>
        <w:rPr>
          <w:rFonts w:asciiTheme="minorHAnsi" w:hAnsiTheme="minorHAnsi"/>
          <w:sz w:val="22"/>
        </w:rPr>
      </w:pPr>
      <w:r>
        <w:fldChar w:fldCharType="begin"/>
      </w:r>
      <w:r>
        <w:instrText xml:space="preserve"> HYPERLINK \l "_Toc256000153" </w:instrText>
      </w:r>
      <w:r>
        <w:fldChar w:fldCharType="separate"/>
      </w:r>
      <w:r>
        <w:rPr>
          <w:rStyle w:val="21"/>
          <w:b/>
        </w:rPr>
        <w:t>1.2语言文字</w:t>
      </w:r>
      <w:r>
        <w:tab/>
      </w:r>
      <w:r>
        <w:fldChar w:fldCharType="begin"/>
      </w:r>
      <w:r>
        <w:instrText xml:space="preserve"> PAGEREF _Toc256000153 \h </w:instrText>
      </w:r>
      <w:r>
        <w:fldChar w:fldCharType="separate"/>
      </w:r>
      <w:r>
        <w:t>92</w:t>
      </w:r>
      <w:r>
        <w:fldChar w:fldCharType="end"/>
      </w:r>
      <w:r>
        <w:fldChar w:fldCharType="end"/>
      </w:r>
    </w:p>
    <w:p w14:paraId="4F3AACAA">
      <w:pPr>
        <w:pStyle w:val="9"/>
        <w:tabs>
          <w:tab w:val="right" w:leader="dot" w:pos="8296"/>
        </w:tabs>
        <w:rPr>
          <w:rFonts w:asciiTheme="minorHAnsi" w:hAnsiTheme="minorHAnsi"/>
          <w:sz w:val="22"/>
        </w:rPr>
      </w:pPr>
      <w:r>
        <w:fldChar w:fldCharType="begin"/>
      </w:r>
      <w:r>
        <w:instrText xml:space="preserve"> HYPERLINK \l "_Toc256000154" </w:instrText>
      </w:r>
      <w:r>
        <w:fldChar w:fldCharType="separate"/>
      </w:r>
      <w:r>
        <w:rPr>
          <w:rStyle w:val="21"/>
          <w:b/>
        </w:rPr>
        <w:t>1.3法律</w:t>
      </w:r>
      <w:r>
        <w:tab/>
      </w:r>
      <w:r>
        <w:fldChar w:fldCharType="begin"/>
      </w:r>
      <w:r>
        <w:instrText xml:space="preserve"> PAGEREF _Toc256000154 \h </w:instrText>
      </w:r>
      <w:r>
        <w:fldChar w:fldCharType="separate"/>
      </w:r>
      <w:r>
        <w:t>92</w:t>
      </w:r>
      <w:r>
        <w:fldChar w:fldCharType="end"/>
      </w:r>
      <w:r>
        <w:fldChar w:fldCharType="end"/>
      </w:r>
    </w:p>
    <w:p w14:paraId="08C1A908">
      <w:pPr>
        <w:pStyle w:val="9"/>
        <w:tabs>
          <w:tab w:val="right" w:leader="dot" w:pos="8296"/>
        </w:tabs>
        <w:rPr>
          <w:rFonts w:asciiTheme="minorHAnsi" w:hAnsiTheme="minorHAnsi"/>
          <w:sz w:val="22"/>
        </w:rPr>
      </w:pPr>
      <w:r>
        <w:fldChar w:fldCharType="begin"/>
      </w:r>
      <w:r>
        <w:instrText xml:space="preserve"> HYPERLINK \l "_Toc256000155" </w:instrText>
      </w:r>
      <w:r>
        <w:fldChar w:fldCharType="separate"/>
      </w:r>
      <w:r>
        <w:rPr>
          <w:rStyle w:val="21"/>
          <w:b/>
        </w:rPr>
        <w:t>1.4 标准和规范</w:t>
      </w:r>
      <w:r>
        <w:tab/>
      </w:r>
      <w:r>
        <w:fldChar w:fldCharType="begin"/>
      </w:r>
      <w:r>
        <w:instrText xml:space="preserve"> PAGEREF _Toc256000155 \h </w:instrText>
      </w:r>
      <w:r>
        <w:fldChar w:fldCharType="separate"/>
      </w:r>
      <w:r>
        <w:t>93</w:t>
      </w:r>
      <w:r>
        <w:fldChar w:fldCharType="end"/>
      </w:r>
      <w:r>
        <w:fldChar w:fldCharType="end"/>
      </w:r>
    </w:p>
    <w:p w14:paraId="07E8B227">
      <w:pPr>
        <w:pStyle w:val="9"/>
        <w:tabs>
          <w:tab w:val="right" w:leader="dot" w:pos="8296"/>
        </w:tabs>
        <w:rPr>
          <w:rFonts w:asciiTheme="minorHAnsi" w:hAnsiTheme="minorHAnsi"/>
          <w:sz w:val="22"/>
        </w:rPr>
      </w:pPr>
      <w:r>
        <w:fldChar w:fldCharType="begin"/>
      </w:r>
      <w:r>
        <w:instrText xml:space="preserve"> HYPERLINK \l "_Toc256000156" </w:instrText>
      </w:r>
      <w:r>
        <w:fldChar w:fldCharType="separate"/>
      </w:r>
      <w:r>
        <w:rPr>
          <w:rStyle w:val="21"/>
          <w:b/>
        </w:rPr>
        <w:t>1.5 合同文件的优先顺序</w:t>
      </w:r>
      <w:r>
        <w:tab/>
      </w:r>
      <w:r>
        <w:fldChar w:fldCharType="begin"/>
      </w:r>
      <w:r>
        <w:instrText xml:space="preserve"> PAGEREF _Toc256000156 \h </w:instrText>
      </w:r>
      <w:r>
        <w:fldChar w:fldCharType="separate"/>
      </w:r>
      <w:r>
        <w:t>93</w:t>
      </w:r>
      <w:r>
        <w:fldChar w:fldCharType="end"/>
      </w:r>
      <w:r>
        <w:fldChar w:fldCharType="end"/>
      </w:r>
    </w:p>
    <w:p w14:paraId="4BD567C6">
      <w:pPr>
        <w:pStyle w:val="9"/>
        <w:tabs>
          <w:tab w:val="right" w:leader="dot" w:pos="8296"/>
        </w:tabs>
        <w:rPr>
          <w:rFonts w:asciiTheme="minorHAnsi" w:hAnsiTheme="minorHAnsi"/>
          <w:sz w:val="22"/>
        </w:rPr>
      </w:pPr>
      <w:r>
        <w:fldChar w:fldCharType="begin"/>
      </w:r>
      <w:r>
        <w:instrText xml:space="preserve"> HYPERLINK \l "_Toc256000157" </w:instrText>
      </w:r>
      <w:r>
        <w:fldChar w:fldCharType="separate"/>
      </w:r>
      <w:r>
        <w:rPr>
          <w:rStyle w:val="21"/>
          <w:b/>
        </w:rPr>
        <w:t>1.6图纸和承包人文件</w:t>
      </w:r>
      <w:r>
        <w:tab/>
      </w:r>
      <w:r>
        <w:fldChar w:fldCharType="begin"/>
      </w:r>
      <w:r>
        <w:instrText xml:space="preserve"> PAGEREF _Toc256000157 \h </w:instrText>
      </w:r>
      <w:r>
        <w:fldChar w:fldCharType="separate"/>
      </w:r>
      <w:r>
        <w:t>93</w:t>
      </w:r>
      <w:r>
        <w:fldChar w:fldCharType="end"/>
      </w:r>
      <w:r>
        <w:fldChar w:fldCharType="end"/>
      </w:r>
    </w:p>
    <w:p w14:paraId="66B704DB">
      <w:pPr>
        <w:pStyle w:val="9"/>
        <w:tabs>
          <w:tab w:val="right" w:leader="dot" w:pos="8296"/>
        </w:tabs>
        <w:rPr>
          <w:rFonts w:asciiTheme="minorHAnsi" w:hAnsiTheme="minorHAnsi"/>
          <w:sz w:val="22"/>
        </w:rPr>
      </w:pPr>
      <w:r>
        <w:fldChar w:fldCharType="begin"/>
      </w:r>
      <w:r>
        <w:instrText xml:space="preserve"> HYPERLINK \l "_Toc256000158" </w:instrText>
      </w:r>
      <w:r>
        <w:fldChar w:fldCharType="separate"/>
      </w:r>
      <w:r>
        <w:rPr>
          <w:rStyle w:val="21"/>
          <w:b/>
        </w:rPr>
        <w:t>1.7联络</w:t>
      </w:r>
      <w:r>
        <w:tab/>
      </w:r>
      <w:r>
        <w:fldChar w:fldCharType="begin"/>
      </w:r>
      <w:r>
        <w:instrText xml:space="preserve"> PAGEREF _Toc256000158 \h </w:instrText>
      </w:r>
      <w:r>
        <w:fldChar w:fldCharType="separate"/>
      </w:r>
      <w:r>
        <w:t>94</w:t>
      </w:r>
      <w:r>
        <w:fldChar w:fldCharType="end"/>
      </w:r>
      <w:r>
        <w:fldChar w:fldCharType="end"/>
      </w:r>
    </w:p>
    <w:p w14:paraId="157C08A7">
      <w:pPr>
        <w:pStyle w:val="9"/>
        <w:tabs>
          <w:tab w:val="right" w:leader="dot" w:pos="8296"/>
        </w:tabs>
        <w:rPr>
          <w:rFonts w:asciiTheme="minorHAnsi" w:hAnsiTheme="minorHAnsi"/>
          <w:sz w:val="22"/>
        </w:rPr>
      </w:pPr>
      <w:r>
        <w:fldChar w:fldCharType="begin"/>
      </w:r>
      <w:r>
        <w:instrText xml:space="preserve"> HYPERLINK \l "_Toc256000159" </w:instrText>
      </w:r>
      <w:r>
        <w:fldChar w:fldCharType="separate"/>
      </w:r>
      <w:r>
        <w:rPr>
          <w:rStyle w:val="21"/>
          <w:b/>
        </w:rPr>
        <w:t>1.8严禁贿赂</w:t>
      </w:r>
      <w:r>
        <w:tab/>
      </w:r>
      <w:r>
        <w:fldChar w:fldCharType="begin"/>
      </w:r>
      <w:r>
        <w:instrText xml:space="preserve"> PAGEREF _Toc256000159 \h </w:instrText>
      </w:r>
      <w:r>
        <w:fldChar w:fldCharType="separate"/>
      </w:r>
      <w:r>
        <w:t>94</w:t>
      </w:r>
      <w:r>
        <w:fldChar w:fldCharType="end"/>
      </w:r>
      <w:r>
        <w:fldChar w:fldCharType="end"/>
      </w:r>
    </w:p>
    <w:p w14:paraId="0353BAF1">
      <w:pPr>
        <w:pStyle w:val="9"/>
        <w:tabs>
          <w:tab w:val="right" w:leader="dot" w:pos="8296"/>
        </w:tabs>
        <w:rPr>
          <w:rFonts w:asciiTheme="minorHAnsi" w:hAnsiTheme="minorHAnsi"/>
          <w:sz w:val="22"/>
        </w:rPr>
      </w:pPr>
      <w:r>
        <w:fldChar w:fldCharType="begin"/>
      </w:r>
      <w:r>
        <w:instrText xml:space="preserve"> HYPERLINK \l "_Toc256000160" </w:instrText>
      </w:r>
      <w:r>
        <w:fldChar w:fldCharType="separate"/>
      </w:r>
      <w:r>
        <w:rPr>
          <w:rStyle w:val="21"/>
          <w:b/>
        </w:rPr>
        <w:t>1.9化石、文物</w:t>
      </w:r>
      <w:r>
        <w:tab/>
      </w:r>
      <w:r>
        <w:fldChar w:fldCharType="begin"/>
      </w:r>
      <w:r>
        <w:instrText xml:space="preserve"> PAGEREF _Toc256000160 \h </w:instrText>
      </w:r>
      <w:r>
        <w:fldChar w:fldCharType="separate"/>
      </w:r>
      <w:r>
        <w:t>94</w:t>
      </w:r>
      <w:r>
        <w:fldChar w:fldCharType="end"/>
      </w:r>
      <w:r>
        <w:fldChar w:fldCharType="end"/>
      </w:r>
    </w:p>
    <w:p w14:paraId="12B0D1A6">
      <w:pPr>
        <w:pStyle w:val="9"/>
        <w:tabs>
          <w:tab w:val="right" w:leader="dot" w:pos="8296"/>
        </w:tabs>
        <w:rPr>
          <w:rFonts w:asciiTheme="minorHAnsi" w:hAnsiTheme="minorHAnsi"/>
          <w:sz w:val="22"/>
        </w:rPr>
      </w:pPr>
      <w:r>
        <w:fldChar w:fldCharType="begin"/>
      </w:r>
      <w:r>
        <w:instrText xml:space="preserve"> HYPERLINK \l "_Toc256000161" </w:instrText>
      </w:r>
      <w:r>
        <w:fldChar w:fldCharType="separate"/>
      </w:r>
      <w:r>
        <w:rPr>
          <w:rStyle w:val="21"/>
          <w:b/>
        </w:rPr>
        <w:t>1.10交通运输</w:t>
      </w:r>
      <w:r>
        <w:tab/>
      </w:r>
      <w:r>
        <w:fldChar w:fldCharType="begin"/>
      </w:r>
      <w:r>
        <w:instrText xml:space="preserve"> PAGEREF _Toc256000161 \h </w:instrText>
      </w:r>
      <w:r>
        <w:fldChar w:fldCharType="separate"/>
      </w:r>
      <w:r>
        <w:t>95</w:t>
      </w:r>
      <w:r>
        <w:fldChar w:fldCharType="end"/>
      </w:r>
      <w:r>
        <w:fldChar w:fldCharType="end"/>
      </w:r>
    </w:p>
    <w:p w14:paraId="4E8D649F">
      <w:pPr>
        <w:pStyle w:val="9"/>
        <w:tabs>
          <w:tab w:val="right" w:leader="dot" w:pos="8296"/>
        </w:tabs>
        <w:rPr>
          <w:rFonts w:asciiTheme="minorHAnsi" w:hAnsiTheme="minorHAnsi"/>
          <w:sz w:val="22"/>
        </w:rPr>
      </w:pPr>
      <w:r>
        <w:fldChar w:fldCharType="begin"/>
      </w:r>
      <w:r>
        <w:instrText xml:space="preserve"> HYPERLINK \l "_Toc256000162" </w:instrText>
      </w:r>
      <w:r>
        <w:fldChar w:fldCharType="separate"/>
      </w:r>
      <w:r>
        <w:rPr>
          <w:rStyle w:val="21"/>
          <w:b/>
        </w:rPr>
        <w:t>1.11知识产权</w:t>
      </w:r>
      <w:r>
        <w:tab/>
      </w:r>
      <w:r>
        <w:fldChar w:fldCharType="begin"/>
      </w:r>
      <w:r>
        <w:instrText xml:space="preserve"> PAGEREF _Toc256000162 \h </w:instrText>
      </w:r>
      <w:r>
        <w:fldChar w:fldCharType="separate"/>
      </w:r>
      <w:r>
        <w:t>96</w:t>
      </w:r>
      <w:r>
        <w:fldChar w:fldCharType="end"/>
      </w:r>
      <w:r>
        <w:fldChar w:fldCharType="end"/>
      </w:r>
    </w:p>
    <w:p w14:paraId="7655A12A">
      <w:pPr>
        <w:pStyle w:val="9"/>
        <w:tabs>
          <w:tab w:val="right" w:leader="dot" w:pos="8296"/>
        </w:tabs>
        <w:rPr>
          <w:rFonts w:asciiTheme="minorHAnsi" w:hAnsiTheme="minorHAnsi"/>
          <w:sz w:val="22"/>
        </w:rPr>
      </w:pPr>
      <w:r>
        <w:fldChar w:fldCharType="begin"/>
      </w:r>
      <w:r>
        <w:instrText xml:space="preserve"> HYPERLINK \l "_Toc256000163" </w:instrText>
      </w:r>
      <w:r>
        <w:fldChar w:fldCharType="separate"/>
      </w:r>
      <w:r>
        <w:rPr>
          <w:rStyle w:val="21"/>
          <w:b/>
        </w:rPr>
        <w:t>1.12保密</w:t>
      </w:r>
      <w:r>
        <w:tab/>
      </w:r>
      <w:r>
        <w:fldChar w:fldCharType="begin"/>
      </w:r>
      <w:r>
        <w:instrText xml:space="preserve"> PAGEREF _Toc256000163 \h </w:instrText>
      </w:r>
      <w:r>
        <w:fldChar w:fldCharType="separate"/>
      </w:r>
      <w:r>
        <w:t>96</w:t>
      </w:r>
      <w:r>
        <w:fldChar w:fldCharType="end"/>
      </w:r>
      <w:r>
        <w:fldChar w:fldCharType="end"/>
      </w:r>
    </w:p>
    <w:p w14:paraId="297FF70C">
      <w:pPr>
        <w:pStyle w:val="9"/>
        <w:tabs>
          <w:tab w:val="right" w:leader="dot" w:pos="8296"/>
        </w:tabs>
        <w:rPr>
          <w:rFonts w:asciiTheme="minorHAnsi" w:hAnsiTheme="minorHAnsi"/>
          <w:sz w:val="22"/>
        </w:rPr>
      </w:pPr>
      <w:r>
        <w:fldChar w:fldCharType="begin"/>
      </w:r>
      <w:r>
        <w:instrText xml:space="preserve"> HYPERLINK \l "_Toc256000164" </w:instrText>
      </w:r>
      <w:r>
        <w:fldChar w:fldCharType="separate"/>
      </w:r>
      <w:r>
        <w:rPr>
          <w:rStyle w:val="21"/>
          <w:b/>
        </w:rPr>
        <w:t>1.13工程量清单错误的修正</w:t>
      </w:r>
      <w:r>
        <w:tab/>
      </w:r>
      <w:r>
        <w:fldChar w:fldCharType="begin"/>
      </w:r>
      <w:r>
        <w:instrText xml:space="preserve"> PAGEREF _Toc256000164 \h </w:instrText>
      </w:r>
      <w:r>
        <w:fldChar w:fldCharType="separate"/>
      </w:r>
      <w:r>
        <w:t>96</w:t>
      </w:r>
      <w:r>
        <w:fldChar w:fldCharType="end"/>
      </w:r>
      <w:r>
        <w:fldChar w:fldCharType="end"/>
      </w:r>
    </w:p>
    <w:p w14:paraId="79AA536C">
      <w:pPr>
        <w:pStyle w:val="14"/>
        <w:tabs>
          <w:tab w:val="right" w:leader="dot" w:pos="8296"/>
        </w:tabs>
        <w:rPr>
          <w:rFonts w:asciiTheme="minorHAnsi" w:hAnsiTheme="minorHAnsi"/>
          <w:sz w:val="22"/>
        </w:rPr>
      </w:pPr>
      <w:r>
        <w:fldChar w:fldCharType="begin"/>
      </w:r>
      <w:r>
        <w:instrText xml:space="preserve"> HYPERLINK \l "_Toc256000165" </w:instrText>
      </w:r>
      <w:r>
        <w:fldChar w:fldCharType="separate"/>
      </w:r>
      <w:r>
        <w:rPr>
          <w:rStyle w:val="21"/>
          <w:rFonts w:hint="eastAsia" w:ascii="黑体" w:hAnsi="宋体" w:cs="黑体"/>
          <w:kern w:val="0"/>
          <w:lang w:bidi="ar"/>
        </w:rPr>
        <w:t>2.发包人</w:t>
      </w:r>
      <w:r>
        <w:tab/>
      </w:r>
      <w:r>
        <w:fldChar w:fldCharType="begin"/>
      </w:r>
      <w:r>
        <w:instrText xml:space="preserve"> PAGEREF _Toc256000165 \h </w:instrText>
      </w:r>
      <w:r>
        <w:fldChar w:fldCharType="separate"/>
      </w:r>
      <w:r>
        <w:t>96</w:t>
      </w:r>
      <w:r>
        <w:fldChar w:fldCharType="end"/>
      </w:r>
      <w:r>
        <w:fldChar w:fldCharType="end"/>
      </w:r>
    </w:p>
    <w:p w14:paraId="591216E5">
      <w:pPr>
        <w:pStyle w:val="9"/>
        <w:tabs>
          <w:tab w:val="right" w:leader="dot" w:pos="8296"/>
        </w:tabs>
        <w:rPr>
          <w:rFonts w:asciiTheme="minorHAnsi" w:hAnsiTheme="minorHAnsi"/>
          <w:sz w:val="22"/>
        </w:rPr>
      </w:pPr>
      <w:r>
        <w:fldChar w:fldCharType="begin"/>
      </w:r>
      <w:r>
        <w:instrText xml:space="preserve"> HYPERLINK \l "_Toc256000166" </w:instrText>
      </w:r>
      <w:r>
        <w:fldChar w:fldCharType="separate"/>
      </w:r>
      <w:r>
        <w:rPr>
          <w:rStyle w:val="21"/>
          <w:b/>
        </w:rPr>
        <w:t>2.1 许可或批准</w:t>
      </w:r>
      <w:r>
        <w:tab/>
      </w:r>
      <w:r>
        <w:fldChar w:fldCharType="begin"/>
      </w:r>
      <w:r>
        <w:instrText xml:space="preserve"> PAGEREF _Toc256000166 \h </w:instrText>
      </w:r>
      <w:r>
        <w:fldChar w:fldCharType="separate"/>
      </w:r>
      <w:r>
        <w:t>96</w:t>
      </w:r>
      <w:r>
        <w:fldChar w:fldCharType="end"/>
      </w:r>
      <w:r>
        <w:fldChar w:fldCharType="end"/>
      </w:r>
    </w:p>
    <w:p w14:paraId="46FE9857">
      <w:pPr>
        <w:pStyle w:val="9"/>
        <w:tabs>
          <w:tab w:val="right" w:leader="dot" w:pos="8296"/>
        </w:tabs>
        <w:rPr>
          <w:rFonts w:asciiTheme="minorHAnsi" w:hAnsiTheme="minorHAnsi"/>
          <w:sz w:val="22"/>
        </w:rPr>
      </w:pPr>
      <w:r>
        <w:fldChar w:fldCharType="begin"/>
      </w:r>
      <w:r>
        <w:instrText xml:space="preserve"> HYPERLINK \l "_Toc256000167" </w:instrText>
      </w:r>
      <w:r>
        <w:fldChar w:fldCharType="separate"/>
      </w:r>
      <w:r>
        <w:rPr>
          <w:rStyle w:val="21"/>
          <w:b/>
        </w:rPr>
        <w:t>2.2 发包人代表</w:t>
      </w:r>
      <w:r>
        <w:tab/>
      </w:r>
      <w:r>
        <w:fldChar w:fldCharType="begin"/>
      </w:r>
      <w:r>
        <w:instrText xml:space="preserve"> PAGEREF _Toc256000167 \h </w:instrText>
      </w:r>
      <w:r>
        <w:fldChar w:fldCharType="separate"/>
      </w:r>
      <w:r>
        <w:t>97</w:t>
      </w:r>
      <w:r>
        <w:fldChar w:fldCharType="end"/>
      </w:r>
      <w:r>
        <w:fldChar w:fldCharType="end"/>
      </w:r>
    </w:p>
    <w:p w14:paraId="4F3DA471">
      <w:pPr>
        <w:pStyle w:val="9"/>
        <w:tabs>
          <w:tab w:val="right" w:leader="dot" w:pos="8296"/>
        </w:tabs>
        <w:rPr>
          <w:rFonts w:asciiTheme="minorHAnsi" w:hAnsiTheme="minorHAnsi"/>
          <w:sz w:val="22"/>
        </w:rPr>
      </w:pPr>
      <w:r>
        <w:fldChar w:fldCharType="begin"/>
      </w:r>
      <w:r>
        <w:instrText xml:space="preserve"> HYPERLINK \l "_Toc256000168" </w:instrText>
      </w:r>
      <w:r>
        <w:fldChar w:fldCharType="separate"/>
      </w:r>
      <w:r>
        <w:rPr>
          <w:rStyle w:val="21"/>
          <w:b/>
        </w:rPr>
        <w:t>2.3 发包人人员</w:t>
      </w:r>
      <w:r>
        <w:tab/>
      </w:r>
      <w:r>
        <w:fldChar w:fldCharType="begin"/>
      </w:r>
      <w:r>
        <w:instrText xml:space="preserve"> PAGEREF _Toc256000168 \h </w:instrText>
      </w:r>
      <w:r>
        <w:fldChar w:fldCharType="separate"/>
      </w:r>
      <w:r>
        <w:t>97</w:t>
      </w:r>
      <w:r>
        <w:fldChar w:fldCharType="end"/>
      </w:r>
      <w:r>
        <w:fldChar w:fldCharType="end"/>
      </w:r>
    </w:p>
    <w:p w14:paraId="6F426E20">
      <w:pPr>
        <w:pStyle w:val="9"/>
        <w:tabs>
          <w:tab w:val="right" w:leader="dot" w:pos="8296"/>
        </w:tabs>
        <w:rPr>
          <w:rFonts w:asciiTheme="minorHAnsi" w:hAnsiTheme="minorHAnsi"/>
          <w:sz w:val="22"/>
        </w:rPr>
      </w:pPr>
      <w:r>
        <w:fldChar w:fldCharType="begin"/>
      </w:r>
      <w:r>
        <w:instrText xml:space="preserve"> HYPERLINK \l "_Toc256000169" </w:instrText>
      </w:r>
      <w:r>
        <w:fldChar w:fldCharType="separate"/>
      </w:r>
      <w:r>
        <w:rPr>
          <w:rStyle w:val="21"/>
          <w:b/>
        </w:rPr>
        <w:t>2.4 施工现场、施工条件和基础资料的提供</w:t>
      </w:r>
      <w:r>
        <w:tab/>
      </w:r>
      <w:r>
        <w:fldChar w:fldCharType="begin"/>
      </w:r>
      <w:r>
        <w:instrText xml:space="preserve"> PAGEREF _Toc256000169 \h </w:instrText>
      </w:r>
      <w:r>
        <w:fldChar w:fldCharType="separate"/>
      </w:r>
      <w:r>
        <w:t>97</w:t>
      </w:r>
      <w:r>
        <w:fldChar w:fldCharType="end"/>
      </w:r>
      <w:r>
        <w:fldChar w:fldCharType="end"/>
      </w:r>
    </w:p>
    <w:p w14:paraId="599E7E48">
      <w:pPr>
        <w:pStyle w:val="9"/>
        <w:tabs>
          <w:tab w:val="right" w:leader="dot" w:pos="8296"/>
        </w:tabs>
        <w:rPr>
          <w:rFonts w:asciiTheme="minorHAnsi" w:hAnsiTheme="minorHAnsi"/>
          <w:sz w:val="22"/>
        </w:rPr>
      </w:pPr>
      <w:r>
        <w:fldChar w:fldCharType="begin"/>
      </w:r>
      <w:r>
        <w:instrText xml:space="preserve"> HYPERLINK \l "_Toc256000170" </w:instrText>
      </w:r>
      <w:r>
        <w:fldChar w:fldCharType="separate"/>
      </w:r>
      <w:r>
        <w:rPr>
          <w:rStyle w:val="21"/>
          <w:b/>
        </w:rPr>
        <w:t>2.5 资金来源证明及支付担保</w:t>
      </w:r>
      <w:r>
        <w:tab/>
      </w:r>
      <w:r>
        <w:fldChar w:fldCharType="begin"/>
      </w:r>
      <w:r>
        <w:instrText xml:space="preserve"> PAGEREF _Toc256000170 \h </w:instrText>
      </w:r>
      <w:r>
        <w:fldChar w:fldCharType="separate"/>
      </w:r>
      <w:r>
        <w:t>98</w:t>
      </w:r>
      <w:r>
        <w:fldChar w:fldCharType="end"/>
      </w:r>
      <w:r>
        <w:fldChar w:fldCharType="end"/>
      </w:r>
    </w:p>
    <w:p w14:paraId="42EEE5F3">
      <w:pPr>
        <w:pStyle w:val="9"/>
        <w:tabs>
          <w:tab w:val="right" w:leader="dot" w:pos="8296"/>
        </w:tabs>
        <w:rPr>
          <w:rFonts w:asciiTheme="minorHAnsi" w:hAnsiTheme="minorHAnsi"/>
          <w:sz w:val="22"/>
        </w:rPr>
      </w:pPr>
      <w:r>
        <w:fldChar w:fldCharType="begin"/>
      </w:r>
      <w:r>
        <w:instrText xml:space="preserve"> HYPERLINK \l "_Toc256000171" </w:instrText>
      </w:r>
      <w:r>
        <w:fldChar w:fldCharType="separate"/>
      </w:r>
      <w:r>
        <w:rPr>
          <w:rStyle w:val="21"/>
          <w:b/>
        </w:rPr>
        <w:t>2.6 支付合同价款</w:t>
      </w:r>
      <w:r>
        <w:tab/>
      </w:r>
      <w:r>
        <w:fldChar w:fldCharType="begin"/>
      </w:r>
      <w:r>
        <w:instrText xml:space="preserve"> PAGEREF _Toc256000171 \h </w:instrText>
      </w:r>
      <w:r>
        <w:fldChar w:fldCharType="separate"/>
      </w:r>
      <w:r>
        <w:t>98</w:t>
      </w:r>
      <w:r>
        <w:fldChar w:fldCharType="end"/>
      </w:r>
      <w:r>
        <w:fldChar w:fldCharType="end"/>
      </w:r>
    </w:p>
    <w:p w14:paraId="50F91347">
      <w:pPr>
        <w:pStyle w:val="9"/>
        <w:tabs>
          <w:tab w:val="right" w:leader="dot" w:pos="8296"/>
        </w:tabs>
        <w:rPr>
          <w:rFonts w:asciiTheme="minorHAnsi" w:hAnsiTheme="minorHAnsi"/>
          <w:sz w:val="22"/>
        </w:rPr>
      </w:pPr>
      <w:r>
        <w:fldChar w:fldCharType="begin"/>
      </w:r>
      <w:r>
        <w:instrText xml:space="preserve"> HYPERLINK \l "_Toc256000172" </w:instrText>
      </w:r>
      <w:r>
        <w:fldChar w:fldCharType="separate"/>
      </w:r>
      <w:r>
        <w:rPr>
          <w:rStyle w:val="21"/>
          <w:b/>
        </w:rPr>
        <w:t>2.7 组织竣工验收</w:t>
      </w:r>
      <w:r>
        <w:tab/>
      </w:r>
      <w:r>
        <w:fldChar w:fldCharType="begin"/>
      </w:r>
      <w:r>
        <w:instrText xml:space="preserve"> PAGEREF _Toc256000172 \h </w:instrText>
      </w:r>
      <w:r>
        <w:fldChar w:fldCharType="separate"/>
      </w:r>
      <w:r>
        <w:t>98</w:t>
      </w:r>
      <w:r>
        <w:fldChar w:fldCharType="end"/>
      </w:r>
      <w:r>
        <w:fldChar w:fldCharType="end"/>
      </w:r>
    </w:p>
    <w:p w14:paraId="5D7F6118">
      <w:pPr>
        <w:pStyle w:val="9"/>
        <w:tabs>
          <w:tab w:val="right" w:leader="dot" w:pos="8296"/>
        </w:tabs>
        <w:rPr>
          <w:rFonts w:asciiTheme="minorHAnsi" w:hAnsiTheme="minorHAnsi"/>
          <w:sz w:val="22"/>
        </w:rPr>
      </w:pPr>
      <w:r>
        <w:fldChar w:fldCharType="begin"/>
      </w:r>
      <w:r>
        <w:instrText xml:space="preserve"> HYPERLINK \l "_Toc256000173" </w:instrText>
      </w:r>
      <w:r>
        <w:fldChar w:fldCharType="separate"/>
      </w:r>
      <w:r>
        <w:rPr>
          <w:rStyle w:val="21"/>
          <w:b/>
        </w:rPr>
        <w:t>2.8 现场统一管理协议</w:t>
      </w:r>
      <w:r>
        <w:tab/>
      </w:r>
      <w:r>
        <w:fldChar w:fldCharType="begin"/>
      </w:r>
      <w:r>
        <w:instrText xml:space="preserve"> PAGEREF _Toc256000173 \h </w:instrText>
      </w:r>
      <w:r>
        <w:fldChar w:fldCharType="separate"/>
      </w:r>
      <w:r>
        <w:t>98</w:t>
      </w:r>
      <w:r>
        <w:fldChar w:fldCharType="end"/>
      </w:r>
      <w:r>
        <w:fldChar w:fldCharType="end"/>
      </w:r>
    </w:p>
    <w:p w14:paraId="2B960883">
      <w:pPr>
        <w:pStyle w:val="14"/>
        <w:tabs>
          <w:tab w:val="right" w:leader="dot" w:pos="8296"/>
        </w:tabs>
        <w:rPr>
          <w:rFonts w:asciiTheme="minorHAnsi" w:hAnsiTheme="minorHAnsi"/>
          <w:sz w:val="22"/>
        </w:rPr>
      </w:pPr>
      <w:r>
        <w:fldChar w:fldCharType="begin"/>
      </w:r>
      <w:r>
        <w:instrText xml:space="preserve"> HYPERLINK \l "_Toc256000174" </w:instrText>
      </w:r>
      <w:r>
        <w:fldChar w:fldCharType="separate"/>
      </w:r>
      <w:r>
        <w:rPr>
          <w:rStyle w:val="21"/>
          <w:rFonts w:hint="eastAsia" w:ascii="黑体" w:hAnsi="宋体" w:cs="黑体"/>
          <w:kern w:val="0"/>
          <w:lang w:bidi="ar"/>
        </w:rPr>
        <w:t>3.承包人</w:t>
      </w:r>
      <w:r>
        <w:tab/>
      </w:r>
      <w:r>
        <w:fldChar w:fldCharType="begin"/>
      </w:r>
      <w:r>
        <w:instrText xml:space="preserve"> PAGEREF _Toc256000174 \h </w:instrText>
      </w:r>
      <w:r>
        <w:fldChar w:fldCharType="separate"/>
      </w:r>
      <w:r>
        <w:t>98</w:t>
      </w:r>
      <w:r>
        <w:fldChar w:fldCharType="end"/>
      </w:r>
      <w:r>
        <w:fldChar w:fldCharType="end"/>
      </w:r>
    </w:p>
    <w:p w14:paraId="3E877D7E">
      <w:pPr>
        <w:pStyle w:val="9"/>
        <w:tabs>
          <w:tab w:val="right" w:leader="dot" w:pos="8296"/>
        </w:tabs>
        <w:rPr>
          <w:rFonts w:asciiTheme="minorHAnsi" w:hAnsiTheme="minorHAnsi"/>
          <w:sz w:val="22"/>
        </w:rPr>
      </w:pPr>
      <w:r>
        <w:fldChar w:fldCharType="begin"/>
      </w:r>
      <w:r>
        <w:instrText xml:space="preserve"> HYPERLINK \l "_Toc256000175" </w:instrText>
      </w:r>
      <w:r>
        <w:fldChar w:fldCharType="separate"/>
      </w:r>
      <w:r>
        <w:rPr>
          <w:rStyle w:val="21"/>
          <w:b/>
        </w:rPr>
        <w:t>3.1 承包人的一般义务</w:t>
      </w:r>
      <w:r>
        <w:tab/>
      </w:r>
      <w:r>
        <w:fldChar w:fldCharType="begin"/>
      </w:r>
      <w:r>
        <w:instrText xml:space="preserve"> PAGEREF _Toc256000175 \h </w:instrText>
      </w:r>
      <w:r>
        <w:fldChar w:fldCharType="separate"/>
      </w:r>
      <w:r>
        <w:t>98</w:t>
      </w:r>
      <w:r>
        <w:fldChar w:fldCharType="end"/>
      </w:r>
      <w:r>
        <w:fldChar w:fldCharType="end"/>
      </w:r>
    </w:p>
    <w:p w14:paraId="5B41DE57">
      <w:pPr>
        <w:pStyle w:val="9"/>
        <w:tabs>
          <w:tab w:val="right" w:leader="dot" w:pos="8296"/>
        </w:tabs>
        <w:rPr>
          <w:rFonts w:asciiTheme="minorHAnsi" w:hAnsiTheme="minorHAnsi"/>
          <w:sz w:val="22"/>
        </w:rPr>
      </w:pPr>
      <w:r>
        <w:fldChar w:fldCharType="begin"/>
      </w:r>
      <w:r>
        <w:instrText xml:space="preserve"> HYPERLINK \l "_Toc256000176" </w:instrText>
      </w:r>
      <w:r>
        <w:fldChar w:fldCharType="separate"/>
      </w:r>
      <w:r>
        <w:rPr>
          <w:rStyle w:val="21"/>
          <w:b/>
        </w:rPr>
        <w:t>3.2 项目经理</w:t>
      </w:r>
      <w:r>
        <w:tab/>
      </w:r>
      <w:r>
        <w:fldChar w:fldCharType="begin"/>
      </w:r>
      <w:r>
        <w:instrText xml:space="preserve"> PAGEREF _Toc256000176 \h </w:instrText>
      </w:r>
      <w:r>
        <w:fldChar w:fldCharType="separate"/>
      </w:r>
      <w:r>
        <w:t>99</w:t>
      </w:r>
      <w:r>
        <w:fldChar w:fldCharType="end"/>
      </w:r>
      <w:r>
        <w:fldChar w:fldCharType="end"/>
      </w:r>
    </w:p>
    <w:p w14:paraId="39ED9E3F">
      <w:pPr>
        <w:pStyle w:val="9"/>
        <w:tabs>
          <w:tab w:val="right" w:leader="dot" w:pos="8296"/>
        </w:tabs>
        <w:rPr>
          <w:rFonts w:asciiTheme="minorHAnsi" w:hAnsiTheme="minorHAnsi"/>
          <w:sz w:val="22"/>
        </w:rPr>
      </w:pPr>
      <w:r>
        <w:fldChar w:fldCharType="begin"/>
      </w:r>
      <w:r>
        <w:instrText xml:space="preserve"> HYPERLINK \l "_Toc256000177" </w:instrText>
      </w:r>
      <w:r>
        <w:fldChar w:fldCharType="separate"/>
      </w:r>
      <w:r>
        <w:rPr>
          <w:rStyle w:val="21"/>
          <w:b/>
        </w:rPr>
        <w:t>3.3 承包人人员</w:t>
      </w:r>
      <w:r>
        <w:tab/>
      </w:r>
      <w:r>
        <w:fldChar w:fldCharType="begin"/>
      </w:r>
      <w:r>
        <w:instrText xml:space="preserve"> PAGEREF _Toc256000177 \h </w:instrText>
      </w:r>
      <w:r>
        <w:fldChar w:fldCharType="separate"/>
      </w:r>
      <w:r>
        <w:t>99</w:t>
      </w:r>
      <w:r>
        <w:fldChar w:fldCharType="end"/>
      </w:r>
      <w:r>
        <w:fldChar w:fldCharType="end"/>
      </w:r>
    </w:p>
    <w:p w14:paraId="4F4F8B2D">
      <w:pPr>
        <w:pStyle w:val="9"/>
        <w:tabs>
          <w:tab w:val="right" w:leader="dot" w:pos="8296"/>
        </w:tabs>
        <w:rPr>
          <w:rFonts w:asciiTheme="minorHAnsi" w:hAnsiTheme="minorHAnsi"/>
          <w:sz w:val="22"/>
        </w:rPr>
      </w:pPr>
      <w:r>
        <w:fldChar w:fldCharType="begin"/>
      </w:r>
      <w:r>
        <w:instrText xml:space="preserve"> HYPERLINK \l "_Toc256000178" </w:instrText>
      </w:r>
      <w:r>
        <w:fldChar w:fldCharType="separate"/>
      </w:r>
      <w:r>
        <w:rPr>
          <w:rStyle w:val="21"/>
          <w:b/>
        </w:rPr>
        <w:t>3.4 承包人现场查勘</w:t>
      </w:r>
      <w:r>
        <w:tab/>
      </w:r>
      <w:r>
        <w:fldChar w:fldCharType="begin"/>
      </w:r>
      <w:r>
        <w:instrText xml:space="preserve"> PAGEREF _Toc256000178 \h </w:instrText>
      </w:r>
      <w:r>
        <w:fldChar w:fldCharType="separate"/>
      </w:r>
      <w:r>
        <w:t>100</w:t>
      </w:r>
      <w:r>
        <w:fldChar w:fldCharType="end"/>
      </w:r>
      <w:r>
        <w:fldChar w:fldCharType="end"/>
      </w:r>
    </w:p>
    <w:p w14:paraId="25C88F31">
      <w:pPr>
        <w:pStyle w:val="9"/>
        <w:tabs>
          <w:tab w:val="right" w:leader="dot" w:pos="8296"/>
        </w:tabs>
        <w:rPr>
          <w:rFonts w:asciiTheme="minorHAnsi" w:hAnsiTheme="minorHAnsi"/>
          <w:sz w:val="22"/>
        </w:rPr>
      </w:pPr>
      <w:r>
        <w:fldChar w:fldCharType="begin"/>
      </w:r>
      <w:r>
        <w:instrText xml:space="preserve"> HYPERLINK \l "_Toc256000179" </w:instrText>
      </w:r>
      <w:r>
        <w:fldChar w:fldCharType="separate"/>
      </w:r>
      <w:r>
        <w:rPr>
          <w:rStyle w:val="21"/>
          <w:b/>
        </w:rPr>
        <w:t>3.5 分包</w:t>
      </w:r>
      <w:r>
        <w:tab/>
      </w:r>
      <w:r>
        <w:fldChar w:fldCharType="begin"/>
      </w:r>
      <w:r>
        <w:instrText xml:space="preserve"> PAGEREF _Toc256000179 \h </w:instrText>
      </w:r>
      <w:r>
        <w:fldChar w:fldCharType="separate"/>
      </w:r>
      <w:r>
        <w:t>100</w:t>
      </w:r>
      <w:r>
        <w:fldChar w:fldCharType="end"/>
      </w:r>
      <w:r>
        <w:fldChar w:fldCharType="end"/>
      </w:r>
    </w:p>
    <w:p w14:paraId="1C978B4A">
      <w:pPr>
        <w:pStyle w:val="9"/>
        <w:tabs>
          <w:tab w:val="right" w:leader="dot" w:pos="8296"/>
        </w:tabs>
        <w:rPr>
          <w:rFonts w:asciiTheme="minorHAnsi" w:hAnsiTheme="minorHAnsi"/>
          <w:sz w:val="22"/>
        </w:rPr>
      </w:pPr>
      <w:r>
        <w:fldChar w:fldCharType="begin"/>
      </w:r>
      <w:r>
        <w:instrText xml:space="preserve"> HYPERLINK \l "_Toc256000180" </w:instrText>
      </w:r>
      <w:r>
        <w:fldChar w:fldCharType="separate"/>
      </w:r>
      <w:r>
        <w:rPr>
          <w:rStyle w:val="21"/>
          <w:b/>
        </w:rPr>
        <w:t>3.6 工程照管与成品、半成品保护</w:t>
      </w:r>
      <w:r>
        <w:tab/>
      </w:r>
      <w:r>
        <w:fldChar w:fldCharType="begin"/>
      </w:r>
      <w:r>
        <w:instrText xml:space="preserve"> PAGEREF _Toc256000180 \h </w:instrText>
      </w:r>
      <w:r>
        <w:fldChar w:fldCharType="separate"/>
      </w:r>
      <w:r>
        <w:t>101</w:t>
      </w:r>
      <w:r>
        <w:fldChar w:fldCharType="end"/>
      </w:r>
      <w:r>
        <w:fldChar w:fldCharType="end"/>
      </w:r>
    </w:p>
    <w:p w14:paraId="4F997F7E">
      <w:pPr>
        <w:pStyle w:val="9"/>
        <w:tabs>
          <w:tab w:val="right" w:leader="dot" w:pos="8296"/>
        </w:tabs>
        <w:rPr>
          <w:rFonts w:asciiTheme="minorHAnsi" w:hAnsiTheme="minorHAnsi"/>
          <w:sz w:val="22"/>
        </w:rPr>
      </w:pPr>
      <w:r>
        <w:fldChar w:fldCharType="begin"/>
      </w:r>
      <w:r>
        <w:instrText xml:space="preserve"> HYPERLINK \l "_Toc256000181" </w:instrText>
      </w:r>
      <w:r>
        <w:fldChar w:fldCharType="separate"/>
      </w:r>
      <w:r>
        <w:rPr>
          <w:rStyle w:val="21"/>
          <w:b/>
        </w:rPr>
        <w:t>3.7 履约担保</w:t>
      </w:r>
      <w:r>
        <w:tab/>
      </w:r>
      <w:r>
        <w:fldChar w:fldCharType="begin"/>
      </w:r>
      <w:r>
        <w:instrText xml:space="preserve"> PAGEREF _Toc256000181 \h </w:instrText>
      </w:r>
      <w:r>
        <w:fldChar w:fldCharType="separate"/>
      </w:r>
      <w:r>
        <w:t>101</w:t>
      </w:r>
      <w:r>
        <w:fldChar w:fldCharType="end"/>
      </w:r>
      <w:r>
        <w:fldChar w:fldCharType="end"/>
      </w:r>
    </w:p>
    <w:p w14:paraId="11C9CA93">
      <w:pPr>
        <w:pStyle w:val="9"/>
        <w:tabs>
          <w:tab w:val="right" w:leader="dot" w:pos="8296"/>
        </w:tabs>
        <w:rPr>
          <w:rFonts w:asciiTheme="minorHAnsi" w:hAnsiTheme="minorHAnsi"/>
          <w:sz w:val="22"/>
        </w:rPr>
      </w:pPr>
      <w:r>
        <w:fldChar w:fldCharType="begin"/>
      </w:r>
      <w:r>
        <w:instrText xml:space="preserve"> HYPERLINK \l "_Toc256000182" </w:instrText>
      </w:r>
      <w:r>
        <w:fldChar w:fldCharType="separate"/>
      </w:r>
      <w:r>
        <w:rPr>
          <w:rStyle w:val="21"/>
          <w:b/>
        </w:rPr>
        <w:t>3.8 联合体</w:t>
      </w:r>
      <w:r>
        <w:tab/>
      </w:r>
      <w:r>
        <w:fldChar w:fldCharType="begin"/>
      </w:r>
      <w:r>
        <w:instrText xml:space="preserve"> PAGEREF _Toc256000182 \h </w:instrText>
      </w:r>
      <w:r>
        <w:fldChar w:fldCharType="separate"/>
      </w:r>
      <w:r>
        <w:t>101</w:t>
      </w:r>
      <w:r>
        <w:fldChar w:fldCharType="end"/>
      </w:r>
      <w:r>
        <w:fldChar w:fldCharType="end"/>
      </w:r>
    </w:p>
    <w:p w14:paraId="0A7453DA">
      <w:pPr>
        <w:pStyle w:val="14"/>
        <w:tabs>
          <w:tab w:val="right" w:leader="dot" w:pos="8296"/>
        </w:tabs>
        <w:rPr>
          <w:rFonts w:asciiTheme="minorHAnsi" w:hAnsiTheme="minorHAnsi"/>
          <w:sz w:val="22"/>
        </w:rPr>
      </w:pPr>
      <w:r>
        <w:fldChar w:fldCharType="begin"/>
      </w:r>
      <w:r>
        <w:instrText xml:space="preserve"> HYPERLINK \l "_Toc256000183" </w:instrText>
      </w:r>
      <w:r>
        <w:fldChar w:fldCharType="separate"/>
      </w:r>
      <w:r>
        <w:rPr>
          <w:rStyle w:val="21"/>
          <w:rFonts w:hint="eastAsia" w:ascii="黑体" w:hAnsi="宋体" w:cs="黑体"/>
          <w:kern w:val="0"/>
          <w:lang w:bidi="ar"/>
        </w:rPr>
        <w:t>4.监理人</w:t>
      </w:r>
      <w:r>
        <w:tab/>
      </w:r>
      <w:r>
        <w:fldChar w:fldCharType="begin"/>
      </w:r>
      <w:r>
        <w:instrText xml:space="preserve"> PAGEREF _Toc256000183 \h </w:instrText>
      </w:r>
      <w:r>
        <w:fldChar w:fldCharType="separate"/>
      </w:r>
      <w:r>
        <w:t>102</w:t>
      </w:r>
      <w:r>
        <w:fldChar w:fldCharType="end"/>
      </w:r>
      <w:r>
        <w:fldChar w:fldCharType="end"/>
      </w:r>
    </w:p>
    <w:p w14:paraId="53D33F62">
      <w:pPr>
        <w:pStyle w:val="9"/>
        <w:tabs>
          <w:tab w:val="right" w:leader="dot" w:pos="8296"/>
        </w:tabs>
        <w:rPr>
          <w:rFonts w:asciiTheme="minorHAnsi" w:hAnsiTheme="minorHAnsi"/>
          <w:sz w:val="22"/>
        </w:rPr>
      </w:pPr>
      <w:r>
        <w:fldChar w:fldCharType="begin"/>
      </w:r>
      <w:r>
        <w:instrText xml:space="preserve"> HYPERLINK \l "_Toc256000184" </w:instrText>
      </w:r>
      <w:r>
        <w:fldChar w:fldCharType="separate"/>
      </w:r>
      <w:r>
        <w:rPr>
          <w:rStyle w:val="21"/>
          <w:b/>
        </w:rPr>
        <w:t>4.1监理人的一般规定</w:t>
      </w:r>
      <w:r>
        <w:tab/>
      </w:r>
      <w:r>
        <w:fldChar w:fldCharType="begin"/>
      </w:r>
      <w:r>
        <w:instrText xml:space="preserve"> PAGEREF _Toc256000184 \h </w:instrText>
      </w:r>
      <w:r>
        <w:fldChar w:fldCharType="separate"/>
      </w:r>
      <w:r>
        <w:t>102</w:t>
      </w:r>
      <w:r>
        <w:fldChar w:fldCharType="end"/>
      </w:r>
      <w:r>
        <w:fldChar w:fldCharType="end"/>
      </w:r>
    </w:p>
    <w:p w14:paraId="6B2038A9">
      <w:pPr>
        <w:pStyle w:val="9"/>
        <w:tabs>
          <w:tab w:val="right" w:leader="dot" w:pos="8296"/>
        </w:tabs>
        <w:rPr>
          <w:rFonts w:asciiTheme="minorHAnsi" w:hAnsiTheme="minorHAnsi"/>
          <w:sz w:val="22"/>
        </w:rPr>
      </w:pPr>
      <w:r>
        <w:fldChar w:fldCharType="begin"/>
      </w:r>
      <w:r>
        <w:instrText xml:space="preserve"> HYPERLINK \l "_Toc256000185" </w:instrText>
      </w:r>
      <w:r>
        <w:fldChar w:fldCharType="separate"/>
      </w:r>
      <w:r>
        <w:rPr>
          <w:rStyle w:val="21"/>
          <w:b/>
        </w:rPr>
        <w:t>4.2监理人员</w:t>
      </w:r>
      <w:r>
        <w:tab/>
      </w:r>
      <w:r>
        <w:fldChar w:fldCharType="begin"/>
      </w:r>
      <w:r>
        <w:instrText xml:space="preserve"> PAGEREF _Toc256000185 \h </w:instrText>
      </w:r>
      <w:r>
        <w:fldChar w:fldCharType="separate"/>
      </w:r>
      <w:r>
        <w:t>102</w:t>
      </w:r>
      <w:r>
        <w:fldChar w:fldCharType="end"/>
      </w:r>
      <w:r>
        <w:fldChar w:fldCharType="end"/>
      </w:r>
    </w:p>
    <w:p w14:paraId="38BA361A">
      <w:pPr>
        <w:pStyle w:val="9"/>
        <w:tabs>
          <w:tab w:val="right" w:leader="dot" w:pos="8296"/>
        </w:tabs>
        <w:rPr>
          <w:rFonts w:asciiTheme="minorHAnsi" w:hAnsiTheme="minorHAnsi"/>
          <w:sz w:val="22"/>
        </w:rPr>
      </w:pPr>
      <w:r>
        <w:fldChar w:fldCharType="begin"/>
      </w:r>
      <w:r>
        <w:instrText xml:space="preserve"> HYPERLINK \l "_Toc256000186" </w:instrText>
      </w:r>
      <w:r>
        <w:fldChar w:fldCharType="separate"/>
      </w:r>
      <w:r>
        <w:rPr>
          <w:rStyle w:val="21"/>
          <w:b/>
        </w:rPr>
        <w:t>4.3监理人的指示</w:t>
      </w:r>
      <w:r>
        <w:tab/>
      </w:r>
      <w:r>
        <w:fldChar w:fldCharType="begin"/>
      </w:r>
      <w:r>
        <w:instrText xml:space="preserve"> PAGEREF _Toc256000186 \h </w:instrText>
      </w:r>
      <w:r>
        <w:fldChar w:fldCharType="separate"/>
      </w:r>
      <w:r>
        <w:t>102</w:t>
      </w:r>
      <w:r>
        <w:fldChar w:fldCharType="end"/>
      </w:r>
      <w:r>
        <w:fldChar w:fldCharType="end"/>
      </w:r>
    </w:p>
    <w:p w14:paraId="47EFF572">
      <w:pPr>
        <w:pStyle w:val="9"/>
        <w:tabs>
          <w:tab w:val="right" w:leader="dot" w:pos="8296"/>
        </w:tabs>
        <w:rPr>
          <w:rFonts w:asciiTheme="minorHAnsi" w:hAnsiTheme="minorHAnsi"/>
          <w:sz w:val="22"/>
        </w:rPr>
      </w:pPr>
      <w:r>
        <w:fldChar w:fldCharType="begin"/>
      </w:r>
      <w:r>
        <w:instrText xml:space="preserve"> HYPERLINK \l "_Toc256000187" </w:instrText>
      </w:r>
      <w:r>
        <w:fldChar w:fldCharType="separate"/>
      </w:r>
      <w:r>
        <w:rPr>
          <w:rStyle w:val="21"/>
          <w:b/>
        </w:rPr>
        <w:t>4.4 商定或确定</w:t>
      </w:r>
      <w:r>
        <w:tab/>
      </w:r>
      <w:r>
        <w:fldChar w:fldCharType="begin"/>
      </w:r>
      <w:r>
        <w:instrText xml:space="preserve"> PAGEREF _Toc256000187 \h </w:instrText>
      </w:r>
      <w:r>
        <w:fldChar w:fldCharType="separate"/>
      </w:r>
      <w:r>
        <w:t>102</w:t>
      </w:r>
      <w:r>
        <w:fldChar w:fldCharType="end"/>
      </w:r>
      <w:r>
        <w:fldChar w:fldCharType="end"/>
      </w:r>
    </w:p>
    <w:p w14:paraId="5001F137">
      <w:pPr>
        <w:pStyle w:val="14"/>
        <w:tabs>
          <w:tab w:val="right" w:leader="dot" w:pos="8296"/>
        </w:tabs>
        <w:rPr>
          <w:rFonts w:asciiTheme="minorHAnsi" w:hAnsiTheme="minorHAnsi"/>
          <w:sz w:val="22"/>
        </w:rPr>
      </w:pPr>
      <w:r>
        <w:fldChar w:fldCharType="begin"/>
      </w:r>
      <w:r>
        <w:instrText xml:space="preserve"> HYPERLINK \l "_Toc256000188" </w:instrText>
      </w:r>
      <w:r>
        <w:fldChar w:fldCharType="separate"/>
      </w:r>
      <w:r>
        <w:rPr>
          <w:rStyle w:val="21"/>
          <w:rFonts w:hint="eastAsia" w:ascii="黑体" w:hAnsi="宋体" w:cs="黑体"/>
          <w:kern w:val="0"/>
          <w:lang w:bidi="ar"/>
        </w:rPr>
        <w:t>5.工程质量</w:t>
      </w:r>
      <w:r>
        <w:tab/>
      </w:r>
      <w:r>
        <w:fldChar w:fldCharType="begin"/>
      </w:r>
      <w:r>
        <w:instrText xml:space="preserve"> PAGEREF _Toc256000188 \h </w:instrText>
      </w:r>
      <w:r>
        <w:fldChar w:fldCharType="separate"/>
      </w:r>
      <w:r>
        <w:t>103</w:t>
      </w:r>
      <w:r>
        <w:fldChar w:fldCharType="end"/>
      </w:r>
      <w:r>
        <w:fldChar w:fldCharType="end"/>
      </w:r>
    </w:p>
    <w:p w14:paraId="3378E56E">
      <w:pPr>
        <w:pStyle w:val="9"/>
        <w:tabs>
          <w:tab w:val="right" w:leader="dot" w:pos="8296"/>
        </w:tabs>
        <w:rPr>
          <w:rFonts w:asciiTheme="minorHAnsi" w:hAnsiTheme="minorHAnsi"/>
          <w:sz w:val="22"/>
        </w:rPr>
      </w:pPr>
      <w:r>
        <w:fldChar w:fldCharType="begin"/>
      </w:r>
      <w:r>
        <w:instrText xml:space="preserve"> HYPERLINK \l "_Toc256000189" </w:instrText>
      </w:r>
      <w:r>
        <w:fldChar w:fldCharType="separate"/>
      </w:r>
      <w:r>
        <w:rPr>
          <w:rStyle w:val="21"/>
          <w:b/>
        </w:rPr>
        <w:t>5.1质量要求</w:t>
      </w:r>
      <w:r>
        <w:tab/>
      </w:r>
      <w:r>
        <w:fldChar w:fldCharType="begin"/>
      </w:r>
      <w:r>
        <w:instrText xml:space="preserve"> PAGEREF _Toc256000189 \h </w:instrText>
      </w:r>
      <w:r>
        <w:fldChar w:fldCharType="separate"/>
      </w:r>
      <w:r>
        <w:t>103</w:t>
      </w:r>
      <w:r>
        <w:fldChar w:fldCharType="end"/>
      </w:r>
      <w:r>
        <w:fldChar w:fldCharType="end"/>
      </w:r>
    </w:p>
    <w:p w14:paraId="563776CA">
      <w:pPr>
        <w:pStyle w:val="9"/>
        <w:tabs>
          <w:tab w:val="right" w:leader="dot" w:pos="8296"/>
        </w:tabs>
        <w:rPr>
          <w:rFonts w:asciiTheme="minorHAnsi" w:hAnsiTheme="minorHAnsi"/>
          <w:sz w:val="22"/>
        </w:rPr>
      </w:pPr>
      <w:r>
        <w:fldChar w:fldCharType="begin"/>
      </w:r>
      <w:r>
        <w:instrText xml:space="preserve"> HYPERLINK \l "_Toc256000190" </w:instrText>
      </w:r>
      <w:r>
        <w:fldChar w:fldCharType="separate"/>
      </w:r>
      <w:r>
        <w:rPr>
          <w:rStyle w:val="21"/>
          <w:b/>
        </w:rPr>
        <w:t>5.2质量保证措施</w:t>
      </w:r>
      <w:r>
        <w:tab/>
      </w:r>
      <w:r>
        <w:fldChar w:fldCharType="begin"/>
      </w:r>
      <w:r>
        <w:instrText xml:space="preserve"> PAGEREF _Toc256000190 \h </w:instrText>
      </w:r>
      <w:r>
        <w:fldChar w:fldCharType="separate"/>
      </w:r>
      <w:r>
        <w:t>103</w:t>
      </w:r>
      <w:r>
        <w:fldChar w:fldCharType="end"/>
      </w:r>
      <w:r>
        <w:fldChar w:fldCharType="end"/>
      </w:r>
    </w:p>
    <w:p w14:paraId="7DF041F9">
      <w:pPr>
        <w:pStyle w:val="9"/>
        <w:tabs>
          <w:tab w:val="right" w:leader="dot" w:pos="8296"/>
        </w:tabs>
        <w:rPr>
          <w:rFonts w:asciiTheme="minorHAnsi" w:hAnsiTheme="minorHAnsi"/>
          <w:sz w:val="22"/>
        </w:rPr>
      </w:pPr>
      <w:r>
        <w:fldChar w:fldCharType="begin"/>
      </w:r>
      <w:r>
        <w:instrText xml:space="preserve"> HYPERLINK \l "_Toc256000191" </w:instrText>
      </w:r>
      <w:r>
        <w:fldChar w:fldCharType="separate"/>
      </w:r>
      <w:r>
        <w:rPr>
          <w:rStyle w:val="21"/>
          <w:b/>
        </w:rPr>
        <w:t>5.3 隐蔽工程检查</w:t>
      </w:r>
      <w:r>
        <w:tab/>
      </w:r>
      <w:r>
        <w:fldChar w:fldCharType="begin"/>
      </w:r>
      <w:r>
        <w:instrText xml:space="preserve"> PAGEREF _Toc256000191 \h </w:instrText>
      </w:r>
      <w:r>
        <w:fldChar w:fldCharType="separate"/>
      </w:r>
      <w:r>
        <w:t>104</w:t>
      </w:r>
      <w:r>
        <w:fldChar w:fldCharType="end"/>
      </w:r>
      <w:r>
        <w:fldChar w:fldCharType="end"/>
      </w:r>
    </w:p>
    <w:p w14:paraId="4D88A65A">
      <w:pPr>
        <w:pStyle w:val="9"/>
        <w:tabs>
          <w:tab w:val="right" w:leader="dot" w:pos="8296"/>
        </w:tabs>
        <w:rPr>
          <w:rFonts w:asciiTheme="minorHAnsi" w:hAnsiTheme="minorHAnsi"/>
          <w:sz w:val="22"/>
        </w:rPr>
      </w:pPr>
      <w:r>
        <w:fldChar w:fldCharType="begin"/>
      </w:r>
      <w:r>
        <w:instrText xml:space="preserve"> HYPERLINK \l "_Toc256000192" </w:instrText>
      </w:r>
      <w:r>
        <w:fldChar w:fldCharType="separate"/>
      </w:r>
      <w:r>
        <w:rPr>
          <w:rStyle w:val="21"/>
          <w:b/>
        </w:rPr>
        <w:t>5.4不合格工程的处理</w:t>
      </w:r>
      <w:r>
        <w:tab/>
      </w:r>
      <w:r>
        <w:fldChar w:fldCharType="begin"/>
      </w:r>
      <w:r>
        <w:instrText xml:space="preserve"> PAGEREF _Toc256000192 \h </w:instrText>
      </w:r>
      <w:r>
        <w:fldChar w:fldCharType="separate"/>
      </w:r>
      <w:r>
        <w:t>104</w:t>
      </w:r>
      <w:r>
        <w:fldChar w:fldCharType="end"/>
      </w:r>
      <w:r>
        <w:fldChar w:fldCharType="end"/>
      </w:r>
    </w:p>
    <w:p w14:paraId="7E6B8225">
      <w:pPr>
        <w:pStyle w:val="9"/>
        <w:tabs>
          <w:tab w:val="right" w:leader="dot" w:pos="8296"/>
        </w:tabs>
        <w:rPr>
          <w:rFonts w:asciiTheme="minorHAnsi" w:hAnsiTheme="minorHAnsi"/>
          <w:sz w:val="22"/>
        </w:rPr>
      </w:pPr>
      <w:r>
        <w:fldChar w:fldCharType="begin"/>
      </w:r>
      <w:r>
        <w:instrText xml:space="preserve"> HYPERLINK \l "_Toc256000193" </w:instrText>
      </w:r>
      <w:r>
        <w:fldChar w:fldCharType="separate"/>
      </w:r>
      <w:r>
        <w:rPr>
          <w:rStyle w:val="21"/>
          <w:b/>
        </w:rPr>
        <w:t>5.5 质量争议检测</w:t>
      </w:r>
      <w:r>
        <w:tab/>
      </w:r>
      <w:r>
        <w:fldChar w:fldCharType="begin"/>
      </w:r>
      <w:r>
        <w:instrText xml:space="preserve"> PAGEREF _Toc256000193 \h </w:instrText>
      </w:r>
      <w:r>
        <w:fldChar w:fldCharType="separate"/>
      </w:r>
      <w:r>
        <w:t>105</w:t>
      </w:r>
      <w:r>
        <w:fldChar w:fldCharType="end"/>
      </w:r>
      <w:r>
        <w:fldChar w:fldCharType="end"/>
      </w:r>
    </w:p>
    <w:p w14:paraId="2E3C2446">
      <w:pPr>
        <w:pStyle w:val="14"/>
        <w:tabs>
          <w:tab w:val="right" w:leader="dot" w:pos="8296"/>
        </w:tabs>
        <w:rPr>
          <w:rFonts w:asciiTheme="minorHAnsi" w:hAnsiTheme="minorHAnsi"/>
          <w:sz w:val="22"/>
        </w:rPr>
      </w:pPr>
      <w:r>
        <w:fldChar w:fldCharType="begin"/>
      </w:r>
      <w:r>
        <w:instrText xml:space="preserve"> HYPERLINK \l "_Toc256000194" </w:instrText>
      </w:r>
      <w:r>
        <w:fldChar w:fldCharType="separate"/>
      </w:r>
      <w:r>
        <w:rPr>
          <w:rStyle w:val="21"/>
          <w:rFonts w:hint="eastAsia" w:ascii="黑体" w:hAnsi="宋体" w:cs="黑体"/>
          <w:kern w:val="0"/>
          <w:lang w:bidi="ar"/>
        </w:rPr>
        <w:t>6.安全文明施工与环境保护</w:t>
      </w:r>
      <w:r>
        <w:tab/>
      </w:r>
      <w:r>
        <w:fldChar w:fldCharType="begin"/>
      </w:r>
      <w:r>
        <w:instrText xml:space="preserve"> PAGEREF _Toc256000194 \h </w:instrText>
      </w:r>
      <w:r>
        <w:fldChar w:fldCharType="separate"/>
      </w:r>
      <w:r>
        <w:t>105</w:t>
      </w:r>
      <w:r>
        <w:fldChar w:fldCharType="end"/>
      </w:r>
      <w:r>
        <w:fldChar w:fldCharType="end"/>
      </w:r>
    </w:p>
    <w:p w14:paraId="1742EF80">
      <w:pPr>
        <w:pStyle w:val="9"/>
        <w:tabs>
          <w:tab w:val="right" w:leader="dot" w:pos="8296"/>
        </w:tabs>
        <w:rPr>
          <w:rFonts w:asciiTheme="minorHAnsi" w:hAnsiTheme="minorHAnsi"/>
          <w:sz w:val="22"/>
        </w:rPr>
      </w:pPr>
      <w:r>
        <w:fldChar w:fldCharType="begin"/>
      </w:r>
      <w:r>
        <w:instrText xml:space="preserve"> HYPERLINK \l "_Toc256000195" </w:instrText>
      </w:r>
      <w:r>
        <w:fldChar w:fldCharType="separate"/>
      </w:r>
      <w:r>
        <w:rPr>
          <w:rStyle w:val="21"/>
          <w:b/>
        </w:rPr>
        <w:t>6.1安全文明施工</w:t>
      </w:r>
      <w:r>
        <w:tab/>
      </w:r>
      <w:r>
        <w:fldChar w:fldCharType="begin"/>
      </w:r>
      <w:r>
        <w:instrText xml:space="preserve"> PAGEREF _Toc256000195 \h </w:instrText>
      </w:r>
      <w:r>
        <w:fldChar w:fldCharType="separate"/>
      </w:r>
      <w:r>
        <w:t>105</w:t>
      </w:r>
      <w:r>
        <w:fldChar w:fldCharType="end"/>
      </w:r>
      <w:r>
        <w:fldChar w:fldCharType="end"/>
      </w:r>
    </w:p>
    <w:p w14:paraId="5C139CDB">
      <w:pPr>
        <w:pStyle w:val="9"/>
        <w:tabs>
          <w:tab w:val="right" w:leader="dot" w:pos="8296"/>
        </w:tabs>
        <w:rPr>
          <w:rFonts w:asciiTheme="minorHAnsi" w:hAnsiTheme="minorHAnsi"/>
          <w:sz w:val="22"/>
        </w:rPr>
      </w:pPr>
      <w:r>
        <w:fldChar w:fldCharType="begin"/>
      </w:r>
      <w:r>
        <w:instrText xml:space="preserve"> HYPERLINK \l "_Toc256000196" </w:instrText>
      </w:r>
      <w:r>
        <w:fldChar w:fldCharType="separate"/>
      </w:r>
      <w:r>
        <w:rPr>
          <w:rStyle w:val="21"/>
          <w:b/>
        </w:rPr>
        <w:t>6.2 职业健康</w:t>
      </w:r>
      <w:r>
        <w:tab/>
      </w:r>
      <w:r>
        <w:fldChar w:fldCharType="begin"/>
      </w:r>
      <w:r>
        <w:instrText xml:space="preserve"> PAGEREF _Toc256000196 \h </w:instrText>
      </w:r>
      <w:r>
        <w:fldChar w:fldCharType="separate"/>
      </w:r>
      <w:r>
        <w:t>107</w:t>
      </w:r>
      <w:r>
        <w:fldChar w:fldCharType="end"/>
      </w:r>
      <w:r>
        <w:fldChar w:fldCharType="end"/>
      </w:r>
    </w:p>
    <w:p w14:paraId="127F1C97">
      <w:pPr>
        <w:pStyle w:val="9"/>
        <w:tabs>
          <w:tab w:val="right" w:leader="dot" w:pos="8296"/>
        </w:tabs>
        <w:rPr>
          <w:rFonts w:asciiTheme="minorHAnsi" w:hAnsiTheme="minorHAnsi"/>
          <w:sz w:val="22"/>
        </w:rPr>
      </w:pPr>
      <w:r>
        <w:fldChar w:fldCharType="begin"/>
      </w:r>
      <w:r>
        <w:instrText xml:space="preserve"> HYPERLINK \l "_Toc256000197" </w:instrText>
      </w:r>
      <w:r>
        <w:fldChar w:fldCharType="separate"/>
      </w:r>
      <w:r>
        <w:rPr>
          <w:rStyle w:val="21"/>
          <w:b/>
        </w:rPr>
        <w:t>6.3 环境保护</w:t>
      </w:r>
      <w:r>
        <w:tab/>
      </w:r>
      <w:r>
        <w:fldChar w:fldCharType="begin"/>
      </w:r>
      <w:r>
        <w:instrText xml:space="preserve"> PAGEREF _Toc256000197 \h </w:instrText>
      </w:r>
      <w:r>
        <w:fldChar w:fldCharType="separate"/>
      </w:r>
      <w:r>
        <w:t>107</w:t>
      </w:r>
      <w:r>
        <w:fldChar w:fldCharType="end"/>
      </w:r>
      <w:r>
        <w:fldChar w:fldCharType="end"/>
      </w:r>
    </w:p>
    <w:p w14:paraId="617A9DBF">
      <w:pPr>
        <w:pStyle w:val="14"/>
        <w:tabs>
          <w:tab w:val="right" w:leader="dot" w:pos="8296"/>
        </w:tabs>
        <w:rPr>
          <w:rFonts w:asciiTheme="minorHAnsi" w:hAnsiTheme="minorHAnsi"/>
          <w:sz w:val="22"/>
        </w:rPr>
      </w:pPr>
      <w:r>
        <w:fldChar w:fldCharType="begin"/>
      </w:r>
      <w:r>
        <w:instrText xml:space="preserve"> HYPERLINK \l "_Toc256000198" </w:instrText>
      </w:r>
      <w:r>
        <w:fldChar w:fldCharType="separate"/>
      </w:r>
      <w:r>
        <w:rPr>
          <w:rStyle w:val="21"/>
          <w:rFonts w:hint="eastAsia" w:ascii="黑体" w:hAnsi="宋体" w:cs="黑体"/>
          <w:kern w:val="0"/>
          <w:lang w:bidi="ar"/>
        </w:rPr>
        <w:t>7.工期和进度</w:t>
      </w:r>
      <w:r>
        <w:tab/>
      </w:r>
      <w:r>
        <w:fldChar w:fldCharType="begin"/>
      </w:r>
      <w:r>
        <w:instrText xml:space="preserve"> PAGEREF _Toc256000198 \h </w:instrText>
      </w:r>
      <w:r>
        <w:fldChar w:fldCharType="separate"/>
      </w:r>
      <w:r>
        <w:t>108</w:t>
      </w:r>
      <w:r>
        <w:fldChar w:fldCharType="end"/>
      </w:r>
      <w:r>
        <w:fldChar w:fldCharType="end"/>
      </w:r>
    </w:p>
    <w:p w14:paraId="33035238">
      <w:pPr>
        <w:pStyle w:val="9"/>
        <w:tabs>
          <w:tab w:val="right" w:leader="dot" w:pos="8296"/>
        </w:tabs>
        <w:rPr>
          <w:rFonts w:asciiTheme="minorHAnsi" w:hAnsiTheme="minorHAnsi"/>
          <w:sz w:val="22"/>
        </w:rPr>
      </w:pPr>
      <w:r>
        <w:fldChar w:fldCharType="begin"/>
      </w:r>
      <w:r>
        <w:instrText xml:space="preserve"> HYPERLINK \l "_Toc256000199" </w:instrText>
      </w:r>
      <w:r>
        <w:fldChar w:fldCharType="separate"/>
      </w:r>
      <w:r>
        <w:rPr>
          <w:rStyle w:val="21"/>
          <w:b/>
        </w:rPr>
        <w:t>7.1施工组织设计</w:t>
      </w:r>
      <w:r>
        <w:tab/>
      </w:r>
      <w:r>
        <w:fldChar w:fldCharType="begin"/>
      </w:r>
      <w:r>
        <w:instrText xml:space="preserve"> PAGEREF _Toc256000199 \h </w:instrText>
      </w:r>
      <w:r>
        <w:fldChar w:fldCharType="separate"/>
      </w:r>
      <w:r>
        <w:t>108</w:t>
      </w:r>
      <w:r>
        <w:fldChar w:fldCharType="end"/>
      </w:r>
      <w:r>
        <w:fldChar w:fldCharType="end"/>
      </w:r>
    </w:p>
    <w:p w14:paraId="535771B3">
      <w:pPr>
        <w:pStyle w:val="9"/>
        <w:tabs>
          <w:tab w:val="right" w:leader="dot" w:pos="8296"/>
        </w:tabs>
        <w:rPr>
          <w:rFonts w:asciiTheme="minorHAnsi" w:hAnsiTheme="minorHAnsi"/>
          <w:sz w:val="22"/>
        </w:rPr>
      </w:pPr>
      <w:r>
        <w:fldChar w:fldCharType="begin"/>
      </w:r>
      <w:r>
        <w:instrText xml:space="preserve"> HYPERLINK \l "_Toc256000200" </w:instrText>
      </w:r>
      <w:r>
        <w:fldChar w:fldCharType="separate"/>
      </w:r>
      <w:r>
        <w:rPr>
          <w:rStyle w:val="21"/>
          <w:b/>
        </w:rPr>
        <w:t>7.2 施工进度计划</w:t>
      </w:r>
      <w:r>
        <w:tab/>
      </w:r>
      <w:r>
        <w:fldChar w:fldCharType="begin"/>
      </w:r>
      <w:r>
        <w:instrText xml:space="preserve"> PAGEREF _Toc256000200 \h </w:instrText>
      </w:r>
      <w:r>
        <w:fldChar w:fldCharType="separate"/>
      </w:r>
      <w:r>
        <w:t>108</w:t>
      </w:r>
      <w:r>
        <w:fldChar w:fldCharType="end"/>
      </w:r>
      <w:r>
        <w:fldChar w:fldCharType="end"/>
      </w:r>
    </w:p>
    <w:p w14:paraId="38693FE2">
      <w:pPr>
        <w:pStyle w:val="9"/>
        <w:tabs>
          <w:tab w:val="right" w:leader="dot" w:pos="8296"/>
        </w:tabs>
        <w:rPr>
          <w:rFonts w:asciiTheme="minorHAnsi" w:hAnsiTheme="minorHAnsi"/>
          <w:sz w:val="22"/>
        </w:rPr>
      </w:pPr>
      <w:r>
        <w:fldChar w:fldCharType="begin"/>
      </w:r>
      <w:r>
        <w:instrText xml:space="preserve"> HYPERLINK \l "_Toc256000201" </w:instrText>
      </w:r>
      <w:r>
        <w:fldChar w:fldCharType="separate"/>
      </w:r>
      <w:r>
        <w:rPr>
          <w:rStyle w:val="21"/>
          <w:b/>
        </w:rPr>
        <w:t>7.3 开工</w:t>
      </w:r>
      <w:r>
        <w:tab/>
      </w:r>
      <w:r>
        <w:fldChar w:fldCharType="begin"/>
      </w:r>
      <w:r>
        <w:instrText xml:space="preserve"> PAGEREF _Toc256000201 \h </w:instrText>
      </w:r>
      <w:r>
        <w:fldChar w:fldCharType="separate"/>
      </w:r>
      <w:r>
        <w:t>109</w:t>
      </w:r>
      <w:r>
        <w:fldChar w:fldCharType="end"/>
      </w:r>
      <w:r>
        <w:fldChar w:fldCharType="end"/>
      </w:r>
    </w:p>
    <w:p w14:paraId="41EE7961">
      <w:pPr>
        <w:pStyle w:val="9"/>
        <w:tabs>
          <w:tab w:val="right" w:leader="dot" w:pos="8296"/>
        </w:tabs>
        <w:rPr>
          <w:rFonts w:asciiTheme="minorHAnsi" w:hAnsiTheme="minorHAnsi"/>
          <w:sz w:val="22"/>
        </w:rPr>
      </w:pPr>
      <w:r>
        <w:fldChar w:fldCharType="begin"/>
      </w:r>
      <w:r>
        <w:instrText xml:space="preserve"> HYPERLINK \l "_Toc256000202" </w:instrText>
      </w:r>
      <w:r>
        <w:fldChar w:fldCharType="separate"/>
      </w:r>
      <w:r>
        <w:rPr>
          <w:rStyle w:val="21"/>
          <w:b/>
        </w:rPr>
        <w:t>7.4测量放线</w:t>
      </w:r>
      <w:r>
        <w:tab/>
      </w:r>
      <w:r>
        <w:fldChar w:fldCharType="begin"/>
      </w:r>
      <w:r>
        <w:instrText xml:space="preserve"> PAGEREF _Toc256000202 \h </w:instrText>
      </w:r>
      <w:r>
        <w:fldChar w:fldCharType="separate"/>
      </w:r>
      <w:r>
        <w:t>109</w:t>
      </w:r>
      <w:r>
        <w:fldChar w:fldCharType="end"/>
      </w:r>
      <w:r>
        <w:fldChar w:fldCharType="end"/>
      </w:r>
    </w:p>
    <w:p w14:paraId="3719C413">
      <w:pPr>
        <w:pStyle w:val="9"/>
        <w:tabs>
          <w:tab w:val="right" w:leader="dot" w:pos="8296"/>
        </w:tabs>
        <w:rPr>
          <w:rFonts w:asciiTheme="minorHAnsi" w:hAnsiTheme="minorHAnsi"/>
          <w:sz w:val="22"/>
        </w:rPr>
      </w:pPr>
      <w:r>
        <w:fldChar w:fldCharType="begin"/>
      </w:r>
      <w:r>
        <w:instrText xml:space="preserve"> HYPERLINK \l "_Toc256000203" </w:instrText>
      </w:r>
      <w:r>
        <w:fldChar w:fldCharType="separate"/>
      </w:r>
      <w:r>
        <w:rPr>
          <w:rStyle w:val="21"/>
          <w:b/>
        </w:rPr>
        <w:t>7.5</w:t>
      </w:r>
      <w:r>
        <w:rPr>
          <w:rStyle w:val="21"/>
          <w:rFonts w:hint="eastAsia"/>
          <w:b/>
        </w:rPr>
        <w:t xml:space="preserve"> </w:t>
      </w:r>
      <w:r>
        <w:rPr>
          <w:rStyle w:val="21"/>
          <w:b/>
        </w:rPr>
        <w:t>工期延误</w:t>
      </w:r>
      <w:r>
        <w:tab/>
      </w:r>
      <w:r>
        <w:fldChar w:fldCharType="begin"/>
      </w:r>
      <w:r>
        <w:instrText xml:space="preserve"> PAGEREF _Toc256000203 \h </w:instrText>
      </w:r>
      <w:r>
        <w:fldChar w:fldCharType="separate"/>
      </w:r>
      <w:r>
        <w:t>109</w:t>
      </w:r>
      <w:r>
        <w:fldChar w:fldCharType="end"/>
      </w:r>
      <w:r>
        <w:fldChar w:fldCharType="end"/>
      </w:r>
    </w:p>
    <w:p w14:paraId="1088BF90">
      <w:pPr>
        <w:pStyle w:val="9"/>
        <w:tabs>
          <w:tab w:val="right" w:leader="dot" w:pos="8296"/>
        </w:tabs>
        <w:rPr>
          <w:rFonts w:asciiTheme="minorHAnsi" w:hAnsiTheme="minorHAnsi"/>
          <w:sz w:val="22"/>
        </w:rPr>
      </w:pPr>
      <w:r>
        <w:fldChar w:fldCharType="begin"/>
      </w:r>
      <w:r>
        <w:instrText xml:space="preserve"> HYPERLINK \l "_Toc256000204" </w:instrText>
      </w:r>
      <w:r>
        <w:fldChar w:fldCharType="separate"/>
      </w:r>
      <w:r>
        <w:rPr>
          <w:rStyle w:val="21"/>
          <w:b/>
        </w:rPr>
        <w:t>7.6 不利物质条件</w:t>
      </w:r>
      <w:r>
        <w:tab/>
      </w:r>
      <w:r>
        <w:fldChar w:fldCharType="begin"/>
      </w:r>
      <w:r>
        <w:instrText xml:space="preserve"> PAGEREF _Toc256000204 \h </w:instrText>
      </w:r>
      <w:r>
        <w:fldChar w:fldCharType="separate"/>
      </w:r>
      <w:r>
        <w:t>110</w:t>
      </w:r>
      <w:r>
        <w:fldChar w:fldCharType="end"/>
      </w:r>
      <w:r>
        <w:fldChar w:fldCharType="end"/>
      </w:r>
    </w:p>
    <w:p w14:paraId="2151DF6F">
      <w:pPr>
        <w:pStyle w:val="9"/>
        <w:tabs>
          <w:tab w:val="right" w:leader="dot" w:pos="8296"/>
        </w:tabs>
        <w:rPr>
          <w:rFonts w:asciiTheme="minorHAnsi" w:hAnsiTheme="minorHAnsi"/>
          <w:sz w:val="22"/>
        </w:rPr>
      </w:pPr>
      <w:r>
        <w:fldChar w:fldCharType="begin"/>
      </w:r>
      <w:r>
        <w:instrText xml:space="preserve"> HYPERLINK \l "_Toc256000205" </w:instrText>
      </w:r>
      <w:r>
        <w:fldChar w:fldCharType="separate"/>
      </w:r>
      <w:r>
        <w:rPr>
          <w:rStyle w:val="21"/>
          <w:b/>
        </w:rPr>
        <w:t>7.7</w:t>
      </w:r>
      <w:r>
        <w:rPr>
          <w:rStyle w:val="21"/>
          <w:rFonts w:hint="eastAsia"/>
          <w:b/>
        </w:rPr>
        <w:t xml:space="preserve"> </w:t>
      </w:r>
      <w:r>
        <w:rPr>
          <w:rStyle w:val="21"/>
          <w:b/>
        </w:rPr>
        <w:t>异常恶劣的气候条件</w:t>
      </w:r>
      <w:r>
        <w:tab/>
      </w:r>
      <w:r>
        <w:fldChar w:fldCharType="begin"/>
      </w:r>
      <w:r>
        <w:instrText xml:space="preserve"> PAGEREF _Toc256000205 \h </w:instrText>
      </w:r>
      <w:r>
        <w:fldChar w:fldCharType="separate"/>
      </w:r>
      <w:r>
        <w:t>110</w:t>
      </w:r>
      <w:r>
        <w:fldChar w:fldCharType="end"/>
      </w:r>
      <w:r>
        <w:fldChar w:fldCharType="end"/>
      </w:r>
    </w:p>
    <w:p w14:paraId="462C7089">
      <w:pPr>
        <w:pStyle w:val="9"/>
        <w:tabs>
          <w:tab w:val="right" w:leader="dot" w:pos="8296"/>
        </w:tabs>
        <w:rPr>
          <w:rFonts w:asciiTheme="minorHAnsi" w:hAnsiTheme="minorHAnsi"/>
          <w:sz w:val="22"/>
        </w:rPr>
      </w:pPr>
      <w:r>
        <w:fldChar w:fldCharType="begin"/>
      </w:r>
      <w:r>
        <w:instrText xml:space="preserve"> HYPERLINK \l "_Toc256000206" </w:instrText>
      </w:r>
      <w:r>
        <w:fldChar w:fldCharType="separate"/>
      </w:r>
      <w:r>
        <w:rPr>
          <w:rStyle w:val="21"/>
          <w:b/>
        </w:rPr>
        <w:t>7.8</w:t>
      </w:r>
      <w:r>
        <w:rPr>
          <w:rStyle w:val="21"/>
          <w:rFonts w:hint="eastAsia"/>
          <w:b/>
        </w:rPr>
        <w:t xml:space="preserve"> </w:t>
      </w:r>
      <w:r>
        <w:rPr>
          <w:rStyle w:val="21"/>
          <w:b/>
        </w:rPr>
        <w:t>暂停施工</w:t>
      </w:r>
      <w:r>
        <w:tab/>
      </w:r>
      <w:r>
        <w:fldChar w:fldCharType="begin"/>
      </w:r>
      <w:r>
        <w:instrText xml:space="preserve"> PAGEREF _Toc256000206 \h </w:instrText>
      </w:r>
      <w:r>
        <w:fldChar w:fldCharType="separate"/>
      </w:r>
      <w:r>
        <w:t>110</w:t>
      </w:r>
      <w:r>
        <w:fldChar w:fldCharType="end"/>
      </w:r>
      <w:r>
        <w:fldChar w:fldCharType="end"/>
      </w:r>
    </w:p>
    <w:p w14:paraId="046196DA">
      <w:pPr>
        <w:pStyle w:val="9"/>
        <w:tabs>
          <w:tab w:val="right" w:leader="dot" w:pos="8296"/>
        </w:tabs>
        <w:rPr>
          <w:rFonts w:asciiTheme="minorHAnsi" w:hAnsiTheme="minorHAnsi"/>
          <w:sz w:val="22"/>
        </w:rPr>
      </w:pPr>
      <w:r>
        <w:fldChar w:fldCharType="begin"/>
      </w:r>
      <w:r>
        <w:instrText xml:space="preserve"> HYPERLINK \l "_Toc256000207" </w:instrText>
      </w:r>
      <w:r>
        <w:fldChar w:fldCharType="separate"/>
      </w:r>
      <w:r>
        <w:rPr>
          <w:rStyle w:val="21"/>
          <w:b/>
        </w:rPr>
        <w:t>7.9提前竣工</w:t>
      </w:r>
      <w:r>
        <w:tab/>
      </w:r>
      <w:r>
        <w:fldChar w:fldCharType="begin"/>
      </w:r>
      <w:r>
        <w:instrText xml:space="preserve"> PAGEREF _Toc256000207 \h </w:instrText>
      </w:r>
      <w:r>
        <w:fldChar w:fldCharType="separate"/>
      </w:r>
      <w:r>
        <w:t>112</w:t>
      </w:r>
      <w:r>
        <w:fldChar w:fldCharType="end"/>
      </w:r>
      <w:r>
        <w:fldChar w:fldCharType="end"/>
      </w:r>
    </w:p>
    <w:p w14:paraId="1C5238AF">
      <w:pPr>
        <w:pStyle w:val="14"/>
        <w:tabs>
          <w:tab w:val="right" w:leader="dot" w:pos="8296"/>
        </w:tabs>
        <w:rPr>
          <w:rFonts w:asciiTheme="minorHAnsi" w:hAnsiTheme="minorHAnsi"/>
          <w:sz w:val="22"/>
        </w:rPr>
      </w:pPr>
      <w:r>
        <w:fldChar w:fldCharType="begin"/>
      </w:r>
      <w:r>
        <w:instrText xml:space="preserve"> HYPERLINK \l "_Toc256000208" </w:instrText>
      </w:r>
      <w:r>
        <w:fldChar w:fldCharType="separate"/>
      </w:r>
      <w:r>
        <w:rPr>
          <w:rStyle w:val="21"/>
          <w:rFonts w:hint="eastAsia" w:ascii="黑体" w:hAnsi="宋体" w:cs="黑体"/>
          <w:kern w:val="0"/>
          <w:lang w:bidi="ar"/>
        </w:rPr>
        <w:t>8.材料与设备</w:t>
      </w:r>
      <w:r>
        <w:tab/>
      </w:r>
      <w:r>
        <w:fldChar w:fldCharType="begin"/>
      </w:r>
      <w:r>
        <w:instrText xml:space="preserve"> PAGEREF _Toc256000208 \h </w:instrText>
      </w:r>
      <w:r>
        <w:fldChar w:fldCharType="separate"/>
      </w:r>
      <w:r>
        <w:t>112</w:t>
      </w:r>
      <w:r>
        <w:fldChar w:fldCharType="end"/>
      </w:r>
      <w:r>
        <w:fldChar w:fldCharType="end"/>
      </w:r>
    </w:p>
    <w:p w14:paraId="00BEC5B1">
      <w:pPr>
        <w:pStyle w:val="9"/>
        <w:tabs>
          <w:tab w:val="right" w:leader="dot" w:pos="8296"/>
        </w:tabs>
        <w:rPr>
          <w:rFonts w:asciiTheme="minorHAnsi" w:hAnsiTheme="minorHAnsi"/>
          <w:sz w:val="22"/>
        </w:rPr>
      </w:pPr>
      <w:r>
        <w:fldChar w:fldCharType="begin"/>
      </w:r>
      <w:r>
        <w:instrText xml:space="preserve"> HYPERLINK \l "_Toc256000209" </w:instrText>
      </w:r>
      <w:r>
        <w:fldChar w:fldCharType="separate"/>
      </w:r>
      <w:r>
        <w:rPr>
          <w:rStyle w:val="21"/>
          <w:b/>
        </w:rPr>
        <w:t>8.1发包人供应材料与工程设备</w:t>
      </w:r>
      <w:r>
        <w:tab/>
      </w:r>
      <w:r>
        <w:fldChar w:fldCharType="begin"/>
      </w:r>
      <w:r>
        <w:instrText xml:space="preserve"> PAGEREF _Toc256000209 \h </w:instrText>
      </w:r>
      <w:r>
        <w:fldChar w:fldCharType="separate"/>
      </w:r>
      <w:r>
        <w:t>112</w:t>
      </w:r>
      <w:r>
        <w:fldChar w:fldCharType="end"/>
      </w:r>
      <w:r>
        <w:fldChar w:fldCharType="end"/>
      </w:r>
    </w:p>
    <w:p w14:paraId="3FDB0AE5">
      <w:pPr>
        <w:pStyle w:val="9"/>
        <w:tabs>
          <w:tab w:val="right" w:leader="dot" w:pos="8296"/>
        </w:tabs>
        <w:rPr>
          <w:rFonts w:asciiTheme="minorHAnsi" w:hAnsiTheme="minorHAnsi"/>
          <w:sz w:val="22"/>
        </w:rPr>
      </w:pPr>
      <w:r>
        <w:fldChar w:fldCharType="begin"/>
      </w:r>
      <w:r>
        <w:instrText xml:space="preserve"> HYPERLINK \l "_Toc256000210" </w:instrText>
      </w:r>
      <w:r>
        <w:fldChar w:fldCharType="separate"/>
      </w:r>
      <w:r>
        <w:rPr>
          <w:rStyle w:val="21"/>
          <w:b/>
        </w:rPr>
        <w:t>8.2承包人采购材料与工程设备</w:t>
      </w:r>
      <w:r>
        <w:tab/>
      </w:r>
      <w:r>
        <w:fldChar w:fldCharType="begin"/>
      </w:r>
      <w:r>
        <w:instrText xml:space="preserve"> PAGEREF _Toc256000210 \h </w:instrText>
      </w:r>
      <w:r>
        <w:fldChar w:fldCharType="separate"/>
      </w:r>
      <w:r>
        <w:t>112</w:t>
      </w:r>
      <w:r>
        <w:fldChar w:fldCharType="end"/>
      </w:r>
      <w:r>
        <w:fldChar w:fldCharType="end"/>
      </w:r>
    </w:p>
    <w:p w14:paraId="156D2961">
      <w:pPr>
        <w:pStyle w:val="9"/>
        <w:tabs>
          <w:tab w:val="right" w:leader="dot" w:pos="8296"/>
        </w:tabs>
        <w:rPr>
          <w:rFonts w:asciiTheme="minorHAnsi" w:hAnsiTheme="minorHAnsi"/>
          <w:sz w:val="22"/>
        </w:rPr>
      </w:pPr>
      <w:r>
        <w:fldChar w:fldCharType="begin"/>
      </w:r>
      <w:r>
        <w:instrText xml:space="preserve"> HYPERLINK \l "_Toc256000211" </w:instrText>
      </w:r>
      <w:r>
        <w:fldChar w:fldCharType="separate"/>
      </w:r>
      <w:r>
        <w:rPr>
          <w:rStyle w:val="21"/>
          <w:b/>
        </w:rPr>
        <w:t>8.3材料与工程设备的接收与拒收</w:t>
      </w:r>
      <w:r>
        <w:tab/>
      </w:r>
      <w:r>
        <w:fldChar w:fldCharType="begin"/>
      </w:r>
      <w:r>
        <w:instrText xml:space="preserve"> PAGEREF _Toc256000211 \h </w:instrText>
      </w:r>
      <w:r>
        <w:fldChar w:fldCharType="separate"/>
      </w:r>
      <w:r>
        <w:t>112</w:t>
      </w:r>
      <w:r>
        <w:fldChar w:fldCharType="end"/>
      </w:r>
      <w:r>
        <w:fldChar w:fldCharType="end"/>
      </w:r>
    </w:p>
    <w:p w14:paraId="05A4864E">
      <w:pPr>
        <w:pStyle w:val="9"/>
        <w:tabs>
          <w:tab w:val="right" w:leader="dot" w:pos="8296"/>
        </w:tabs>
        <w:rPr>
          <w:rFonts w:asciiTheme="minorHAnsi" w:hAnsiTheme="minorHAnsi"/>
          <w:sz w:val="22"/>
        </w:rPr>
      </w:pPr>
      <w:r>
        <w:fldChar w:fldCharType="begin"/>
      </w:r>
      <w:r>
        <w:instrText xml:space="preserve"> HYPERLINK \l "_Toc256000212" </w:instrText>
      </w:r>
      <w:r>
        <w:fldChar w:fldCharType="separate"/>
      </w:r>
      <w:r>
        <w:rPr>
          <w:rStyle w:val="21"/>
          <w:b/>
        </w:rPr>
        <w:t>8.4材料与工程设备的保管与使用</w:t>
      </w:r>
      <w:r>
        <w:tab/>
      </w:r>
      <w:r>
        <w:fldChar w:fldCharType="begin"/>
      </w:r>
      <w:r>
        <w:instrText xml:space="preserve"> PAGEREF _Toc256000212 \h </w:instrText>
      </w:r>
      <w:r>
        <w:fldChar w:fldCharType="separate"/>
      </w:r>
      <w:r>
        <w:t>113</w:t>
      </w:r>
      <w:r>
        <w:fldChar w:fldCharType="end"/>
      </w:r>
      <w:r>
        <w:fldChar w:fldCharType="end"/>
      </w:r>
    </w:p>
    <w:p w14:paraId="235599A2">
      <w:pPr>
        <w:pStyle w:val="9"/>
        <w:tabs>
          <w:tab w:val="right" w:leader="dot" w:pos="8296"/>
        </w:tabs>
        <w:rPr>
          <w:rFonts w:asciiTheme="minorHAnsi" w:hAnsiTheme="minorHAnsi"/>
          <w:sz w:val="22"/>
        </w:rPr>
      </w:pPr>
      <w:r>
        <w:fldChar w:fldCharType="begin"/>
      </w:r>
      <w:r>
        <w:instrText xml:space="preserve"> HYPERLINK \l "_Toc256000213" </w:instrText>
      </w:r>
      <w:r>
        <w:fldChar w:fldCharType="separate"/>
      </w:r>
      <w:r>
        <w:rPr>
          <w:rStyle w:val="21"/>
          <w:b/>
        </w:rPr>
        <w:t>8.5禁止使用不合格的材料和工程设备</w:t>
      </w:r>
      <w:r>
        <w:tab/>
      </w:r>
      <w:r>
        <w:fldChar w:fldCharType="begin"/>
      </w:r>
      <w:r>
        <w:instrText xml:space="preserve"> PAGEREF _Toc256000213 \h </w:instrText>
      </w:r>
      <w:r>
        <w:fldChar w:fldCharType="separate"/>
      </w:r>
      <w:r>
        <w:t>113</w:t>
      </w:r>
      <w:r>
        <w:fldChar w:fldCharType="end"/>
      </w:r>
      <w:r>
        <w:fldChar w:fldCharType="end"/>
      </w:r>
    </w:p>
    <w:p w14:paraId="17E13D9E">
      <w:pPr>
        <w:pStyle w:val="9"/>
        <w:tabs>
          <w:tab w:val="right" w:leader="dot" w:pos="8296"/>
        </w:tabs>
        <w:rPr>
          <w:rFonts w:asciiTheme="minorHAnsi" w:hAnsiTheme="minorHAnsi"/>
          <w:sz w:val="22"/>
        </w:rPr>
      </w:pPr>
      <w:r>
        <w:fldChar w:fldCharType="begin"/>
      </w:r>
      <w:r>
        <w:instrText xml:space="preserve"> HYPERLINK \l "_Toc256000214" </w:instrText>
      </w:r>
      <w:r>
        <w:fldChar w:fldCharType="separate"/>
      </w:r>
      <w:r>
        <w:rPr>
          <w:rStyle w:val="21"/>
          <w:b/>
        </w:rPr>
        <w:t>8.6 样品</w:t>
      </w:r>
      <w:r>
        <w:tab/>
      </w:r>
      <w:r>
        <w:fldChar w:fldCharType="begin"/>
      </w:r>
      <w:r>
        <w:instrText xml:space="preserve"> PAGEREF _Toc256000214 \h </w:instrText>
      </w:r>
      <w:r>
        <w:fldChar w:fldCharType="separate"/>
      </w:r>
      <w:r>
        <w:t>113</w:t>
      </w:r>
      <w:r>
        <w:fldChar w:fldCharType="end"/>
      </w:r>
      <w:r>
        <w:fldChar w:fldCharType="end"/>
      </w:r>
    </w:p>
    <w:p w14:paraId="077D6C03">
      <w:pPr>
        <w:pStyle w:val="9"/>
        <w:tabs>
          <w:tab w:val="right" w:leader="dot" w:pos="8296"/>
        </w:tabs>
        <w:rPr>
          <w:rFonts w:asciiTheme="minorHAnsi" w:hAnsiTheme="minorHAnsi"/>
          <w:sz w:val="22"/>
        </w:rPr>
      </w:pPr>
      <w:r>
        <w:fldChar w:fldCharType="begin"/>
      </w:r>
      <w:r>
        <w:instrText xml:space="preserve"> HYPERLINK \l "_Toc256000215" </w:instrText>
      </w:r>
      <w:r>
        <w:fldChar w:fldCharType="separate"/>
      </w:r>
      <w:r>
        <w:rPr>
          <w:rStyle w:val="21"/>
          <w:b/>
        </w:rPr>
        <w:t>8.7材料与工程设备的替代</w:t>
      </w:r>
      <w:r>
        <w:tab/>
      </w:r>
      <w:r>
        <w:fldChar w:fldCharType="begin"/>
      </w:r>
      <w:r>
        <w:instrText xml:space="preserve"> PAGEREF _Toc256000215 \h </w:instrText>
      </w:r>
      <w:r>
        <w:fldChar w:fldCharType="separate"/>
      </w:r>
      <w:r>
        <w:t>114</w:t>
      </w:r>
      <w:r>
        <w:fldChar w:fldCharType="end"/>
      </w:r>
      <w:r>
        <w:fldChar w:fldCharType="end"/>
      </w:r>
    </w:p>
    <w:p w14:paraId="3ED80DAB">
      <w:pPr>
        <w:pStyle w:val="9"/>
        <w:tabs>
          <w:tab w:val="right" w:leader="dot" w:pos="8296"/>
        </w:tabs>
        <w:rPr>
          <w:rFonts w:asciiTheme="minorHAnsi" w:hAnsiTheme="minorHAnsi"/>
          <w:sz w:val="22"/>
        </w:rPr>
      </w:pPr>
      <w:r>
        <w:fldChar w:fldCharType="begin"/>
      </w:r>
      <w:r>
        <w:instrText xml:space="preserve"> HYPERLINK \l "_Toc256000216" </w:instrText>
      </w:r>
      <w:r>
        <w:fldChar w:fldCharType="separate"/>
      </w:r>
      <w:r>
        <w:rPr>
          <w:rStyle w:val="21"/>
          <w:b/>
        </w:rPr>
        <w:t>8.8施工设备和临时设施</w:t>
      </w:r>
      <w:r>
        <w:tab/>
      </w:r>
      <w:r>
        <w:fldChar w:fldCharType="begin"/>
      </w:r>
      <w:r>
        <w:instrText xml:space="preserve"> PAGEREF _Toc256000216 \h </w:instrText>
      </w:r>
      <w:r>
        <w:fldChar w:fldCharType="separate"/>
      </w:r>
      <w:r>
        <w:t>114</w:t>
      </w:r>
      <w:r>
        <w:fldChar w:fldCharType="end"/>
      </w:r>
      <w:r>
        <w:fldChar w:fldCharType="end"/>
      </w:r>
    </w:p>
    <w:p w14:paraId="166E0BDF">
      <w:pPr>
        <w:pStyle w:val="9"/>
        <w:tabs>
          <w:tab w:val="right" w:leader="dot" w:pos="8296"/>
        </w:tabs>
        <w:rPr>
          <w:rFonts w:asciiTheme="minorHAnsi" w:hAnsiTheme="minorHAnsi"/>
          <w:sz w:val="22"/>
        </w:rPr>
      </w:pPr>
      <w:r>
        <w:fldChar w:fldCharType="begin"/>
      </w:r>
      <w:r>
        <w:instrText xml:space="preserve"> HYPERLINK \l "_Toc256000217" </w:instrText>
      </w:r>
      <w:r>
        <w:fldChar w:fldCharType="separate"/>
      </w:r>
      <w:r>
        <w:rPr>
          <w:rStyle w:val="21"/>
          <w:b/>
        </w:rPr>
        <w:t>8.9材料与设备专用</w:t>
      </w:r>
      <w:r>
        <w:rPr>
          <w:rStyle w:val="21"/>
          <w:rFonts w:hint="eastAsia"/>
          <w:b/>
        </w:rPr>
        <w:t>要求</w:t>
      </w:r>
      <w:r>
        <w:tab/>
      </w:r>
      <w:r>
        <w:fldChar w:fldCharType="begin"/>
      </w:r>
      <w:r>
        <w:instrText xml:space="preserve"> PAGEREF _Toc256000217 \h </w:instrText>
      </w:r>
      <w:r>
        <w:fldChar w:fldCharType="separate"/>
      </w:r>
      <w:r>
        <w:t>115</w:t>
      </w:r>
      <w:r>
        <w:fldChar w:fldCharType="end"/>
      </w:r>
      <w:r>
        <w:fldChar w:fldCharType="end"/>
      </w:r>
    </w:p>
    <w:p w14:paraId="11D4CB6A">
      <w:pPr>
        <w:pStyle w:val="14"/>
        <w:tabs>
          <w:tab w:val="right" w:leader="dot" w:pos="8296"/>
        </w:tabs>
        <w:rPr>
          <w:rFonts w:asciiTheme="minorHAnsi" w:hAnsiTheme="minorHAnsi"/>
          <w:sz w:val="22"/>
        </w:rPr>
      </w:pPr>
      <w:r>
        <w:fldChar w:fldCharType="begin"/>
      </w:r>
      <w:r>
        <w:instrText xml:space="preserve"> HYPERLINK \l "_Toc256000218" </w:instrText>
      </w:r>
      <w:r>
        <w:fldChar w:fldCharType="separate"/>
      </w:r>
      <w:r>
        <w:rPr>
          <w:rStyle w:val="21"/>
          <w:rFonts w:hint="eastAsia" w:ascii="黑体" w:hAnsi="宋体" w:cs="黑体"/>
          <w:kern w:val="0"/>
          <w:lang w:bidi="ar"/>
        </w:rPr>
        <w:t>9.试验与检验</w:t>
      </w:r>
      <w:r>
        <w:tab/>
      </w:r>
      <w:r>
        <w:fldChar w:fldCharType="begin"/>
      </w:r>
      <w:r>
        <w:instrText xml:space="preserve"> PAGEREF _Toc256000218 \h </w:instrText>
      </w:r>
      <w:r>
        <w:fldChar w:fldCharType="separate"/>
      </w:r>
      <w:r>
        <w:t>115</w:t>
      </w:r>
      <w:r>
        <w:fldChar w:fldCharType="end"/>
      </w:r>
      <w:r>
        <w:fldChar w:fldCharType="end"/>
      </w:r>
    </w:p>
    <w:p w14:paraId="3B3A9E92">
      <w:pPr>
        <w:pStyle w:val="9"/>
        <w:tabs>
          <w:tab w:val="right" w:leader="dot" w:pos="8296"/>
        </w:tabs>
        <w:rPr>
          <w:rFonts w:asciiTheme="minorHAnsi" w:hAnsiTheme="minorHAnsi"/>
          <w:sz w:val="22"/>
        </w:rPr>
      </w:pPr>
      <w:r>
        <w:fldChar w:fldCharType="begin"/>
      </w:r>
      <w:r>
        <w:instrText xml:space="preserve"> HYPERLINK \l "_Toc256000219" </w:instrText>
      </w:r>
      <w:r>
        <w:fldChar w:fldCharType="separate"/>
      </w:r>
      <w:r>
        <w:rPr>
          <w:rStyle w:val="21"/>
          <w:b/>
        </w:rPr>
        <w:t>9.1试验设备与试验人员</w:t>
      </w:r>
      <w:r>
        <w:tab/>
      </w:r>
      <w:r>
        <w:fldChar w:fldCharType="begin"/>
      </w:r>
      <w:r>
        <w:instrText xml:space="preserve"> PAGEREF _Toc256000219 \h </w:instrText>
      </w:r>
      <w:r>
        <w:fldChar w:fldCharType="separate"/>
      </w:r>
      <w:r>
        <w:t>115</w:t>
      </w:r>
      <w:r>
        <w:fldChar w:fldCharType="end"/>
      </w:r>
      <w:r>
        <w:fldChar w:fldCharType="end"/>
      </w:r>
    </w:p>
    <w:p w14:paraId="0049F194">
      <w:pPr>
        <w:pStyle w:val="9"/>
        <w:tabs>
          <w:tab w:val="right" w:leader="dot" w:pos="8296"/>
        </w:tabs>
        <w:rPr>
          <w:rFonts w:asciiTheme="minorHAnsi" w:hAnsiTheme="minorHAnsi"/>
          <w:sz w:val="22"/>
        </w:rPr>
      </w:pPr>
      <w:r>
        <w:fldChar w:fldCharType="begin"/>
      </w:r>
      <w:r>
        <w:instrText xml:space="preserve"> HYPERLINK \l "_Toc256000220" </w:instrText>
      </w:r>
      <w:r>
        <w:fldChar w:fldCharType="separate"/>
      </w:r>
      <w:r>
        <w:rPr>
          <w:rStyle w:val="21"/>
          <w:b/>
        </w:rPr>
        <w:t>9.2取样</w:t>
      </w:r>
      <w:r>
        <w:tab/>
      </w:r>
      <w:r>
        <w:fldChar w:fldCharType="begin"/>
      </w:r>
      <w:r>
        <w:instrText xml:space="preserve"> PAGEREF _Toc256000220 \h </w:instrText>
      </w:r>
      <w:r>
        <w:fldChar w:fldCharType="separate"/>
      </w:r>
      <w:r>
        <w:t>115</w:t>
      </w:r>
      <w:r>
        <w:fldChar w:fldCharType="end"/>
      </w:r>
      <w:r>
        <w:fldChar w:fldCharType="end"/>
      </w:r>
    </w:p>
    <w:p w14:paraId="36590C1B">
      <w:pPr>
        <w:pStyle w:val="9"/>
        <w:tabs>
          <w:tab w:val="right" w:leader="dot" w:pos="8296"/>
        </w:tabs>
        <w:rPr>
          <w:rFonts w:asciiTheme="minorHAnsi" w:hAnsiTheme="minorHAnsi"/>
          <w:sz w:val="22"/>
        </w:rPr>
      </w:pPr>
      <w:r>
        <w:fldChar w:fldCharType="begin"/>
      </w:r>
      <w:r>
        <w:instrText xml:space="preserve"> HYPERLINK \l "_Toc256000221" </w:instrText>
      </w:r>
      <w:r>
        <w:fldChar w:fldCharType="separate"/>
      </w:r>
      <w:r>
        <w:rPr>
          <w:rStyle w:val="21"/>
          <w:b/>
        </w:rPr>
        <w:t>9.3材料、工程设备和工程的试验和检验</w:t>
      </w:r>
      <w:r>
        <w:tab/>
      </w:r>
      <w:r>
        <w:fldChar w:fldCharType="begin"/>
      </w:r>
      <w:r>
        <w:instrText xml:space="preserve"> PAGEREF _Toc256000221 \h </w:instrText>
      </w:r>
      <w:r>
        <w:fldChar w:fldCharType="separate"/>
      </w:r>
      <w:r>
        <w:t>115</w:t>
      </w:r>
      <w:r>
        <w:fldChar w:fldCharType="end"/>
      </w:r>
      <w:r>
        <w:fldChar w:fldCharType="end"/>
      </w:r>
    </w:p>
    <w:p w14:paraId="616F297A">
      <w:pPr>
        <w:pStyle w:val="9"/>
        <w:tabs>
          <w:tab w:val="right" w:leader="dot" w:pos="8296"/>
        </w:tabs>
        <w:rPr>
          <w:rFonts w:asciiTheme="minorHAnsi" w:hAnsiTheme="minorHAnsi"/>
          <w:sz w:val="22"/>
        </w:rPr>
      </w:pPr>
      <w:r>
        <w:fldChar w:fldCharType="begin"/>
      </w:r>
      <w:r>
        <w:instrText xml:space="preserve"> HYPERLINK \l "_Toc256000222" </w:instrText>
      </w:r>
      <w:r>
        <w:fldChar w:fldCharType="separate"/>
      </w:r>
      <w:r>
        <w:rPr>
          <w:rStyle w:val="21"/>
          <w:b/>
        </w:rPr>
        <w:t>9.4现场工艺试验</w:t>
      </w:r>
      <w:r>
        <w:tab/>
      </w:r>
      <w:r>
        <w:fldChar w:fldCharType="begin"/>
      </w:r>
      <w:r>
        <w:instrText xml:space="preserve"> PAGEREF _Toc256000222 \h </w:instrText>
      </w:r>
      <w:r>
        <w:fldChar w:fldCharType="separate"/>
      </w:r>
      <w:r>
        <w:t>116</w:t>
      </w:r>
      <w:r>
        <w:fldChar w:fldCharType="end"/>
      </w:r>
      <w:r>
        <w:fldChar w:fldCharType="end"/>
      </w:r>
    </w:p>
    <w:p w14:paraId="42531F9C">
      <w:pPr>
        <w:pStyle w:val="9"/>
        <w:tabs>
          <w:tab w:val="right" w:leader="dot" w:pos="8296"/>
        </w:tabs>
        <w:rPr>
          <w:rFonts w:asciiTheme="minorHAnsi" w:hAnsiTheme="minorHAnsi"/>
          <w:sz w:val="22"/>
        </w:rPr>
      </w:pPr>
      <w:r>
        <w:fldChar w:fldCharType="begin"/>
      </w:r>
      <w:r>
        <w:instrText xml:space="preserve"> HYPERLINK \l "_Toc256000223" </w:instrText>
      </w:r>
      <w:r>
        <w:fldChar w:fldCharType="separate"/>
      </w:r>
      <w:r>
        <w:rPr>
          <w:rStyle w:val="21"/>
          <w:b/>
        </w:rPr>
        <w:t>10.1变更的范围</w:t>
      </w:r>
      <w:r>
        <w:tab/>
      </w:r>
      <w:r>
        <w:fldChar w:fldCharType="begin"/>
      </w:r>
      <w:r>
        <w:instrText xml:space="preserve"> PAGEREF _Toc256000223 \h </w:instrText>
      </w:r>
      <w:r>
        <w:fldChar w:fldCharType="separate"/>
      </w:r>
      <w:r>
        <w:t>116</w:t>
      </w:r>
      <w:r>
        <w:fldChar w:fldCharType="end"/>
      </w:r>
      <w:r>
        <w:fldChar w:fldCharType="end"/>
      </w:r>
    </w:p>
    <w:p w14:paraId="298E68B5">
      <w:pPr>
        <w:pStyle w:val="9"/>
        <w:tabs>
          <w:tab w:val="right" w:leader="dot" w:pos="8296"/>
        </w:tabs>
        <w:rPr>
          <w:rFonts w:asciiTheme="minorHAnsi" w:hAnsiTheme="minorHAnsi"/>
          <w:sz w:val="22"/>
        </w:rPr>
      </w:pPr>
      <w:r>
        <w:fldChar w:fldCharType="begin"/>
      </w:r>
      <w:r>
        <w:instrText xml:space="preserve"> HYPERLINK \l "_Toc256000224" </w:instrText>
      </w:r>
      <w:r>
        <w:fldChar w:fldCharType="separate"/>
      </w:r>
      <w:r>
        <w:rPr>
          <w:rStyle w:val="21"/>
          <w:b/>
        </w:rPr>
        <w:t>10.2变更权</w:t>
      </w:r>
      <w:r>
        <w:tab/>
      </w:r>
      <w:r>
        <w:fldChar w:fldCharType="begin"/>
      </w:r>
      <w:r>
        <w:instrText xml:space="preserve"> PAGEREF _Toc256000224 \h </w:instrText>
      </w:r>
      <w:r>
        <w:fldChar w:fldCharType="separate"/>
      </w:r>
      <w:r>
        <w:t>116</w:t>
      </w:r>
      <w:r>
        <w:fldChar w:fldCharType="end"/>
      </w:r>
      <w:r>
        <w:fldChar w:fldCharType="end"/>
      </w:r>
    </w:p>
    <w:p w14:paraId="7EA953A4">
      <w:pPr>
        <w:pStyle w:val="9"/>
        <w:tabs>
          <w:tab w:val="right" w:leader="dot" w:pos="8296"/>
        </w:tabs>
        <w:rPr>
          <w:rFonts w:asciiTheme="minorHAnsi" w:hAnsiTheme="minorHAnsi"/>
          <w:sz w:val="22"/>
        </w:rPr>
      </w:pPr>
      <w:r>
        <w:fldChar w:fldCharType="begin"/>
      </w:r>
      <w:r>
        <w:instrText xml:space="preserve"> HYPERLINK \l "_Toc256000225" </w:instrText>
      </w:r>
      <w:r>
        <w:fldChar w:fldCharType="separate"/>
      </w:r>
      <w:r>
        <w:rPr>
          <w:rStyle w:val="21"/>
          <w:b/>
        </w:rPr>
        <w:t>10.3变更程序</w:t>
      </w:r>
      <w:r>
        <w:tab/>
      </w:r>
      <w:r>
        <w:fldChar w:fldCharType="begin"/>
      </w:r>
      <w:r>
        <w:instrText xml:space="preserve"> PAGEREF _Toc256000225 \h </w:instrText>
      </w:r>
      <w:r>
        <w:fldChar w:fldCharType="separate"/>
      </w:r>
      <w:r>
        <w:t>116</w:t>
      </w:r>
      <w:r>
        <w:fldChar w:fldCharType="end"/>
      </w:r>
      <w:r>
        <w:fldChar w:fldCharType="end"/>
      </w:r>
    </w:p>
    <w:p w14:paraId="72AA78D0">
      <w:pPr>
        <w:pStyle w:val="9"/>
        <w:tabs>
          <w:tab w:val="right" w:leader="dot" w:pos="8296"/>
        </w:tabs>
        <w:rPr>
          <w:rFonts w:asciiTheme="minorHAnsi" w:hAnsiTheme="minorHAnsi"/>
          <w:sz w:val="22"/>
        </w:rPr>
      </w:pPr>
      <w:r>
        <w:fldChar w:fldCharType="begin"/>
      </w:r>
      <w:r>
        <w:instrText xml:space="preserve"> HYPERLINK \l "_Toc256000226" </w:instrText>
      </w:r>
      <w:r>
        <w:fldChar w:fldCharType="separate"/>
      </w:r>
      <w:r>
        <w:rPr>
          <w:rStyle w:val="21"/>
          <w:b/>
        </w:rPr>
        <w:t>10.4变更估价</w:t>
      </w:r>
      <w:r>
        <w:tab/>
      </w:r>
      <w:r>
        <w:fldChar w:fldCharType="begin"/>
      </w:r>
      <w:r>
        <w:instrText xml:space="preserve"> PAGEREF _Toc256000226 \h </w:instrText>
      </w:r>
      <w:r>
        <w:fldChar w:fldCharType="separate"/>
      </w:r>
      <w:r>
        <w:t>117</w:t>
      </w:r>
      <w:r>
        <w:fldChar w:fldCharType="end"/>
      </w:r>
      <w:r>
        <w:fldChar w:fldCharType="end"/>
      </w:r>
    </w:p>
    <w:p w14:paraId="6B8F6B43">
      <w:pPr>
        <w:pStyle w:val="9"/>
        <w:tabs>
          <w:tab w:val="right" w:leader="dot" w:pos="8296"/>
        </w:tabs>
        <w:rPr>
          <w:rFonts w:asciiTheme="minorHAnsi" w:hAnsiTheme="minorHAnsi"/>
          <w:sz w:val="22"/>
        </w:rPr>
      </w:pPr>
      <w:r>
        <w:fldChar w:fldCharType="begin"/>
      </w:r>
      <w:r>
        <w:instrText xml:space="preserve"> HYPERLINK \l "_Toc256000227" </w:instrText>
      </w:r>
      <w:r>
        <w:fldChar w:fldCharType="separate"/>
      </w:r>
      <w:r>
        <w:rPr>
          <w:rStyle w:val="21"/>
          <w:b/>
        </w:rPr>
        <w:t>10.5承包人的合理化建议</w:t>
      </w:r>
      <w:r>
        <w:tab/>
      </w:r>
      <w:r>
        <w:fldChar w:fldCharType="begin"/>
      </w:r>
      <w:r>
        <w:instrText xml:space="preserve"> PAGEREF _Toc256000227 \h </w:instrText>
      </w:r>
      <w:r>
        <w:fldChar w:fldCharType="separate"/>
      </w:r>
      <w:r>
        <w:t>117</w:t>
      </w:r>
      <w:r>
        <w:fldChar w:fldCharType="end"/>
      </w:r>
      <w:r>
        <w:fldChar w:fldCharType="end"/>
      </w:r>
    </w:p>
    <w:p w14:paraId="47E285AB">
      <w:pPr>
        <w:pStyle w:val="9"/>
        <w:tabs>
          <w:tab w:val="right" w:leader="dot" w:pos="8296"/>
        </w:tabs>
        <w:rPr>
          <w:rFonts w:asciiTheme="minorHAnsi" w:hAnsiTheme="minorHAnsi"/>
          <w:sz w:val="22"/>
        </w:rPr>
      </w:pPr>
      <w:r>
        <w:fldChar w:fldCharType="begin"/>
      </w:r>
      <w:r>
        <w:instrText xml:space="preserve"> HYPERLINK \l "_Toc256000228" </w:instrText>
      </w:r>
      <w:r>
        <w:fldChar w:fldCharType="separate"/>
      </w:r>
      <w:r>
        <w:rPr>
          <w:rStyle w:val="21"/>
          <w:b/>
        </w:rPr>
        <w:t>10.6变更引起的工期调整</w:t>
      </w:r>
      <w:r>
        <w:tab/>
      </w:r>
      <w:r>
        <w:fldChar w:fldCharType="begin"/>
      </w:r>
      <w:r>
        <w:instrText xml:space="preserve"> PAGEREF _Toc256000228 \h </w:instrText>
      </w:r>
      <w:r>
        <w:fldChar w:fldCharType="separate"/>
      </w:r>
      <w:r>
        <w:t>117</w:t>
      </w:r>
      <w:r>
        <w:fldChar w:fldCharType="end"/>
      </w:r>
      <w:r>
        <w:fldChar w:fldCharType="end"/>
      </w:r>
    </w:p>
    <w:p w14:paraId="44A377D3">
      <w:pPr>
        <w:pStyle w:val="9"/>
        <w:tabs>
          <w:tab w:val="right" w:leader="dot" w:pos="8296"/>
        </w:tabs>
        <w:rPr>
          <w:rFonts w:asciiTheme="minorHAnsi" w:hAnsiTheme="minorHAnsi"/>
          <w:sz w:val="22"/>
        </w:rPr>
      </w:pPr>
      <w:r>
        <w:fldChar w:fldCharType="begin"/>
      </w:r>
      <w:r>
        <w:instrText xml:space="preserve"> HYPERLINK \l "_Toc256000229" </w:instrText>
      </w:r>
      <w:r>
        <w:fldChar w:fldCharType="separate"/>
      </w:r>
      <w:r>
        <w:rPr>
          <w:rStyle w:val="21"/>
          <w:b/>
        </w:rPr>
        <w:t>10.7暂估价</w:t>
      </w:r>
      <w:r>
        <w:tab/>
      </w:r>
      <w:r>
        <w:fldChar w:fldCharType="begin"/>
      </w:r>
      <w:r>
        <w:instrText xml:space="preserve"> PAGEREF _Toc256000229 \h </w:instrText>
      </w:r>
      <w:r>
        <w:fldChar w:fldCharType="separate"/>
      </w:r>
      <w:r>
        <w:t>118</w:t>
      </w:r>
      <w:r>
        <w:fldChar w:fldCharType="end"/>
      </w:r>
      <w:r>
        <w:fldChar w:fldCharType="end"/>
      </w:r>
    </w:p>
    <w:p w14:paraId="5A102EA4">
      <w:pPr>
        <w:pStyle w:val="9"/>
        <w:tabs>
          <w:tab w:val="right" w:leader="dot" w:pos="8296"/>
        </w:tabs>
        <w:rPr>
          <w:rFonts w:asciiTheme="minorHAnsi" w:hAnsiTheme="minorHAnsi"/>
          <w:sz w:val="22"/>
        </w:rPr>
      </w:pPr>
      <w:r>
        <w:fldChar w:fldCharType="begin"/>
      </w:r>
      <w:r>
        <w:instrText xml:space="preserve"> HYPERLINK \l "_Toc256000230" </w:instrText>
      </w:r>
      <w:r>
        <w:fldChar w:fldCharType="separate"/>
      </w:r>
      <w:r>
        <w:rPr>
          <w:rStyle w:val="21"/>
          <w:b/>
        </w:rPr>
        <w:t>10.8暂列金额</w:t>
      </w:r>
      <w:r>
        <w:tab/>
      </w:r>
      <w:r>
        <w:fldChar w:fldCharType="begin"/>
      </w:r>
      <w:r>
        <w:instrText xml:space="preserve"> PAGEREF _Toc256000230 \h </w:instrText>
      </w:r>
      <w:r>
        <w:fldChar w:fldCharType="separate"/>
      </w:r>
      <w:r>
        <w:t>119</w:t>
      </w:r>
      <w:r>
        <w:fldChar w:fldCharType="end"/>
      </w:r>
      <w:r>
        <w:fldChar w:fldCharType="end"/>
      </w:r>
    </w:p>
    <w:p w14:paraId="07187A9A">
      <w:pPr>
        <w:pStyle w:val="9"/>
        <w:tabs>
          <w:tab w:val="right" w:leader="dot" w:pos="8296"/>
        </w:tabs>
        <w:rPr>
          <w:rFonts w:asciiTheme="minorHAnsi" w:hAnsiTheme="minorHAnsi"/>
          <w:sz w:val="22"/>
        </w:rPr>
      </w:pPr>
      <w:r>
        <w:fldChar w:fldCharType="begin"/>
      </w:r>
      <w:r>
        <w:instrText xml:space="preserve"> HYPERLINK \l "_Toc256000231" </w:instrText>
      </w:r>
      <w:r>
        <w:fldChar w:fldCharType="separate"/>
      </w:r>
      <w:r>
        <w:rPr>
          <w:rStyle w:val="21"/>
          <w:b/>
        </w:rPr>
        <w:t>10.9计日工</w:t>
      </w:r>
      <w:r>
        <w:tab/>
      </w:r>
      <w:r>
        <w:fldChar w:fldCharType="begin"/>
      </w:r>
      <w:r>
        <w:instrText xml:space="preserve"> PAGEREF _Toc256000231 \h </w:instrText>
      </w:r>
      <w:r>
        <w:fldChar w:fldCharType="separate"/>
      </w:r>
      <w:r>
        <w:t>119</w:t>
      </w:r>
      <w:r>
        <w:fldChar w:fldCharType="end"/>
      </w:r>
      <w:r>
        <w:fldChar w:fldCharType="end"/>
      </w:r>
    </w:p>
    <w:p w14:paraId="794E087F">
      <w:pPr>
        <w:pStyle w:val="14"/>
        <w:tabs>
          <w:tab w:val="right" w:leader="dot" w:pos="8296"/>
        </w:tabs>
        <w:rPr>
          <w:rFonts w:asciiTheme="minorHAnsi" w:hAnsiTheme="minorHAnsi"/>
          <w:sz w:val="22"/>
        </w:rPr>
      </w:pPr>
      <w:r>
        <w:fldChar w:fldCharType="begin"/>
      </w:r>
      <w:r>
        <w:instrText xml:space="preserve"> HYPERLINK \l "_Toc256000232" </w:instrText>
      </w:r>
      <w:r>
        <w:fldChar w:fldCharType="separate"/>
      </w:r>
      <w:r>
        <w:rPr>
          <w:rStyle w:val="21"/>
          <w:rFonts w:hint="eastAsia" w:ascii="黑体" w:hAnsi="宋体" w:cs="黑体"/>
          <w:kern w:val="0"/>
          <w:lang w:bidi="ar"/>
        </w:rPr>
        <w:t>11.价格调整</w:t>
      </w:r>
      <w:r>
        <w:tab/>
      </w:r>
      <w:r>
        <w:fldChar w:fldCharType="begin"/>
      </w:r>
      <w:r>
        <w:instrText xml:space="preserve"> PAGEREF _Toc256000232 \h </w:instrText>
      </w:r>
      <w:r>
        <w:fldChar w:fldCharType="separate"/>
      </w:r>
      <w:r>
        <w:t>119</w:t>
      </w:r>
      <w:r>
        <w:fldChar w:fldCharType="end"/>
      </w:r>
      <w:r>
        <w:fldChar w:fldCharType="end"/>
      </w:r>
    </w:p>
    <w:p w14:paraId="2CE77F93">
      <w:pPr>
        <w:pStyle w:val="9"/>
        <w:tabs>
          <w:tab w:val="right" w:leader="dot" w:pos="8296"/>
        </w:tabs>
        <w:rPr>
          <w:rFonts w:asciiTheme="minorHAnsi" w:hAnsiTheme="minorHAnsi"/>
          <w:sz w:val="22"/>
        </w:rPr>
      </w:pPr>
      <w:r>
        <w:fldChar w:fldCharType="begin"/>
      </w:r>
      <w:r>
        <w:instrText xml:space="preserve"> HYPERLINK \l "_Toc256000233" </w:instrText>
      </w:r>
      <w:r>
        <w:fldChar w:fldCharType="separate"/>
      </w:r>
      <w:r>
        <w:rPr>
          <w:rStyle w:val="21"/>
          <w:b/>
        </w:rPr>
        <w:t>11.1市场价格波动引起的调整</w:t>
      </w:r>
      <w:r>
        <w:tab/>
      </w:r>
      <w:r>
        <w:fldChar w:fldCharType="begin"/>
      </w:r>
      <w:r>
        <w:instrText xml:space="preserve"> PAGEREF _Toc256000233 \h </w:instrText>
      </w:r>
      <w:r>
        <w:fldChar w:fldCharType="separate"/>
      </w:r>
      <w:r>
        <w:t>119</w:t>
      </w:r>
      <w:r>
        <w:fldChar w:fldCharType="end"/>
      </w:r>
      <w:r>
        <w:fldChar w:fldCharType="end"/>
      </w:r>
    </w:p>
    <w:p w14:paraId="566CB8FC">
      <w:pPr>
        <w:pStyle w:val="9"/>
        <w:tabs>
          <w:tab w:val="right" w:leader="dot" w:pos="8296"/>
        </w:tabs>
        <w:rPr>
          <w:rFonts w:asciiTheme="minorHAnsi" w:hAnsiTheme="minorHAnsi"/>
          <w:sz w:val="22"/>
        </w:rPr>
      </w:pPr>
      <w:r>
        <w:fldChar w:fldCharType="begin"/>
      </w:r>
      <w:r>
        <w:instrText xml:space="preserve"> HYPERLINK \l "_Toc256000234" </w:instrText>
      </w:r>
      <w:r>
        <w:fldChar w:fldCharType="separate"/>
      </w:r>
      <w:r>
        <w:rPr>
          <w:rStyle w:val="21"/>
          <w:b/>
        </w:rPr>
        <w:t>11.2法律变化引起的调整</w:t>
      </w:r>
      <w:r>
        <w:tab/>
      </w:r>
      <w:r>
        <w:fldChar w:fldCharType="begin"/>
      </w:r>
      <w:r>
        <w:instrText xml:space="preserve"> PAGEREF _Toc256000234 \h </w:instrText>
      </w:r>
      <w:r>
        <w:fldChar w:fldCharType="separate"/>
      </w:r>
      <w:r>
        <w:t>121</w:t>
      </w:r>
      <w:r>
        <w:fldChar w:fldCharType="end"/>
      </w:r>
      <w:r>
        <w:fldChar w:fldCharType="end"/>
      </w:r>
    </w:p>
    <w:p w14:paraId="3600C50B">
      <w:pPr>
        <w:pStyle w:val="14"/>
        <w:tabs>
          <w:tab w:val="right" w:leader="dot" w:pos="8296"/>
        </w:tabs>
        <w:rPr>
          <w:rFonts w:asciiTheme="minorHAnsi" w:hAnsiTheme="minorHAnsi"/>
          <w:sz w:val="22"/>
        </w:rPr>
      </w:pPr>
      <w:r>
        <w:fldChar w:fldCharType="begin"/>
      </w:r>
      <w:r>
        <w:instrText xml:space="preserve"> HYPERLINK \l "_Toc256000235" </w:instrText>
      </w:r>
      <w:r>
        <w:fldChar w:fldCharType="separate"/>
      </w:r>
      <w:r>
        <w:rPr>
          <w:rStyle w:val="21"/>
          <w:rFonts w:hint="eastAsia" w:ascii="黑体" w:hAnsi="宋体" w:cs="黑体"/>
          <w:kern w:val="0"/>
          <w:lang w:bidi="ar"/>
        </w:rPr>
        <w:t>12.合同价格、计量与支付</w:t>
      </w:r>
      <w:r>
        <w:tab/>
      </w:r>
      <w:r>
        <w:fldChar w:fldCharType="begin"/>
      </w:r>
      <w:r>
        <w:instrText xml:space="preserve"> PAGEREF _Toc256000235 \h </w:instrText>
      </w:r>
      <w:r>
        <w:fldChar w:fldCharType="separate"/>
      </w:r>
      <w:r>
        <w:t>121</w:t>
      </w:r>
      <w:r>
        <w:fldChar w:fldCharType="end"/>
      </w:r>
      <w:r>
        <w:fldChar w:fldCharType="end"/>
      </w:r>
    </w:p>
    <w:p w14:paraId="79D830A5">
      <w:pPr>
        <w:pStyle w:val="9"/>
        <w:tabs>
          <w:tab w:val="right" w:leader="dot" w:pos="8296"/>
        </w:tabs>
        <w:rPr>
          <w:rFonts w:asciiTheme="minorHAnsi" w:hAnsiTheme="minorHAnsi"/>
          <w:sz w:val="22"/>
        </w:rPr>
      </w:pPr>
      <w:r>
        <w:fldChar w:fldCharType="begin"/>
      </w:r>
      <w:r>
        <w:instrText xml:space="preserve"> HYPERLINK \l "_Toc256000236" </w:instrText>
      </w:r>
      <w:r>
        <w:fldChar w:fldCharType="separate"/>
      </w:r>
      <w:r>
        <w:rPr>
          <w:rStyle w:val="21"/>
          <w:b/>
        </w:rPr>
        <w:t>12.1 合同价格形式</w:t>
      </w:r>
      <w:r>
        <w:tab/>
      </w:r>
      <w:r>
        <w:fldChar w:fldCharType="begin"/>
      </w:r>
      <w:r>
        <w:instrText xml:space="preserve"> PAGEREF _Toc256000236 \h </w:instrText>
      </w:r>
      <w:r>
        <w:fldChar w:fldCharType="separate"/>
      </w:r>
      <w:r>
        <w:t>121</w:t>
      </w:r>
      <w:r>
        <w:fldChar w:fldCharType="end"/>
      </w:r>
      <w:r>
        <w:fldChar w:fldCharType="end"/>
      </w:r>
    </w:p>
    <w:p w14:paraId="36E811DE">
      <w:pPr>
        <w:pStyle w:val="9"/>
        <w:tabs>
          <w:tab w:val="right" w:leader="dot" w:pos="8296"/>
        </w:tabs>
        <w:rPr>
          <w:rFonts w:asciiTheme="minorHAnsi" w:hAnsiTheme="minorHAnsi"/>
          <w:sz w:val="22"/>
        </w:rPr>
      </w:pPr>
      <w:r>
        <w:fldChar w:fldCharType="begin"/>
      </w:r>
      <w:r>
        <w:instrText xml:space="preserve"> HYPERLINK \l "_Toc256000237" </w:instrText>
      </w:r>
      <w:r>
        <w:fldChar w:fldCharType="separate"/>
      </w:r>
      <w:r>
        <w:rPr>
          <w:rStyle w:val="21"/>
          <w:b/>
        </w:rPr>
        <w:t>12.2预付款</w:t>
      </w:r>
      <w:r>
        <w:tab/>
      </w:r>
      <w:r>
        <w:fldChar w:fldCharType="begin"/>
      </w:r>
      <w:r>
        <w:instrText xml:space="preserve"> PAGEREF _Toc256000237 \h </w:instrText>
      </w:r>
      <w:r>
        <w:fldChar w:fldCharType="separate"/>
      </w:r>
      <w:r>
        <w:t>122</w:t>
      </w:r>
      <w:r>
        <w:fldChar w:fldCharType="end"/>
      </w:r>
      <w:r>
        <w:fldChar w:fldCharType="end"/>
      </w:r>
    </w:p>
    <w:p w14:paraId="2DE75924">
      <w:pPr>
        <w:pStyle w:val="9"/>
        <w:tabs>
          <w:tab w:val="right" w:leader="dot" w:pos="8296"/>
        </w:tabs>
        <w:rPr>
          <w:rFonts w:asciiTheme="minorHAnsi" w:hAnsiTheme="minorHAnsi"/>
          <w:sz w:val="22"/>
        </w:rPr>
      </w:pPr>
      <w:r>
        <w:fldChar w:fldCharType="begin"/>
      </w:r>
      <w:r>
        <w:instrText xml:space="preserve"> HYPERLINK \l "_Toc256000238" </w:instrText>
      </w:r>
      <w:r>
        <w:fldChar w:fldCharType="separate"/>
      </w:r>
      <w:r>
        <w:rPr>
          <w:rStyle w:val="21"/>
          <w:b/>
        </w:rPr>
        <w:t>12.3计量</w:t>
      </w:r>
      <w:r>
        <w:tab/>
      </w:r>
      <w:r>
        <w:fldChar w:fldCharType="begin"/>
      </w:r>
      <w:r>
        <w:instrText xml:space="preserve"> PAGEREF _Toc256000238 \h </w:instrText>
      </w:r>
      <w:r>
        <w:fldChar w:fldCharType="separate"/>
      </w:r>
      <w:r>
        <w:t>122</w:t>
      </w:r>
      <w:r>
        <w:fldChar w:fldCharType="end"/>
      </w:r>
      <w:r>
        <w:fldChar w:fldCharType="end"/>
      </w:r>
    </w:p>
    <w:p w14:paraId="4EE29AC7">
      <w:pPr>
        <w:pStyle w:val="9"/>
        <w:tabs>
          <w:tab w:val="right" w:leader="dot" w:pos="8296"/>
        </w:tabs>
        <w:rPr>
          <w:rFonts w:asciiTheme="minorHAnsi" w:hAnsiTheme="minorHAnsi"/>
          <w:sz w:val="22"/>
        </w:rPr>
      </w:pPr>
      <w:r>
        <w:fldChar w:fldCharType="begin"/>
      </w:r>
      <w:r>
        <w:instrText xml:space="preserve"> HYPERLINK \l "_Toc256000239" </w:instrText>
      </w:r>
      <w:r>
        <w:fldChar w:fldCharType="separate"/>
      </w:r>
      <w:r>
        <w:rPr>
          <w:rStyle w:val="21"/>
          <w:b/>
        </w:rPr>
        <w:t>12.4工程进度款支付</w:t>
      </w:r>
      <w:r>
        <w:tab/>
      </w:r>
      <w:r>
        <w:fldChar w:fldCharType="begin"/>
      </w:r>
      <w:r>
        <w:instrText xml:space="preserve"> PAGEREF _Toc256000239 \h </w:instrText>
      </w:r>
      <w:r>
        <w:fldChar w:fldCharType="separate"/>
      </w:r>
      <w:r>
        <w:t>123</w:t>
      </w:r>
      <w:r>
        <w:fldChar w:fldCharType="end"/>
      </w:r>
      <w:r>
        <w:fldChar w:fldCharType="end"/>
      </w:r>
    </w:p>
    <w:p w14:paraId="68AFFC6F">
      <w:pPr>
        <w:pStyle w:val="9"/>
        <w:tabs>
          <w:tab w:val="right" w:leader="dot" w:pos="8296"/>
        </w:tabs>
        <w:rPr>
          <w:rFonts w:asciiTheme="minorHAnsi" w:hAnsiTheme="minorHAnsi"/>
          <w:sz w:val="22"/>
        </w:rPr>
      </w:pPr>
      <w:r>
        <w:fldChar w:fldCharType="begin"/>
      </w:r>
      <w:r>
        <w:instrText xml:space="preserve"> HYPERLINK \l "_Toc256000240" </w:instrText>
      </w:r>
      <w:r>
        <w:fldChar w:fldCharType="separate"/>
      </w:r>
      <w:r>
        <w:rPr>
          <w:rStyle w:val="21"/>
          <w:b/>
        </w:rPr>
        <w:t>12.5支付账户</w:t>
      </w:r>
      <w:r>
        <w:tab/>
      </w:r>
      <w:r>
        <w:fldChar w:fldCharType="begin"/>
      </w:r>
      <w:r>
        <w:instrText xml:space="preserve"> PAGEREF _Toc256000240 \h </w:instrText>
      </w:r>
      <w:r>
        <w:fldChar w:fldCharType="separate"/>
      </w:r>
      <w:r>
        <w:t>125</w:t>
      </w:r>
      <w:r>
        <w:fldChar w:fldCharType="end"/>
      </w:r>
      <w:r>
        <w:fldChar w:fldCharType="end"/>
      </w:r>
    </w:p>
    <w:p w14:paraId="17983F62">
      <w:pPr>
        <w:pStyle w:val="14"/>
        <w:tabs>
          <w:tab w:val="right" w:leader="dot" w:pos="8296"/>
        </w:tabs>
        <w:rPr>
          <w:rFonts w:asciiTheme="minorHAnsi" w:hAnsiTheme="minorHAnsi"/>
          <w:sz w:val="22"/>
        </w:rPr>
      </w:pPr>
      <w:r>
        <w:fldChar w:fldCharType="begin"/>
      </w:r>
      <w:r>
        <w:instrText xml:space="preserve"> HYPERLINK \l "_Toc256000241" </w:instrText>
      </w:r>
      <w:r>
        <w:fldChar w:fldCharType="separate"/>
      </w:r>
      <w:r>
        <w:rPr>
          <w:rStyle w:val="21"/>
          <w:rFonts w:hint="eastAsia" w:ascii="黑体" w:hAnsi="宋体" w:cs="黑体"/>
          <w:kern w:val="0"/>
          <w:lang w:bidi="ar"/>
        </w:rPr>
        <w:t>13.验收和工程试车</w:t>
      </w:r>
      <w:r>
        <w:tab/>
      </w:r>
      <w:r>
        <w:fldChar w:fldCharType="begin"/>
      </w:r>
      <w:r>
        <w:instrText xml:space="preserve"> PAGEREF _Toc256000241 \h </w:instrText>
      </w:r>
      <w:r>
        <w:fldChar w:fldCharType="separate"/>
      </w:r>
      <w:r>
        <w:t>125</w:t>
      </w:r>
      <w:r>
        <w:fldChar w:fldCharType="end"/>
      </w:r>
      <w:r>
        <w:fldChar w:fldCharType="end"/>
      </w:r>
    </w:p>
    <w:p w14:paraId="550E0A71">
      <w:pPr>
        <w:pStyle w:val="9"/>
        <w:tabs>
          <w:tab w:val="right" w:leader="dot" w:pos="8296"/>
        </w:tabs>
        <w:rPr>
          <w:rFonts w:asciiTheme="minorHAnsi" w:hAnsiTheme="minorHAnsi"/>
          <w:sz w:val="22"/>
        </w:rPr>
      </w:pPr>
      <w:r>
        <w:fldChar w:fldCharType="begin"/>
      </w:r>
      <w:r>
        <w:instrText xml:space="preserve"> HYPERLINK \l "_Toc256000242" </w:instrText>
      </w:r>
      <w:r>
        <w:fldChar w:fldCharType="separate"/>
      </w:r>
      <w:r>
        <w:rPr>
          <w:rStyle w:val="21"/>
          <w:b/>
        </w:rPr>
        <w:t>13.1分部分项工程验收</w:t>
      </w:r>
      <w:r>
        <w:tab/>
      </w:r>
      <w:r>
        <w:fldChar w:fldCharType="begin"/>
      </w:r>
      <w:r>
        <w:instrText xml:space="preserve"> PAGEREF _Toc256000242 \h </w:instrText>
      </w:r>
      <w:r>
        <w:fldChar w:fldCharType="separate"/>
      </w:r>
      <w:r>
        <w:t>125</w:t>
      </w:r>
      <w:r>
        <w:fldChar w:fldCharType="end"/>
      </w:r>
      <w:r>
        <w:fldChar w:fldCharType="end"/>
      </w:r>
    </w:p>
    <w:p w14:paraId="62C11D8C">
      <w:pPr>
        <w:pStyle w:val="9"/>
        <w:tabs>
          <w:tab w:val="right" w:leader="dot" w:pos="8296"/>
        </w:tabs>
        <w:rPr>
          <w:rFonts w:asciiTheme="minorHAnsi" w:hAnsiTheme="minorHAnsi"/>
          <w:sz w:val="22"/>
        </w:rPr>
      </w:pPr>
      <w:r>
        <w:fldChar w:fldCharType="begin"/>
      </w:r>
      <w:r>
        <w:instrText xml:space="preserve"> HYPERLINK \l "_Toc256000243" </w:instrText>
      </w:r>
      <w:r>
        <w:fldChar w:fldCharType="separate"/>
      </w:r>
      <w:r>
        <w:rPr>
          <w:rStyle w:val="21"/>
          <w:b/>
        </w:rPr>
        <w:t>13.2竣工验收</w:t>
      </w:r>
      <w:r>
        <w:tab/>
      </w:r>
      <w:r>
        <w:fldChar w:fldCharType="begin"/>
      </w:r>
      <w:r>
        <w:instrText xml:space="preserve"> PAGEREF _Toc256000243 \h </w:instrText>
      </w:r>
      <w:r>
        <w:fldChar w:fldCharType="separate"/>
      </w:r>
      <w:r>
        <w:t>126</w:t>
      </w:r>
      <w:r>
        <w:fldChar w:fldCharType="end"/>
      </w:r>
      <w:r>
        <w:fldChar w:fldCharType="end"/>
      </w:r>
    </w:p>
    <w:p w14:paraId="6C85239C">
      <w:pPr>
        <w:pStyle w:val="9"/>
        <w:tabs>
          <w:tab w:val="right" w:leader="dot" w:pos="8296"/>
        </w:tabs>
        <w:rPr>
          <w:rFonts w:asciiTheme="minorHAnsi" w:hAnsiTheme="minorHAnsi"/>
          <w:sz w:val="22"/>
        </w:rPr>
      </w:pPr>
      <w:r>
        <w:fldChar w:fldCharType="begin"/>
      </w:r>
      <w:r>
        <w:instrText xml:space="preserve"> HYPERLINK \l "_Toc256000244" </w:instrText>
      </w:r>
      <w:r>
        <w:fldChar w:fldCharType="separate"/>
      </w:r>
      <w:r>
        <w:rPr>
          <w:rStyle w:val="21"/>
          <w:b/>
        </w:rPr>
        <w:t>13.3工程试车</w:t>
      </w:r>
      <w:r>
        <w:tab/>
      </w:r>
      <w:r>
        <w:fldChar w:fldCharType="begin"/>
      </w:r>
      <w:r>
        <w:instrText xml:space="preserve"> PAGEREF _Toc256000244 \h </w:instrText>
      </w:r>
      <w:r>
        <w:fldChar w:fldCharType="separate"/>
      </w:r>
      <w:r>
        <w:t>127</w:t>
      </w:r>
      <w:r>
        <w:fldChar w:fldCharType="end"/>
      </w:r>
      <w:r>
        <w:fldChar w:fldCharType="end"/>
      </w:r>
    </w:p>
    <w:p w14:paraId="77192C97">
      <w:pPr>
        <w:pStyle w:val="9"/>
        <w:tabs>
          <w:tab w:val="right" w:leader="dot" w:pos="8296"/>
        </w:tabs>
        <w:rPr>
          <w:rFonts w:asciiTheme="minorHAnsi" w:hAnsiTheme="minorHAnsi"/>
          <w:sz w:val="22"/>
        </w:rPr>
      </w:pPr>
      <w:r>
        <w:fldChar w:fldCharType="begin"/>
      </w:r>
      <w:r>
        <w:instrText xml:space="preserve"> HYPERLINK \l "_Toc256000245" </w:instrText>
      </w:r>
      <w:r>
        <w:fldChar w:fldCharType="separate"/>
      </w:r>
      <w:r>
        <w:rPr>
          <w:rStyle w:val="21"/>
          <w:b/>
        </w:rPr>
        <w:t>13.4提前交付单位工程的验收</w:t>
      </w:r>
      <w:r>
        <w:tab/>
      </w:r>
      <w:r>
        <w:fldChar w:fldCharType="begin"/>
      </w:r>
      <w:r>
        <w:instrText xml:space="preserve"> PAGEREF _Toc256000245 \h </w:instrText>
      </w:r>
      <w:r>
        <w:fldChar w:fldCharType="separate"/>
      </w:r>
      <w:r>
        <w:t>128</w:t>
      </w:r>
      <w:r>
        <w:fldChar w:fldCharType="end"/>
      </w:r>
      <w:r>
        <w:fldChar w:fldCharType="end"/>
      </w:r>
    </w:p>
    <w:p w14:paraId="56553C99">
      <w:pPr>
        <w:pStyle w:val="9"/>
        <w:tabs>
          <w:tab w:val="right" w:leader="dot" w:pos="8296"/>
        </w:tabs>
        <w:rPr>
          <w:rFonts w:asciiTheme="minorHAnsi" w:hAnsiTheme="minorHAnsi"/>
          <w:sz w:val="22"/>
        </w:rPr>
      </w:pPr>
      <w:r>
        <w:fldChar w:fldCharType="begin"/>
      </w:r>
      <w:r>
        <w:instrText xml:space="preserve"> HYPERLINK \l "_Toc256000246" </w:instrText>
      </w:r>
      <w:r>
        <w:fldChar w:fldCharType="separate"/>
      </w:r>
      <w:r>
        <w:rPr>
          <w:rStyle w:val="21"/>
          <w:b/>
        </w:rPr>
        <w:t>13.5 施工期运行</w:t>
      </w:r>
      <w:r>
        <w:tab/>
      </w:r>
      <w:r>
        <w:fldChar w:fldCharType="begin"/>
      </w:r>
      <w:r>
        <w:instrText xml:space="preserve"> PAGEREF _Toc256000246 \h </w:instrText>
      </w:r>
      <w:r>
        <w:fldChar w:fldCharType="separate"/>
      </w:r>
      <w:r>
        <w:t>128</w:t>
      </w:r>
      <w:r>
        <w:fldChar w:fldCharType="end"/>
      </w:r>
      <w:r>
        <w:fldChar w:fldCharType="end"/>
      </w:r>
    </w:p>
    <w:p w14:paraId="36B43BB7">
      <w:pPr>
        <w:pStyle w:val="9"/>
        <w:tabs>
          <w:tab w:val="right" w:leader="dot" w:pos="8296"/>
        </w:tabs>
        <w:rPr>
          <w:rFonts w:asciiTheme="minorHAnsi" w:hAnsiTheme="minorHAnsi"/>
          <w:sz w:val="22"/>
        </w:rPr>
      </w:pPr>
      <w:r>
        <w:fldChar w:fldCharType="begin"/>
      </w:r>
      <w:r>
        <w:instrText xml:space="preserve"> HYPERLINK \l "_Toc256000247" </w:instrText>
      </w:r>
      <w:r>
        <w:fldChar w:fldCharType="separate"/>
      </w:r>
      <w:r>
        <w:rPr>
          <w:rStyle w:val="21"/>
          <w:b/>
        </w:rPr>
        <w:t>13.6 竣工退场</w:t>
      </w:r>
      <w:r>
        <w:tab/>
      </w:r>
      <w:r>
        <w:fldChar w:fldCharType="begin"/>
      </w:r>
      <w:r>
        <w:instrText xml:space="preserve"> PAGEREF _Toc256000247 \h </w:instrText>
      </w:r>
      <w:r>
        <w:fldChar w:fldCharType="separate"/>
      </w:r>
      <w:r>
        <w:t>128</w:t>
      </w:r>
      <w:r>
        <w:fldChar w:fldCharType="end"/>
      </w:r>
      <w:r>
        <w:fldChar w:fldCharType="end"/>
      </w:r>
    </w:p>
    <w:p w14:paraId="68F0F807">
      <w:pPr>
        <w:pStyle w:val="14"/>
        <w:tabs>
          <w:tab w:val="right" w:leader="dot" w:pos="8296"/>
        </w:tabs>
        <w:rPr>
          <w:rFonts w:asciiTheme="minorHAnsi" w:hAnsiTheme="minorHAnsi"/>
          <w:sz w:val="22"/>
        </w:rPr>
      </w:pPr>
      <w:r>
        <w:fldChar w:fldCharType="begin"/>
      </w:r>
      <w:r>
        <w:instrText xml:space="preserve"> HYPERLINK \l "_Toc256000248" </w:instrText>
      </w:r>
      <w:r>
        <w:fldChar w:fldCharType="separate"/>
      </w:r>
      <w:r>
        <w:rPr>
          <w:rStyle w:val="21"/>
          <w:rFonts w:hint="eastAsia" w:ascii="黑体" w:hAnsi="宋体" w:cs="黑体"/>
          <w:kern w:val="0"/>
          <w:lang w:bidi="ar"/>
        </w:rPr>
        <w:t>14.竣工结算</w:t>
      </w:r>
      <w:r>
        <w:tab/>
      </w:r>
      <w:r>
        <w:fldChar w:fldCharType="begin"/>
      </w:r>
      <w:r>
        <w:instrText xml:space="preserve"> PAGEREF _Toc256000248 \h </w:instrText>
      </w:r>
      <w:r>
        <w:fldChar w:fldCharType="separate"/>
      </w:r>
      <w:r>
        <w:t>129</w:t>
      </w:r>
      <w:r>
        <w:fldChar w:fldCharType="end"/>
      </w:r>
      <w:r>
        <w:fldChar w:fldCharType="end"/>
      </w:r>
    </w:p>
    <w:p w14:paraId="34F9DF79">
      <w:pPr>
        <w:pStyle w:val="9"/>
        <w:tabs>
          <w:tab w:val="right" w:leader="dot" w:pos="8296"/>
        </w:tabs>
        <w:rPr>
          <w:rFonts w:asciiTheme="minorHAnsi" w:hAnsiTheme="minorHAnsi"/>
          <w:sz w:val="22"/>
        </w:rPr>
      </w:pPr>
      <w:r>
        <w:fldChar w:fldCharType="begin"/>
      </w:r>
      <w:r>
        <w:instrText xml:space="preserve"> HYPERLINK \l "_Toc256000249" </w:instrText>
      </w:r>
      <w:r>
        <w:fldChar w:fldCharType="separate"/>
      </w:r>
      <w:r>
        <w:rPr>
          <w:rStyle w:val="21"/>
          <w:b/>
        </w:rPr>
        <w:t>14.1 竣工结算申请</w:t>
      </w:r>
      <w:r>
        <w:tab/>
      </w:r>
      <w:r>
        <w:fldChar w:fldCharType="begin"/>
      </w:r>
      <w:r>
        <w:instrText xml:space="preserve"> PAGEREF _Toc256000249 \h </w:instrText>
      </w:r>
      <w:r>
        <w:fldChar w:fldCharType="separate"/>
      </w:r>
      <w:r>
        <w:t>129</w:t>
      </w:r>
      <w:r>
        <w:fldChar w:fldCharType="end"/>
      </w:r>
      <w:r>
        <w:fldChar w:fldCharType="end"/>
      </w:r>
    </w:p>
    <w:p w14:paraId="2664EE5D">
      <w:pPr>
        <w:pStyle w:val="9"/>
        <w:tabs>
          <w:tab w:val="right" w:leader="dot" w:pos="8296"/>
        </w:tabs>
        <w:rPr>
          <w:rFonts w:asciiTheme="minorHAnsi" w:hAnsiTheme="minorHAnsi"/>
          <w:sz w:val="22"/>
        </w:rPr>
      </w:pPr>
      <w:r>
        <w:fldChar w:fldCharType="begin"/>
      </w:r>
      <w:r>
        <w:instrText xml:space="preserve"> HYPERLINK \l "_Toc256000250" </w:instrText>
      </w:r>
      <w:r>
        <w:fldChar w:fldCharType="separate"/>
      </w:r>
      <w:r>
        <w:rPr>
          <w:rStyle w:val="21"/>
          <w:b/>
        </w:rPr>
        <w:t>14.2 竣工结算审核</w:t>
      </w:r>
      <w:r>
        <w:tab/>
      </w:r>
      <w:r>
        <w:fldChar w:fldCharType="begin"/>
      </w:r>
      <w:r>
        <w:instrText xml:space="preserve"> PAGEREF _Toc256000250 \h </w:instrText>
      </w:r>
      <w:r>
        <w:fldChar w:fldCharType="separate"/>
      </w:r>
      <w:r>
        <w:t>129</w:t>
      </w:r>
      <w:r>
        <w:fldChar w:fldCharType="end"/>
      </w:r>
      <w:r>
        <w:fldChar w:fldCharType="end"/>
      </w:r>
    </w:p>
    <w:p w14:paraId="1A4C6531">
      <w:pPr>
        <w:pStyle w:val="9"/>
        <w:tabs>
          <w:tab w:val="right" w:leader="dot" w:pos="8296"/>
        </w:tabs>
        <w:rPr>
          <w:rFonts w:asciiTheme="minorHAnsi" w:hAnsiTheme="minorHAnsi"/>
          <w:sz w:val="22"/>
        </w:rPr>
      </w:pPr>
      <w:r>
        <w:fldChar w:fldCharType="begin"/>
      </w:r>
      <w:r>
        <w:instrText xml:space="preserve"> HYPERLINK \l "_Toc256000251" </w:instrText>
      </w:r>
      <w:r>
        <w:fldChar w:fldCharType="separate"/>
      </w:r>
      <w:r>
        <w:rPr>
          <w:rStyle w:val="21"/>
          <w:b/>
        </w:rPr>
        <w:t>14.3 甩项竣工协议</w:t>
      </w:r>
      <w:r>
        <w:tab/>
      </w:r>
      <w:r>
        <w:fldChar w:fldCharType="begin"/>
      </w:r>
      <w:r>
        <w:instrText xml:space="preserve"> PAGEREF _Toc256000251 \h </w:instrText>
      </w:r>
      <w:r>
        <w:fldChar w:fldCharType="separate"/>
      </w:r>
      <w:r>
        <w:t>130</w:t>
      </w:r>
      <w:r>
        <w:fldChar w:fldCharType="end"/>
      </w:r>
      <w:r>
        <w:fldChar w:fldCharType="end"/>
      </w:r>
    </w:p>
    <w:p w14:paraId="17EE908D">
      <w:pPr>
        <w:pStyle w:val="9"/>
        <w:tabs>
          <w:tab w:val="right" w:leader="dot" w:pos="8296"/>
        </w:tabs>
        <w:rPr>
          <w:rFonts w:asciiTheme="minorHAnsi" w:hAnsiTheme="minorHAnsi"/>
          <w:sz w:val="22"/>
        </w:rPr>
      </w:pPr>
      <w:r>
        <w:fldChar w:fldCharType="begin"/>
      </w:r>
      <w:r>
        <w:instrText xml:space="preserve"> HYPERLINK \l "_Toc256000252" </w:instrText>
      </w:r>
      <w:r>
        <w:fldChar w:fldCharType="separate"/>
      </w:r>
      <w:r>
        <w:rPr>
          <w:rStyle w:val="21"/>
          <w:b/>
        </w:rPr>
        <w:t>14.4 最终结清</w:t>
      </w:r>
      <w:r>
        <w:tab/>
      </w:r>
      <w:r>
        <w:fldChar w:fldCharType="begin"/>
      </w:r>
      <w:r>
        <w:instrText xml:space="preserve"> PAGEREF _Toc256000252 \h </w:instrText>
      </w:r>
      <w:r>
        <w:fldChar w:fldCharType="separate"/>
      </w:r>
      <w:r>
        <w:t>130</w:t>
      </w:r>
      <w:r>
        <w:fldChar w:fldCharType="end"/>
      </w:r>
      <w:r>
        <w:fldChar w:fldCharType="end"/>
      </w:r>
    </w:p>
    <w:p w14:paraId="1FCC7CA9">
      <w:pPr>
        <w:pStyle w:val="14"/>
        <w:tabs>
          <w:tab w:val="right" w:leader="dot" w:pos="8296"/>
        </w:tabs>
        <w:rPr>
          <w:rFonts w:asciiTheme="minorHAnsi" w:hAnsiTheme="minorHAnsi"/>
          <w:sz w:val="22"/>
        </w:rPr>
      </w:pPr>
      <w:r>
        <w:fldChar w:fldCharType="begin"/>
      </w:r>
      <w:r>
        <w:instrText xml:space="preserve"> HYPERLINK \l "_Toc256000253" </w:instrText>
      </w:r>
      <w:r>
        <w:fldChar w:fldCharType="separate"/>
      </w:r>
      <w:r>
        <w:rPr>
          <w:rStyle w:val="21"/>
          <w:rFonts w:hint="eastAsia" w:ascii="黑体" w:hAnsi="宋体" w:cs="黑体"/>
          <w:kern w:val="0"/>
          <w:lang w:bidi="ar"/>
        </w:rPr>
        <w:t>15.缺陷责任与保修</w:t>
      </w:r>
      <w:r>
        <w:tab/>
      </w:r>
      <w:r>
        <w:fldChar w:fldCharType="begin"/>
      </w:r>
      <w:r>
        <w:instrText xml:space="preserve"> PAGEREF _Toc256000253 \h </w:instrText>
      </w:r>
      <w:r>
        <w:fldChar w:fldCharType="separate"/>
      </w:r>
      <w:r>
        <w:t>130</w:t>
      </w:r>
      <w:r>
        <w:fldChar w:fldCharType="end"/>
      </w:r>
      <w:r>
        <w:fldChar w:fldCharType="end"/>
      </w:r>
    </w:p>
    <w:p w14:paraId="6CB6C22C">
      <w:pPr>
        <w:pStyle w:val="9"/>
        <w:tabs>
          <w:tab w:val="right" w:leader="dot" w:pos="8296"/>
        </w:tabs>
        <w:rPr>
          <w:rFonts w:asciiTheme="minorHAnsi" w:hAnsiTheme="minorHAnsi"/>
          <w:sz w:val="22"/>
        </w:rPr>
      </w:pPr>
      <w:r>
        <w:fldChar w:fldCharType="begin"/>
      </w:r>
      <w:r>
        <w:instrText xml:space="preserve"> HYPERLINK \l "_Toc256000254" </w:instrText>
      </w:r>
      <w:r>
        <w:fldChar w:fldCharType="separate"/>
      </w:r>
      <w:r>
        <w:rPr>
          <w:rStyle w:val="21"/>
          <w:b/>
        </w:rPr>
        <w:t>15.1 工程保修的原则</w:t>
      </w:r>
      <w:r>
        <w:tab/>
      </w:r>
      <w:r>
        <w:fldChar w:fldCharType="begin"/>
      </w:r>
      <w:r>
        <w:instrText xml:space="preserve"> PAGEREF _Toc256000254 \h </w:instrText>
      </w:r>
      <w:r>
        <w:fldChar w:fldCharType="separate"/>
      </w:r>
      <w:r>
        <w:t>130</w:t>
      </w:r>
      <w:r>
        <w:fldChar w:fldCharType="end"/>
      </w:r>
      <w:r>
        <w:fldChar w:fldCharType="end"/>
      </w:r>
    </w:p>
    <w:p w14:paraId="7BEA7915">
      <w:pPr>
        <w:pStyle w:val="9"/>
        <w:tabs>
          <w:tab w:val="right" w:leader="dot" w:pos="8296"/>
        </w:tabs>
        <w:rPr>
          <w:rFonts w:asciiTheme="minorHAnsi" w:hAnsiTheme="minorHAnsi"/>
          <w:sz w:val="22"/>
        </w:rPr>
      </w:pPr>
      <w:r>
        <w:fldChar w:fldCharType="begin"/>
      </w:r>
      <w:r>
        <w:instrText xml:space="preserve"> HYPERLINK \l "_Toc256000255" </w:instrText>
      </w:r>
      <w:r>
        <w:fldChar w:fldCharType="separate"/>
      </w:r>
      <w:r>
        <w:rPr>
          <w:rStyle w:val="21"/>
          <w:b/>
        </w:rPr>
        <w:t>15.2 缺陷责任期</w:t>
      </w:r>
      <w:r>
        <w:tab/>
      </w:r>
      <w:r>
        <w:fldChar w:fldCharType="begin"/>
      </w:r>
      <w:r>
        <w:instrText xml:space="preserve"> PAGEREF _Toc256000255 \h </w:instrText>
      </w:r>
      <w:r>
        <w:fldChar w:fldCharType="separate"/>
      </w:r>
      <w:r>
        <w:t>130</w:t>
      </w:r>
      <w:r>
        <w:fldChar w:fldCharType="end"/>
      </w:r>
      <w:r>
        <w:fldChar w:fldCharType="end"/>
      </w:r>
    </w:p>
    <w:p w14:paraId="0E87F00B">
      <w:pPr>
        <w:pStyle w:val="9"/>
        <w:tabs>
          <w:tab w:val="right" w:leader="dot" w:pos="8296"/>
        </w:tabs>
        <w:rPr>
          <w:rFonts w:asciiTheme="minorHAnsi" w:hAnsiTheme="minorHAnsi"/>
          <w:sz w:val="22"/>
        </w:rPr>
      </w:pPr>
      <w:r>
        <w:fldChar w:fldCharType="begin"/>
      </w:r>
      <w:r>
        <w:instrText xml:space="preserve"> HYPERLINK \l "_Toc256000256" </w:instrText>
      </w:r>
      <w:r>
        <w:fldChar w:fldCharType="separate"/>
      </w:r>
      <w:r>
        <w:rPr>
          <w:rStyle w:val="21"/>
          <w:b/>
        </w:rPr>
        <w:t>15.3 质量保证金</w:t>
      </w:r>
      <w:r>
        <w:tab/>
      </w:r>
      <w:r>
        <w:fldChar w:fldCharType="begin"/>
      </w:r>
      <w:r>
        <w:instrText xml:space="preserve"> PAGEREF _Toc256000256 \h </w:instrText>
      </w:r>
      <w:r>
        <w:fldChar w:fldCharType="separate"/>
      </w:r>
      <w:r>
        <w:t>131</w:t>
      </w:r>
      <w:r>
        <w:fldChar w:fldCharType="end"/>
      </w:r>
      <w:r>
        <w:fldChar w:fldCharType="end"/>
      </w:r>
    </w:p>
    <w:p w14:paraId="3E84325F">
      <w:pPr>
        <w:pStyle w:val="9"/>
        <w:tabs>
          <w:tab w:val="right" w:leader="dot" w:pos="8296"/>
        </w:tabs>
        <w:rPr>
          <w:rFonts w:asciiTheme="minorHAnsi" w:hAnsiTheme="minorHAnsi"/>
          <w:sz w:val="22"/>
        </w:rPr>
      </w:pPr>
      <w:r>
        <w:fldChar w:fldCharType="begin"/>
      </w:r>
      <w:r>
        <w:instrText xml:space="preserve"> HYPERLINK \l "_Toc256000257" </w:instrText>
      </w:r>
      <w:r>
        <w:fldChar w:fldCharType="separate"/>
      </w:r>
      <w:r>
        <w:rPr>
          <w:rStyle w:val="21"/>
          <w:b/>
        </w:rPr>
        <w:t>15.4 保修</w:t>
      </w:r>
      <w:r>
        <w:tab/>
      </w:r>
      <w:r>
        <w:fldChar w:fldCharType="begin"/>
      </w:r>
      <w:r>
        <w:instrText xml:space="preserve"> PAGEREF _Toc256000257 \h </w:instrText>
      </w:r>
      <w:r>
        <w:fldChar w:fldCharType="separate"/>
      </w:r>
      <w:r>
        <w:t>132</w:t>
      </w:r>
      <w:r>
        <w:fldChar w:fldCharType="end"/>
      </w:r>
      <w:r>
        <w:fldChar w:fldCharType="end"/>
      </w:r>
    </w:p>
    <w:p w14:paraId="09F995F5">
      <w:pPr>
        <w:pStyle w:val="14"/>
        <w:tabs>
          <w:tab w:val="right" w:leader="dot" w:pos="8296"/>
        </w:tabs>
        <w:rPr>
          <w:rFonts w:asciiTheme="minorHAnsi" w:hAnsiTheme="minorHAnsi"/>
          <w:sz w:val="22"/>
        </w:rPr>
      </w:pPr>
      <w:r>
        <w:fldChar w:fldCharType="begin"/>
      </w:r>
      <w:r>
        <w:instrText xml:space="preserve"> HYPERLINK \l "_Toc256000258" </w:instrText>
      </w:r>
      <w:r>
        <w:fldChar w:fldCharType="separate"/>
      </w:r>
      <w:r>
        <w:rPr>
          <w:rStyle w:val="21"/>
          <w:rFonts w:hint="eastAsia" w:ascii="黑体" w:hAnsi="宋体" w:cs="黑体"/>
          <w:kern w:val="0"/>
          <w:lang w:bidi="ar"/>
        </w:rPr>
        <w:t>16.违约</w:t>
      </w:r>
      <w:r>
        <w:tab/>
      </w:r>
      <w:r>
        <w:fldChar w:fldCharType="begin"/>
      </w:r>
      <w:r>
        <w:instrText xml:space="preserve"> PAGEREF _Toc256000258 \h </w:instrText>
      </w:r>
      <w:r>
        <w:fldChar w:fldCharType="separate"/>
      </w:r>
      <w:r>
        <w:t>133</w:t>
      </w:r>
      <w:r>
        <w:fldChar w:fldCharType="end"/>
      </w:r>
      <w:r>
        <w:fldChar w:fldCharType="end"/>
      </w:r>
    </w:p>
    <w:p w14:paraId="0E4F0B7C">
      <w:pPr>
        <w:pStyle w:val="9"/>
        <w:tabs>
          <w:tab w:val="right" w:leader="dot" w:pos="8296"/>
        </w:tabs>
        <w:rPr>
          <w:rFonts w:asciiTheme="minorHAnsi" w:hAnsiTheme="minorHAnsi"/>
          <w:sz w:val="22"/>
        </w:rPr>
      </w:pPr>
      <w:r>
        <w:fldChar w:fldCharType="begin"/>
      </w:r>
      <w:r>
        <w:instrText xml:space="preserve"> HYPERLINK \l "_Toc256000259" </w:instrText>
      </w:r>
      <w:r>
        <w:fldChar w:fldCharType="separate"/>
      </w:r>
      <w:r>
        <w:rPr>
          <w:rStyle w:val="21"/>
          <w:b/>
        </w:rPr>
        <w:t>16.1 发包人违约</w:t>
      </w:r>
      <w:r>
        <w:tab/>
      </w:r>
      <w:r>
        <w:fldChar w:fldCharType="begin"/>
      </w:r>
      <w:r>
        <w:instrText xml:space="preserve"> PAGEREF _Toc256000259 \h </w:instrText>
      </w:r>
      <w:r>
        <w:fldChar w:fldCharType="separate"/>
      </w:r>
      <w:r>
        <w:t>133</w:t>
      </w:r>
      <w:r>
        <w:fldChar w:fldCharType="end"/>
      </w:r>
      <w:r>
        <w:fldChar w:fldCharType="end"/>
      </w:r>
    </w:p>
    <w:p w14:paraId="21AD2A4A">
      <w:pPr>
        <w:pStyle w:val="9"/>
        <w:tabs>
          <w:tab w:val="right" w:leader="dot" w:pos="8296"/>
        </w:tabs>
        <w:rPr>
          <w:rFonts w:asciiTheme="minorHAnsi" w:hAnsiTheme="minorHAnsi"/>
          <w:sz w:val="22"/>
        </w:rPr>
      </w:pPr>
      <w:r>
        <w:fldChar w:fldCharType="begin"/>
      </w:r>
      <w:r>
        <w:instrText xml:space="preserve"> HYPERLINK \l "_Toc256000260" </w:instrText>
      </w:r>
      <w:r>
        <w:fldChar w:fldCharType="separate"/>
      </w:r>
      <w:r>
        <w:rPr>
          <w:rStyle w:val="21"/>
          <w:b/>
        </w:rPr>
        <w:t>16.2 承包人违约</w:t>
      </w:r>
      <w:r>
        <w:tab/>
      </w:r>
      <w:r>
        <w:fldChar w:fldCharType="begin"/>
      </w:r>
      <w:r>
        <w:instrText xml:space="preserve"> PAGEREF _Toc256000260 \h </w:instrText>
      </w:r>
      <w:r>
        <w:fldChar w:fldCharType="separate"/>
      </w:r>
      <w:r>
        <w:t>134</w:t>
      </w:r>
      <w:r>
        <w:fldChar w:fldCharType="end"/>
      </w:r>
      <w:r>
        <w:fldChar w:fldCharType="end"/>
      </w:r>
    </w:p>
    <w:p w14:paraId="4FE5DAE8">
      <w:pPr>
        <w:pStyle w:val="9"/>
        <w:tabs>
          <w:tab w:val="right" w:leader="dot" w:pos="8296"/>
        </w:tabs>
        <w:rPr>
          <w:rFonts w:asciiTheme="minorHAnsi" w:hAnsiTheme="minorHAnsi"/>
          <w:sz w:val="22"/>
        </w:rPr>
      </w:pPr>
      <w:r>
        <w:fldChar w:fldCharType="begin"/>
      </w:r>
      <w:r>
        <w:instrText xml:space="preserve"> HYPERLINK \l "_Toc256000261" </w:instrText>
      </w:r>
      <w:r>
        <w:fldChar w:fldCharType="separate"/>
      </w:r>
      <w:r>
        <w:rPr>
          <w:rStyle w:val="21"/>
          <w:b/>
        </w:rPr>
        <w:t>16.3 第三人造成的违约</w:t>
      </w:r>
      <w:r>
        <w:tab/>
      </w:r>
      <w:r>
        <w:fldChar w:fldCharType="begin"/>
      </w:r>
      <w:r>
        <w:instrText xml:space="preserve"> PAGEREF _Toc256000261 \h </w:instrText>
      </w:r>
      <w:r>
        <w:fldChar w:fldCharType="separate"/>
      </w:r>
      <w:r>
        <w:t>135</w:t>
      </w:r>
      <w:r>
        <w:fldChar w:fldCharType="end"/>
      </w:r>
      <w:r>
        <w:fldChar w:fldCharType="end"/>
      </w:r>
    </w:p>
    <w:p w14:paraId="5106B3EB">
      <w:pPr>
        <w:pStyle w:val="14"/>
        <w:tabs>
          <w:tab w:val="right" w:leader="dot" w:pos="8296"/>
        </w:tabs>
        <w:rPr>
          <w:rFonts w:asciiTheme="minorHAnsi" w:hAnsiTheme="minorHAnsi"/>
          <w:sz w:val="22"/>
        </w:rPr>
      </w:pPr>
      <w:r>
        <w:fldChar w:fldCharType="begin"/>
      </w:r>
      <w:r>
        <w:instrText xml:space="preserve"> HYPERLINK \l "_Toc256000262" </w:instrText>
      </w:r>
      <w:r>
        <w:fldChar w:fldCharType="separate"/>
      </w:r>
      <w:r>
        <w:rPr>
          <w:rStyle w:val="21"/>
          <w:rFonts w:hint="eastAsia" w:ascii="黑体" w:hAnsi="宋体" w:cs="黑体"/>
          <w:kern w:val="0"/>
          <w:lang w:bidi="ar"/>
        </w:rPr>
        <w:t>17.不可抗力</w:t>
      </w:r>
      <w:r>
        <w:tab/>
      </w:r>
      <w:r>
        <w:fldChar w:fldCharType="begin"/>
      </w:r>
      <w:r>
        <w:instrText xml:space="preserve"> PAGEREF _Toc256000262 \h </w:instrText>
      </w:r>
      <w:r>
        <w:fldChar w:fldCharType="separate"/>
      </w:r>
      <w:r>
        <w:t>135</w:t>
      </w:r>
      <w:r>
        <w:fldChar w:fldCharType="end"/>
      </w:r>
      <w:r>
        <w:fldChar w:fldCharType="end"/>
      </w:r>
    </w:p>
    <w:p w14:paraId="53D4F174">
      <w:pPr>
        <w:pStyle w:val="9"/>
        <w:tabs>
          <w:tab w:val="right" w:leader="dot" w:pos="8296"/>
        </w:tabs>
        <w:rPr>
          <w:rFonts w:asciiTheme="minorHAnsi" w:hAnsiTheme="minorHAnsi"/>
          <w:sz w:val="22"/>
        </w:rPr>
      </w:pPr>
      <w:r>
        <w:fldChar w:fldCharType="begin"/>
      </w:r>
      <w:r>
        <w:instrText xml:space="preserve"> HYPERLINK \l "_Toc256000263" </w:instrText>
      </w:r>
      <w:r>
        <w:fldChar w:fldCharType="separate"/>
      </w:r>
      <w:r>
        <w:rPr>
          <w:rStyle w:val="21"/>
          <w:b/>
        </w:rPr>
        <w:t>17.1 不可抗力的确认</w:t>
      </w:r>
      <w:r>
        <w:tab/>
      </w:r>
      <w:r>
        <w:fldChar w:fldCharType="begin"/>
      </w:r>
      <w:r>
        <w:instrText xml:space="preserve"> PAGEREF _Toc256000263 \h </w:instrText>
      </w:r>
      <w:r>
        <w:fldChar w:fldCharType="separate"/>
      </w:r>
      <w:r>
        <w:t>135</w:t>
      </w:r>
      <w:r>
        <w:fldChar w:fldCharType="end"/>
      </w:r>
      <w:r>
        <w:fldChar w:fldCharType="end"/>
      </w:r>
    </w:p>
    <w:p w14:paraId="42CCC109">
      <w:pPr>
        <w:pStyle w:val="9"/>
        <w:tabs>
          <w:tab w:val="right" w:leader="dot" w:pos="8296"/>
        </w:tabs>
        <w:rPr>
          <w:rFonts w:asciiTheme="minorHAnsi" w:hAnsiTheme="minorHAnsi"/>
          <w:sz w:val="22"/>
        </w:rPr>
      </w:pPr>
      <w:r>
        <w:fldChar w:fldCharType="begin"/>
      </w:r>
      <w:r>
        <w:instrText xml:space="preserve"> HYPERLINK \l "_Toc256000264" </w:instrText>
      </w:r>
      <w:r>
        <w:fldChar w:fldCharType="separate"/>
      </w:r>
      <w:r>
        <w:rPr>
          <w:rStyle w:val="21"/>
          <w:b/>
        </w:rPr>
        <w:t>17.2 不可抗力的通知</w:t>
      </w:r>
      <w:r>
        <w:tab/>
      </w:r>
      <w:r>
        <w:fldChar w:fldCharType="begin"/>
      </w:r>
      <w:r>
        <w:instrText xml:space="preserve"> PAGEREF _Toc256000264 \h </w:instrText>
      </w:r>
      <w:r>
        <w:fldChar w:fldCharType="separate"/>
      </w:r>
      <w:r>
        <w:t>136</w:t>
      </w:r>
      <w:r>
        <w:fldChar w:fldCharType="end"/>
      </w:r>
      <w:r>
        <w:fldChar w:fldCharType="end"/>
      </w:r>
    </w:p>
    <w:p w14:paraId="21060F4F">
      <w:pPr>
        <w:pStyle w:val="9"/>
        <w:tabs>
          <w:tab w:val="right" w:leader="dot" w:pos="8296"/>
        </w:tabs>
        <w:rPr>
          <w:rFonts w:asciiTheme="minorHAnsi" w:hAnsiTheme="minorHAnsi"/>
          <w:sz w:val="22"/>
        </w:rPr>
      </w:pPr>
      <w:r>
        <w:fldChar w:fldCharType="begin"/>
      </w:r>
      <w:r>
        <w:instrText xml:space="preserve"> HYPERLINK \l "_Toc256000265" </w:instrText>
      </w:r>
      <w:r>
        <w:fldChar w:fldCharType="separate"/>
      </w:r>
      <w:r>
        <w:rPr>
          <w:rStyle w:val="21"/>
          <w:b/>
        </w:rPr>
        <w:t>17.3 不可抗力后果的承担</w:t>
      </w:r>
      <w:r>
        <w:tab/>
      </w:r>
      <w:r>
        <w:fldChar w:fldCharType="begin"/>
      </w:r>
      <w:r>
        <w:instrText xml:space="preserve"> PAGEREF _Toc256000265 \h </w:instrText>
      </w:r>
      <w:r>
        <w:fldChar w:fldCharType="separate"/>
      </w:r>
      <w:r>
        <w:t>136</w:t>
      </w:r>
      <w:r>
        <w:fldChar w:fldCharType="end"/>
      </w:r>
      <w:r>
        <w:fldChar w:fldCharType="end"/>
      </w:r>
    </w:p>
    <w:p w14:paraId="1BA0CA2A">
      <w:pPr>
        <w:pStyle w:val="9"/>
        <w:tabs>
          <w:tab w:val="right" w:leader="dot" w:pos="8296"/>
        </w:tabs>
        <w:rPr>
          <w:rFonts w:asciiTheme="minorHAnsi" w:hAnsiTheme="minorHAnsi"/>
          <w:sz w:val="22"/>
        </w:rPr>
      </w:pPr>
      <w:r>
        <w:fldChar w:fldCharType="begin"/>
      </w:r>
      <w:r>
        <w:instrText xml:space="preserve"> HYPERLINK \l "_Toc256000266" </w:instrText>
      </w:r>
      <w:r>
        <w:fldChar w:fldCharType="separate"/>
      </w:r>
      <w:r>
        <w:rPr>
          <w:rStyle w:val="21"/>
          <w:b/>
        </w:rPr>
        <w:t>17.4 因不可抗力解除合同</w:t>
      </w:r>
      <w:r>
        <w:tab/>
      </w:r>
      <w:r>
        <w:fldChar w:fldCharType="begin"/>
      </w:r>
      <w:r>
        <w:instrText xml:space="preserve"> PAGEREF _Toc256000266 \h </w:instrText>
      </w:r>
      <w:r>
        <w:fldChar w:fldCharType="separate"/>
      </w:r>
      <w:r>
        <w:t>136</w:t>
      </w:r>
      <w:r>
        <w:fldChar w:fldCharType="end"/>
      </w:r>
      <w:r>
        <w:fldChar w:fldCharType="end"/>
      </w:r>
    </w:p>
    <w:p w14:paraId="4648F086">
      <w:pPr>
        <w:pStyle w:val="14"/>
        <w:tabs>
          <w:tab w:val="right" w:leader="dot" w:pos="8296"/>
        </w:tabs>
        <w:rPr>
          <w:rFonts w:asciiTheme="minorHAnsi" w:hAnsiTheme="minorHAnsi"/>
          <w:sz w:val="22"/>
        </w:rPr>
      </w:pPr>
      <w:r>
        <w:fldChar w:fldCharType="begin"/>
      </w:r>
      <w:r>
        <w:instrText xml:space="preserve"> HYPERLINK \l "_Toc256000267" </w:instrText>
      </w:r>
      <w:r>
        <w:fldChar w:fldCharType="separate"/>
      </w:r>
      <w:r>
        <w:rPr>
          <w:rStyle w:val="21"/>
          <w:rFonts w:hint="eastAsia" w:ascii="黑体" w:hAnsi="宋体" w:cs="黑体"/>
          <w:kern w:val="0"/>
          <w:lang w:bidi="ar"/>
        </w:rPr>
        <w:t>18.保险</w:t>
      </w:r>
      <w:r>
        <w:tab/>
      </w:r>
      <w:r>
        <w:fldChar w:fldCharType="begin"/>
      </w:r>
      <w:r>
        <w:instrText xml:space="preserve"> PAGEREF _Toc256000267 \h </w:instrText>
      </w:r>
      <w:r>
        <w:fldChar w:fldCharType="separate"/>
      </w:r>
      <w:r>
        <w:t>137</w:t>
      </w:r>
      <w:r>
        <w:fldChar w:fldCharType="end"/>
      </w:r>
      <w:r>
        <w:fldChar w:fldCharType="end"/>
      </w:r>
    </w:p>
    <w:p w14:paraId="6D7F9DAD">
      <w:pPr>
        <w:pStyle w:val="9"/>
        <w:tabs>
          <w:tab w:val="right" w:leader="dot" w:pos="8296"/>
        </w:tabs>
        <w:rPr>
          <w:rFonts w:asciiTheme="minorHAnsi" w:hAnsiTheme="minorHAnsi"/>
          <w:sz w:val="22"/>
        </w:rPr>
      </w:pPr>
      <w:r>
        <w:fldChar w:fldCharType="begin"/>
      </w:r>
      <w:r>
        <w:instrText xml:space="preserve"> HYPERLINK \l "_Toc256000268" </w:instrText>
      </w:r>
      <w:r>
        <w:fldChar w:fldCharType="separate"/>
      </w:r>
      <w:r>
        <w:rPr>
          <w:rStyle w:val="21"/>
          <w:b/>
        </w:rPr>
        <w:t>18.1 工程保险</w:t>
      </w:r>
      <w:r>
        <w:tab/>
      </w:r>
      <w:r>
        <w:fldChar w:fldCharType="begin"/>
      </w:r>
      <w:r>
        <w:instrText xml:space="preserve"> PAGEREF _Toc256000268 \h </w:instrText>
      </w:r>
      <w:r>
        <w:fldChar w:fldCharType="separate"/>
      </w:r>
      <w:r>
        <w:t>137</w:t>
      </w:r>
      <w:r>
        <w:fldChar w:fldCharType="end"/>
      </w:r>
      <w:r>
        <w:fldChar w:fldCharType="end"/>
      </w:r>
    </w:p>
    <w:p w14:paraId="4E36EA1A">
      <w:pPr>
        <w:pStyle w:val="9"/>
        <w:tabs>
          <w:tab w:val="right" w:leader="dot" w:pos="8296"/>
        </w:tabs>
        <w:rPr>
          <w:rFonts w:asciiTheme="minorHAnsi" w:hAnsiTheme="minorHAnsi"/>
          <w:sz w:val="22"/>
        </w:rPr>
      </w:pPr>
      <w:r>
        <w:fldChar w:fldCharType="begin"/>
      </w:r>
      <w:r>
        <w:instrText xml:space="preserve"> HYPERLINK \l "_Toc256000269" </w:instrText>
      </w:r>
      <w:r>
        <w:fldChar w:fldCharType="separate"/>
      </w:r>
      <w:r>
        <w:rPr>
          <w:rStyle w:val="21"/>
          <w:b/>
        </w:rPr>
        <w:t>18.2 工伤保险</w:t>
      </w:r>
      <w:r>
        <w:tab/>
      </w:r>
      <w:r>
        <w:fldChar w:fldCharType="begin"/>
      </w:r>
      <w:r>
        <w:instrText xml:space="preserve"> PAGEREF _Toc256000269 \h </w:instrText>
      </w:r>
      <w:r>
        <w:fldChar w:fldCharType="separate"/>
      </w:r>
      <w:r>
        <w:t>137</w:t>
      </w:r>
      <w:r>
        <w:fldChar w:fldCharType="end"/>
      </w:r>
      <w:r>
        <w:fldChar w:fldCharType="end"/>
      </w:r>
    </w:p>
    <w:p w14:paraId="75C02439">
      <w:pPr>
        <w:pStyle w:val="9"/>
        <w:tabs>
          <w:tab w:val="right" w:leader="dot" w:pos="8296"/>
        </w:tabs>
        <w:rPr>
          <w:rFonts w:asciiTheme="minorHAnsi" w:hAnsiTheme="minorHAnsi"/>
          <w:sz w:val="22"/>
        </w:rPr>
      </w:pPr>
      <w:r>
        <w:fldChar w:fldCharType="begin"/>
      </w:r>
      <w:r>
        <w:instrText xml:space="preserve"> HYPERLINK \l "_Toc256000270" </w:instrText>
      </w:r>
      <w:r>
        <w:fldChar w:fldCharType="separate"/>
      </w:r>
      <w:r>
        <w:rPr>
          <w:rStyle w:val="21"/>
          <w:b/>
        </w:rPr>
        <w:t>18.3 其他保险</w:t>
      </w:r>
      <w:r>
        <w:tab/>
      </w:r>
      <w:r>
        <w:fldChar w:fldCharType="begin"/>
      </w:r>
      <w:r>
        <w:instrText xml:space="preserve"> PAGEREF _Toc256000270 \h </w:instrText>
      </w:r>
      <w:r>
        <w:fldChar w:fldCharType="separate"/>
      </w:r>
      <w:r>
        <w:t>137</w:t>
      </w:r>
      <w:r>
        <w:fldChar w:fldCharType="end"/>
      </w:r>
      <w:r>
        <w:fldChar w:fldCharType="end"/>
      </w:r>
    </w:p>
    <w:p w14:paraId="4A4D5422">
      <w:pPr>
        <w:pStyle w:val="9"/>
        <w:tabs>
          <w:tab w:val="right" w:leader="dot" w:pos="8296"/>
        </w:tabs>
        <w:rPr>
          <w:rFonts w:asciiTheme="minorHAnsi" w:hAnsiTheme="minorHAnsi"/>
          <w:sz w:val="22"/>
        </w:rPr>
      </w:pPr>
      <w:r>
        <w:fldChar w:fldCharType="begin"/>
      </w:r>
      <w:r>
        <w:instrText xml:space="preserve"> HYPERLINK \l "_Toc256000271" </w:instrText>
      </w:r>
      <w:r>
        <w:fldChar w:fldCharType="separate"/>
      </w:r>
      <w:r>
        <w:rPr>
          <w:rStyle w:val="21"/>
          <w:b/>
        </w:rPr>
        <w:t>18.4 持续保险</w:t>
      </w:r>
      <w:r>
        <w:tab/>
      </w:r>
      <w:r>
        <w:fldChar w:fldCharType="begin"/>
      </w:r>
      <w:r>
        <w:instrText xml:space="preserve"> PAGEREF _Toc256000271 \h </w:instrText>
      </w:r>
      <w:r>
        <w:fldChar w:fldCharType="separate"/>
      </w:r>
      <w:r>
        <w:t>137</w:t>
      </w:r>
      <w:r>
        <w:fldChar w:fldCharType="end"/>
      </w:r>
      <w:r>
        <w:fldChar w:fldCharType="end"/>
      </w:r>
    </w:p>
    <w:p w14:paraId="3E0FC186">
      <w:pPr>
        <w:pStyle w:val="9"/>
        <w:tabs>
          <w:tab w:val="right" w:leader="dot" w:pos="8296"/>
        </w:tabs>
        <w:rPr>
          <w:rFonts w:asciiTheme="minorHAnsi" w:hAnsiTheme="minorHAnsi"/>
          <w:sz w:val="22"/>
        </w:rPr>
      </w:pPr>
      <w:r>
        <w:fldChar w:fldCharType="begin"/>
      </w:r>
      <w:r>
        <w:instrText xml:space="preserve"> HYPERLINK \l "_Toc256000272" </w:instrText>
      </w:r>
      <w:r>
        <w:fldChar w:fldCharType="separate"/>
      </w:r>
      <w:r>
        <w:rPr>
          <w:rStyle w:val="21"/>
          <w:b/>
        </w:rPr>
        <w:t>18.5 保险凭证</w:t>
      </w:r>
      <w:r>
        <w:tab/>
      </w:r>
      <w:r>
        <w:fldChar w:fldCharType="begin"/>
      </w:r>
      <w:r>
        <w:instrText xml:space="preserve"> PAGEREF _Toc256000272 \h </w:instrText>
      </w:r>
      <w:r>
        <w:fldChar w:fldCharType="separate"/>
      </w:r>
      <w:r>
        <w:t>137</w:t>
      </w:r>
      <w:r>
        <w:fldChar w:fldCharType="end"/>
      </w:r>
      <w:r>
        <w:fldChar w:fldCharType="end"/>
      </w:r>
    </w:p>
    <w:p w14:paraId="64FD39FE">
      <w:pPr>
        <w:pStyle w:val="9"/>
        <w:tabs>
          <w:tab w:val="right" w:leader="dot" w:pos="8296"/>
        </w:tabs>
        <w:rPr>
          <w:rFonts w:asciiTheme="minorHAnsi" w:hAnsiTheme="minorHAnsi"/>
          <w:sz w:val="22"/>
        </w:rPr>
      </w:pPr>
      <w:r>
        <w:fldChar w:fldCharType="begin"/>
      </w:r>
      <w:r>
        <w:instrText xml:space="preserve"> HYPERLINK \l "_Toc256000273" </w:instrText>
      </w:r>
      <w:r>
        <w:fldChar w:fldCharType="separate"/>
      </w:r>
      <w:r>
        <w:rPr>
          <w:rStyle w:val="21"/>
          <w:b/>
        </w:rPr>
        <w:t>18.6 未按约定投保的补救</w:t>
      </w:r>
      <w:r>
        <w:tab/>
      </w:r>
      <w:r>
        <w:fldChar w:fldCharType="begin"/>
      </w:r>
      <w:r>
        <w:instrText xml:space="preserve"> PAGEREF _Toc256000273 \h </w:instrText>
      </w:r>
      <w:r>
        <w:fldChar w:fldCharType="separate"/>
      </w:r>
      <w:r>
        <w:t>137</w:t>
      </w:r>
      <w:r>
        <w:fldChar w:fldCharType="end"/>
      </w:r>
      <w:r>
        <w:fldChar w:fldCharType="end"/>
      </w:r>
    </w:p>
    <w:p w14:paraId="418F9746">
      <w:pPr>
        <w:pStyle w:val="9"/>
        <w:tabs>
          <w:tab w:val="right" w:leader="dot" w:pos="8296"/>
        </w:tabs>
        <w:rPr>
          <w:rFonts w:asciiTheme="minorHAnsi" w:hAnsiTheme="minorHAnsi"/>
          <w:sz w:val="22"/>
        </w:rPr>
      </w:pPr>
      <w:r>
        <w:fldChar w:fldCharType="begin"/>
      </w:r>
      <w:r>
        <w:instrText xml:space="preserve"> HYPERLINK \l "_Toc256000274" </w:instrText>
      </w:r>
      <w:r>
        <w:fldChar w:fldCharType="separate"/>
      </w:r>
      <w:r>
        <w:rPr>
          <w:rStyle w:val="21"/>
          <w:b/>
        </w:rPr>
        <w:t>18.7 通知义务</w:t>
      </w:r>
      <w:r>
        <w:tab/>
      </w:r>
      <w:r>
        <w:fldChar w:fldCharType="begin"/>
      </w:r>
      <w:r>
        <w:instrText xml:space="preserve"> PAGEREF _Toc256000274 \h </w:instrText>
      </w:r>
      <w:r>
        <w:fldChar w:fldCharType="separate"/>
      </w:r>
      <w:r>
        <w:t>138</w:t>
      </w:r>
      <w:r>
        <w:fldChar w:fldCharType="end"/>
      </w:r>
      <w:r>
        <w:fldChar w:fldCharType="end"/>
      </w:r>
    </w:p>
    <w:p w14:paraId="3F9EB709">
      <w:pPr>
        <w:pStyle w:val="14"/>
        <w:tabs>
          <w:tab w:val="right" w:leader="dot" w:pos="8296"/>
        </w:tabs>
        <w:rPr>
          <w:rFonts w:asciiTheme="minorHAnsi" w:hAnsiTheme="minorHAnsi"/>
          <w:sz w:val="22"/>
        </w:rPr>
      </w:pPr>
      <w:r>
        <w:fldChar w:fldCharType="begin"/>
      </w:r>
      <w:r>
        <w:instrText xml:space="preserve"> HYPERLINK \l "_Toc256000275" </w:instrText>
      </w:r>
      <w:r>
        <w:fldChar w:fldCharType="separate"/>
      </w:r>
      <w:r>
        <w:rPr>
          <w:rStyle w:val="21"/>
          <w:rFonts w:hint="eastAsia" w:ascii="黑体" w:hAnsi="宋体" w:cs="黑体"/>
          <w:kern w:val="0"/>
          <w:lang w:bidi="ar"/>
        </w:rPr>
        <w:t>19.索赔</w:t>
      </w:r>
      <w:r>
        <w:tab/>
      </w:r>
      <w:r>
        <w:fldChar w:fldCharType="begin"/>
      </w:r>
      <w:r>
        <w:instrText xml:space="preserve"> PAGEREF _Toc256000275 \h </w:instrText>
      </w:r>
      <w:r>
        <w:fldChar w:fldCharType="separate"/>
      </w:r>
      <w:r>
        <w:t>138</w:t>
      </w:r>
      <w:r>
        <w:fldChar w:fldCharType="end"/>
      </w:r>
      <w:r>
        <w:fldChar w:fldCharType="end"/>
      </w:r>
    </w:p>
    <w:p w14:paraId="2A31B78D">
      <w:pPr>
        <w:pStyle w:val="9"/>
        <w:tabs>
          <w:tab w:val="right" w:leader="dot" w:pos="8296"/>
        </w:tabs>
        <w:rPr>
          <w:rFonts w:asciiTheme="minorHAnsi" w:hAnsiTheme="minorHAnsi"/>
          <w:sz w:val="22"/>
        </w:rPr>
      </w:pPr>
      <w:r>
        <w:fldChar w:fldCharType="begin"/>
      </w:r>
      <w:r>
        <w:instrText xml:space="preserve"> HYPERLINK \l "_Toc256000276" </w:instrText>
      </w:r>
      <w:r>
        <w:fldChar w:fldCharType="separate"/>
      </w:r>
      <w:r>
        <w:rPr>
          <w:rStyle w:val="21"/>
          <w:b/>
        </w:rPr>
        <w:t>19.1承包人的索赔</w:t>
      </w:r>
      <w:r>
        <w:tab/>
      </w:r>
      <w:r>
        <w:fldChar w:fldCharType="begin"/>
      </w:r>
      <w:r>
        <w:instrText xml:space="preserve"> PAGEREF _Toc256000276 \h </w:instrText>
      </w:r>
      <w:r>
        <w:fldChar w:fldCharType="separate"/>
      </w:r>
      <w:r>
        <w:t>138</w:t>
      </w:r>
      <w:r>
        <w:fldChar w:fldCharType="end"/>
      </w:r>
      <w:r>
        <w:fldChar w:fldCharType="end"/>
      </w:r>
    </w:p>
    <w:p w14:paraId="76992B9E">
      <w:pPr>
        <w:pStyle w:val="9"/>
        <w:tabs>
          <w:tab w:val="right" w:leader="dot" w:pos="8296"/>
        </w:tabs>
        <w:rPr>
          <w:rFonts w:asciiTheme="minorHAnsi" w:hAnsiTheme="minorHAnsi"/>
          <w:sz w:val="22"/>
        </w:rPr>
      </w:pPr>
      <w:r>
        <w:fldChar w:fldCharType="begin"/>
      </w:r>
      <w:r>
        <w:instrText xml:space="preserve"> HYPERLINK \l "_Toc256000277" </w:instrText>
      </w:r>
      <w:r>
        <w:fldChar w:fldCharType="separate"/>
      </w:r>
      <w:r>
        <w:rPr>
          <w:rStyle w:val="21"/>
          <w:b/>
        </w:rPr>
        <w:t>19.2 对承包人索赔的处理</w:t>
      </w:r>
      <w:r>
        <w:tab/>
      </w:r>
      <w:r>
        <w:fldChar w:fldCharType="begin"/>
      </w:r>
      <w:r>
        <w:instrText xml:space="preserve"> PAGEREF _Toc256000277 \h </w:instrText>
      </w:r>
      <w:r>
        <w:fldChar w:fldCharType="separate"/>
      </w:r>
      <w:r>
        <w:t>138</w:t>
      </w:r>
      <w:r>
        <w:fldChar w:fldCharType="end"/>
      </w:r>
      <w:r>
        <w:fldChar w:fldCharType="end"/>
      </w:r>
    </w:p>
    <w:p w14:paraId="37687AA9">
      <w:pPr>
        <w:pStyle w:val="9"/>
        <w:tabs>
          <w:tab w:val="right" w:leader="dot" w:pos="8296"/>
        </w:tabs>
        <w:rPr>
          <w:rFonts w:asciiTheme="minorHAnsi" w:hAnsiTheme="minorHAnsi"/>
          <w:sz w:val="22"/>
        </w:rPr>
      </w:pPr>
      <w:r>
        <w:fldChar w:fldCharType="begin"/>
      </w:r>
      <w:r>
        <w:instrText xml:space="preserve"> HYPERLINK \l "_Toc256000278" </w:instrText>
      </w:r>
      <w:r>
        <w:fldChar w:fldCharType="separate"/>
      </w:r>
      <w:r>
        <w:rPr>
          <w:rStyle w:val="21"/>
          <w:b/>
        </w:rPr>
        <w:t>19.3发包人的索赔</w:t>
      </w:r>
      <w:r>
        <w:tab/>
      </w:r>
      <w:r>
        <w:fldChar w:fldCharType="begin"/>
      </w:r>
      <w:r>
        <w:instrText xml:space="preserve"> PAGEREF _Toc256000278 \h </w:instrText>
      </w:r>
      <w:r>
        <w:fldChar w:fldCharType="separate"/>
      </w:r>
      <w:r>
        <w:t>138</w:t>
      </w:r>
      <w:r>
        <w:fldChar w:fldCharType="end"/>
      </w:r>
      <w:r>
        <w:fldChar w:fldCharType="end"/>
      </w:r>
    </w:p>
    <w:p w14:paraId="1530436A">
      <w:pPr>
        <w:pStyle w:val="9"/>
        <w:tabs>
          <w:tab w:val="right" w:leader="dot" w:pos="8296"/>
        </w:tabs>
        <w:rPr>
          <w:rFonts w:asciiTheme="minorHAnsi" w:hAnsiTheme="minorHAnsi"/>
          <w:sz w:val="22"/>
        </w:rPr>
      </w:pPr>
      <w:r>
        <w:fldChar w:fldCharType="begin"/>
      </w:r>
      <w:r>
        <w:instrText xml:space="preserve"> HYPERLINK \l "_Toc256000279" </w:instrText>
      </w:r>
      <w:r>
        <w:fldChar w:fldCharType="separate"/>
      </w:r>
      <w:r>
        <w:rPr>
          <w:rStyle w:val="21"/>
          <w:b/>
        </w:rPr>
        <w:t>19.4 对发包人索赔的处理</w:t>
      </w:r>
      <w:r>
        <w:tab/>
      </w:r>
      <w:r>
        <w:fldChar w:fldCharType="begin"/>
      </w:r>
      <w:r>
        <w:instrText xml:space="preserve"> PAGEREF _Toc256000279 \h </w:instrText>
      </w:r>
      <w:r>
        <w:fldChar w:fldCharType="separate"/>
      </w:r>
      <w:r>
        <w:t>139</w:t>
      </w:r>
      <w:r>
        <w:fldChar w:fldCharType="end"/>
      </w:r>
      <w:r>
        <w:fldChar w:fldCharType="end"/>
      </w:r>
    </w:p>
    <w:p w14:paraId="4CA1D48C">
      <w:pPr>
        <w:pStyle w:val="9"/>
        <w:tabs>
          <w:tab w:val="right" w:leader="dot" w:pos="8296"/>
        </w:tabs>
        <w:rPr>
          <w:rFonts w:asciiTheme="minorHAnsi" w:hAnsiTheme="minorHAnsi"/>
          <w:sz w:val="22"/>
        </w:rPr>
      </w:pPr>
      <w:r>
        <w:fldChar w:fldCharType="begin"/>
      </w:r>
      <w:r>
        <w:instrText xml:space="preserve"> HYPERLINK \l "_Toc256000280" </w:instrText>
      </w:r>
      <w:r>
        <w:fldChar w:fldCharType="separate"/>
      </w:r>
      <w:r>
        <w:rPr>
          <w:rStyle w:val="21"/>
          <w:b/>
        </w:rPr>
        <w:t>19.5 提出索赔的期限</w:t>
      </w:r>
      <w:r>
        <w:tab/>
      </w:r>
      <w:r>
        <w:fldChar w:fldCharType="begin"/>
      </w:r>
      <w:r>
        <w:instrText xml:space="preserve"> PAGEREF _Toc256000280 \h </w:instrText>
      </w:r>
      <w:r>
        <w:fldChar w:fldCharType="separate"/>
      </w:r>
      <w:r>
        <w:t>139</w:t>
      </w:r>
      <w:r>
        <w:fldChar w:fldCharType="end"/>
      </w:r>
      <w:r>
        <w:fldChar w:fldCharType="end"/>
      </w:r>
    </w:p>
    <w:p w14:paraId="73CB216B">
      <w:pPr>
        <w:pStyle w:val="14"/>
        <w:tabs>
          <w:tab w:val="right" w:leader="dot" w:pos="8296"/>
        </w:tabs>
        <w:rPr>
          <w:rFonts w:asciiTheme="minorHAnsi" w:hAnsiTheme="minorHAnsi"/>
          <w:sz w:val="22"/>
        </w:rPr>
      </w:pPr>
      <w:r>
        <w:fldChar w:fldCharType="begin"/>
      </w:r>
      <w:r>
        <w:instrText xml:space="preserve"> HYPERLINK \l "_Toc256000281" </w:instrText>
      </w:r>
      <w:r>
        <w:fldChar w:fldCharType="separate"/>
      </w:r>
      <w:r>
        <w:rPr>
          <w:rStyle w:val="21"/>
          <w:rFonts w:hint="eastAsia" w:ascii="黑体" w:hAnsi="宋体" w:cs="黑体"/>
          <w:kern w:val="0"/>
          <w:lang w:bidi="ar"/>
        </w:rPr>
        <w:t>20.争议解决</w:t>
      </w:r>
      <w:r>
        <w:tab/>
      </w:r>
      <w:r>
        <w:fldChar w:fldCharType="begin"/>
      </w:r>
      <w:r>
        <w:instrText xml:space="preserve"> PAGEREF _Toc256000281 \h </w:instrText>
      </w:r>
      <w:r>
        <w:fldChar w:fldCharType="separate"/>
      </w:r>
      <w:r>
        <w:t>139</w:t>
      </w:r>
      <w:r>
        <w:fldChar w:fldCharType="end"/>
      </w:r>
      <w:r>
        <w:fldChar w:fldCharType="end"/>
      </w:r>
    </w:p>
    <w:p w14:paraId="091CB840">
      <w:pPr>
        <w:pStyle w:val="9"/>
        <w:tabs>
          <w:tab w:val="right" w:leader="dot" w:pos="8296"/>
        </w:tabs>
        <w:rPr>
          <w:rFonts w:asciiTheme="minorHAnsi" w:hAnsiTheme="minorHAnsi"/>
          <w:sz w:val="22"/>
        </w:rPr>
      </w:pPr>
      <w:r>
        <w:fldChar w:fldCharType="begin"/>
      </w:r>
      <w:r>
        <w:instrText xml:space="preserve"> HYPERLINK \l "_Toc256000282" </w:instrText>
      </w:r>
      <w:r>
        <w:fldChar w:fldCharType="separate"/>
      </w:r>
      <w:r>
        <w:rPr>
          <w:rStyle w:val="21"/>
          <w:b/>
        </w:rPr>
        <w:t>20.1和解</w:t>
      </w:r>
      <w:r>
        <w:tab/>
      </w:r>
      <w:r>
        <w:fldChar w:fldCharType="begin"/>
      </w:r>
      <w:r>
        <w:instrText xml:space="preserve"> PAGEREF _Toc256000282 \h </w:instrText>
      </w:r>
      <w:r>
        <w:fldChar w:fldCharType="separate"/>
      </w:r>
      <w:r>
        <w:t>139</w:t>
      </w:r>
      <w:r>
        <w:fldChar w:fldCharType="end"/>
      </w:r>
      <w:r>
        <w:fldChar w:fldCharType="end"/>
      </w:r>
    </w:p>
    <w:p w14:paraId="6D3B5D43">
      <w:pPr>
        <w:pStyle w:val="9"/>
        <w:tabs>
          <w:tab w:val="right" w:leader="dot" w:pos="8296"/>
        </w:tabs>
        <w:rPr>
          <w:rFonts w:asciiTheme="minorHAnsi" w:hAnsiTheme="minorHAnsi"/>
          <w:sz w:val="22"/>
        </w:rPr>
      </w:pPr>
      <w:r>
        <w:fldChar w:fldCharType="begin"/>
      </w:r>
      <w:r>
        <w:instrText xml:space="preserve"> HYPERLINK \l "_Toc256000283" </w:instrText>
      </w:r>
      <w:r>
        <w:fldChar w:fldCharType="separate"/>
      </w:r>
      <w:r>
        <w:rPr>
          <w:rStyle w:val="21"/>
          <w:b/>
        </w:rPr>
        <w:t>20.2调解</w:t>
      </w:r>
      <w:r>
        <w:tab/>
      </w:r>
      <w:r>
        <w:fldChar w:fldCharType="begin"/>
      </w:r>
      <w:r>
        <w:instrText xml:space="preserve"> PAGEREF _Toc256000283 \h </w:instrText>
      </w:r>
      <w:r>
        <w:fldChar w:fldCharType="separate"/>
      </w:r>
      <w:r>
        <w:t>139</w:t>
      </w:r>
      <w:r>
        <w:fldChar w:fldCharType="end"/>
      </w:r>
      <w:r>
        <w:fldChar w:fldCharType="end"/>
      </w:r>
    </w:p>
    <w:p w14:paraId="2DF36909">
      <w:pPr>
        <w:pStyle w:val="9"/>
        <w:tabs>
          <w:tab w:val="right" w:leader="dot" w:pos="8296"/>
        </w:tabs>
        <w:rPr>
          <w:rFonts w:asciiTheme="minorHAnsi" w:hAnsiTheme="minorHAnsi"/>
          <w:sz w:val="22"/>
        </w:rPr>
      </w:pPr>
      <w:r>
        <w:fldChar w:fldCharType="begin"/>
      </w:r>
      <w:r>
        <w:instrText xml:space="preserve"> HYPERLINK \l "_Toc256000284" </w:instrText>
      </w:r>
      <w:r>
        <w:fldChar w:fldCharType="separate"/>
      </w:r>
      <w:r>
        <w:rPr>
          <w:rStyle w:val="21"/>
          <w:b/>
        </w:rPr>
        <w:t>20.3争议评审</w:t>
      </w:r>
      <w:r>
        <w:tab/>
      </w:r>
      <w:r>
        <w:fldChar w:fldCharType="begin"/>
      </w:r>
      <w:r>
        <w:instrText xml:space="preserve"> PAGEREF _Toc256000284 \h </w:instrText>
      </w:r>
      <w:r>
        <w:fldChar w:fldCharType="separate"/>
      </w:r>
      <w:r>
        <w:t>139</w:t>
      </w:r>
      <w:r>
        <w:fldChar w:fldCharType="end"/>
      </w:r>
      <w:r>
        <w:fldChar w:fldCharType="end"/>
      </w:r>
    </w:p>
    <w:p w14:paraId="054DEABE">
      <w:pPr>
        <w:pStyle w:val="9"/>
        <w:tabs>
          <w:tab w:val="right" w:leader="dot" w:pos="8296"/>
        </w:tabs>
        <w:rPr>
          <w:rFonts w:asciiTheme="minorHAnsi" w:hAnsiTheme="minorHAnsi"/>
          <w:sz w:val="22"/>
        </w:rPr>
      </w:pPr>
      <w:r>
        <w:fldChar w:fldCharType="begin"/>
      </w:r>
      <w:r>
        <w:instrText xml:space="preserve"> HYPERLINK \l "_Toc256000285" </w:instrText>
      </w:r>
      <w:r>
        <w:fldChar w:fldCharType="separate"/>
      </w:r>
      <w:r>
        <w:rPr>
          <w:rStyle w:val="21"/>
          <w:b/>
        </w:rPr>
        <w:t>20.4仲裁或诉讼</w:t>
      </w:r>
      <w:r>
        <w:tab/>
      </w:r>
      <w:r>
        <w:fldChar w:fldCharType="begin"/>
      </w:r>
      <w:r>
        <w:instrText xml:space="preserve"> PAGEREF _Toc256000285 \h </w:instrText>
      </w:r>
      <w:r>
        <w:fldChar w:fldCharType="separate"/>
      </w:r>
      <w:r>
        <w:t>140</w:t>
      </w:r>
      <w:r>
        <w:fldChar w:fldCharType="end"/>
      </w:r>
      <w:r>
        <w:fldChar w:fldCharType="end"/>
      </w:r>
    </w:p>
    <w:p w14:paraId="1A72392F">
      <w:pPr>
        <w:pStyle w:val="9"/>
        <w:tabs>
          <w:tab w:val="right" w:leader="dot" w:pos="8296"/>
        </w:tabs>
        <w:rPr>
          <w:rFonts w:asciiTheme="minorHAnsi" w:hAnsiTheme="minorHAnsi"/>
          <w:sz w:val="22"/>
        </w:rPr>
      </w:pPr>
      <w:r>
        <w:fldChar w:fldCharType="begin"/>
      </w:r>
      <w:r>
        <w:instrText xml:space="preserve"> HYPERLINK \l "_Toc256000286" </w:instrText>
      </w:r>
      <w:r>
        <w:fldChar w:fldCharType="separate"/>
      </w:r>
      <w:r>
        <w:rPr>
          <w:rStyle w:val="21"/>
          <w:b/>
        </w:rPr>
        <w:t>20.5争议解决条款效力</w:t>
      </w:r>
      <w:r>
        <w:tab/>
      </w:r>
      <w:r>
        <w:fldChar w:fldCharType="begin"/>
      </w:r>
      <w:r>
        <w:instrText xml:space="preserve"> PAGEREF _Toc256000286 \h </w:instrText>
      </w:r>
      <w:r>
        <w:fldChar w:fldCharType="separate"/>
      </w:r>
      <w:r>
        <w:t>140</w:t>
      </w:r>
      <w:r>
        <w:fldChar w:fldCharType="end"/>
      </w:r>
      <w:r>
        <w:fldChar w:fldCharType="end"/>
      </w:r>
    </w:p>
    <w:p w14:paraId="2ABB28A2">
      <w:pPr>
        <w:pStyle w:val="14"/>
        <w:tabs>
          <w:tab w:val="right" w:leader="dot" w:pos="8296"/>
        </w:tabs>
        <w:rPr>
          <w:rFonts w:asciiTheme="minorHAnsi" w:hAnsiTheme="minorHAnsi"/>
          <w:sz w:val="22"/>
        </w:rPr>
      </w:pPr>
      <w:r>
        <w:fldChar w:fldCharType="begin"/>
      </w:r>
      <w:r>
        <w:instrText xml:space="preserve"> HYPERLINK \l "_Toc256000287" </w:instrText>
      </w:r>
      <w:r>
        <w:fldChar w:fldCharType="separate"/>
      </w:r>
      <w:r>
        <w:rPr>
          <w:rStyle w:val="21"/>
        </w:rPr>
        <w:t xml:space="preserve">第三部分 </w:t>
      </w:r>
      <w:r>
        <w:rPr>
          <w:rStyle w:val="21"/>
          <w:rFonts w:hint="eastAsia"/>
        </w:rPr>
        <w:t>专用合同条款</w:t>
      </w:r>
      <w:r>
        <w:tab/>
      </w:r>
      <w:r>
        <w:fldChar w:fldCharType="begin"/>
      </w:r>
      <w:r>
        <w:instrText xml:space="preserve"> PAGEREF _Toc256000287 \h </w:instrText>
      </w:r>
      <w:r>
        <w:fldChar w:fldCharType="separate"/>
      </w:r>
      <w:r>
        <w:t>141</w:t>
      </w:r>
      <w:r>
        <w:fldChar w:fldCharType="end"/>
      </w:r>
      <w:r>
        <w:fldChar w:fldCharType="end"/>
      </w:r>
    </w:p>
    <w:p w14:paraId="44CE4657">
      <w:pPr>
        <w:pStyle w:val="14"/>
        <w:tabs>
          <w:tab w:val="right" w:leader="dot" w:pos="8296"/>
        </w:tabs>
        <w:rPr>
          <w:rFonts w:asciiTheme="minorHAnsi" w:hAnsiTheme="minorHAnsi"/>
          <w:sz w:val="22"/>
        </w:rPr>
      </w:pPr>
      <w:r>
        <w:fldChar w:fldCharType="begin"/>
      </w:r>
      <w:r>
        <w:instrText xml:space="preserve"> HYPERLINK \l "_Toc256000288" </w:instrText>
      </w:r>
      <w:r>
        <w:fldChar w:fldCharType="separate"/>
      </w:r>
      <w:r>
        <w:rPr>
          <w:rStyle w:val="21"/>
          <w:b/>
        </w:rPr>
        <w:t>1. 一般约定</w:t>
      </w:r>
      <w:r>
        <w:tab/>
      </w:r>
      <w:r>
        <w:fldChar w:fldCharType="begin"/>
      </w:r>
      <w:r>
        <w:instrText xml:space="preserve"> PAGEREF _Toc256000288 \h </w:instrText>
      </w:r>
      <w:r>
        <w:fldChar w:fldCharType="separate"/>
      </w:r>
      <w:r>
        <w:t>142</w:t>
      </w:r>
      <w:r>
        <w:fldChar w:fldCharType="end"/>
      </w:r>
      <w:r>
        <w:fldChar w:fldCharType="end"/>
      </w:r>
    </w:p>
    <w:p w14:paraId="1BE860F0">
      <w:pPr>
        <w:pStyle w:val="9"/>
        <w:tabs>
          <w:tab w:val="right" w:leader="dot" w:pos="8296"/>
        </w:tabs>
        <w:rPr>
          <w:rFonts w:asciiTheme="minorHAnsi" w:hAnsiTheme="minorHAnsi"/>
          <w:sz w:val="22"/>
        </w:rPr>
      </w:pPr>
      <w:r>
        <w:fldChar w:fldCharType="begin"/>
      </w:r>
      <w:r>
        <w:instrText xml:space="preserve"> HYPERLINK \l "_Toc256000289" </w:instrText>
      </w:r>
      <w:r>
        <w:fldChar w:fldCharType="separate"/>
      </w:r>
      <w:r>
        <w:rPr>
          <w:rStyle w:val="21"/>
          <w:b/>
        </w:rPr>
        <w:t>1.1 词语定义</w:t>
      </w:r>
      <w:r>
        <w:tab/>
      </w:r>
      <w:r>
        <w:fldChar w:fldCharType="begin"/>
      </w:r>
      <w:r>
        <w:instrText xml:space="preserve"> PAGEREF _Toc256000289 \h </w:instrText>
      </w:r>
      <w:r>
        <w:fldChar w:fldCharType="separate"/>
      </w:r>
      <w:r>
        <w:t>142</w:t>
      </w:r>
      <w:r>
        <w:fldChar w:fldCharType="end"/>
      </w:r>
      <w:r>
        <w:fldChar w:fldCharType="end"/>
      </w:r>
    </w:p>
    <w:p w14:paraId="49793A29">
      <w:pPr>
        <w:pStyle w:val="9"/>
        <w:tabs>
          <w:tab w:val="right" w:leader="dot" w:pos="8296"/>
        </w:tabs>
        <w:rPr>
          <w:rFonts w:asciiTheme="minorHAnsi" w:hAnsiTheme="minorHAnsi"/>
          <w:sz w:val="22"/>
        </w:rPr>
      </w:pPr>
      <w:r>
        <w:fldChar w:fldCharType="begin"/>
      </w:r>
      <w:r>
        <w:instrText xml:space="preserve"> HYPERLINK \l "_Toc256000290" </w:instrText>
      </w:r>
      <w:r>
        <w:fldChar w:fldCharType="separate"/>
      </w:r>
      <w:r>
        <w:rPr>
          <w:rStyle w:val="21"/>
          <w:b/>
        </w:rPr>
        <w:t>1.3法律</w:t>
      </w:r>
      <w:r>
        <w:tab/>
      </w:r>
      <w:r>
        <w:fldChar w:fldCharType="begin"/>
      </w:r>
      <w:r>
        <w:instrText xml:space="preserve"> PAGEREF _Toc256000290 \h </w:instrText>
      </w:r>
      <w:r>
        <w:fldChar w:fldCharType="separate"/>
      </w:r>
      <w:r>
        <w:t>142</w:t>
      </w:r>
      <w:r>
        <w:fldChar w:fldCharType="end"/>
      </w:r>
      <w:r>
        <w:fldChar w:fldCharType="end"/>
      </w:r>
    </w:p>
    <w:p w14:paraId="5E4FFBCC">
      <w:pPr>
        <w:pStyle w:val="9"/>
        <w:tabs>
          <w:tab w:val="right" w:leader="dot" w:pos="8296"/>
        </w:tabs>
        <w:rPr>
          <w:rFonts w:asciiTheme="minorHAnsi" w:hAnsiTheme="minorHAnsi"/>
          <w:sz w:val="22"/>
        </w:rPr>
      </w:pPr>
      <w:r>
        <w:fldChar w:fldCharType="begin"/>
      </w:r>
      <w:r>
        <w:instrText xml:space="preserve"> HYPERLINK \l "_Toc256000291" </w:instrText>
      </w:r>
      <w:r>
        <w:fldChar w:fldCharType="separate"/>
      </w:r>
      <w:r>
        <w:rPr>
          <w:rStyle w:val="21"/>
          <w:b/>
        </w:rPr>
        <w:t>1.4 标准和规范</w:t>
      </w:r>
      <w:r>
        <w:tab/>
      </w:r>
      <w:r>
        <w:fldChar w:fldCharType="begin"/>
      </w:r>
      <w:r>
        <w:instrText xml:space="preserve"> PAGEREF _Toc256000291 \h </w:instrText>
      </w:r>
      <w:r>
        <w:fldChar w:fldCharType="separate"/>
      </w:r>
      <w:r>
        <w:t>142</w:t>
      </w:r>
      <w:r>
        <w:fldChar w:fldCharType="end"/>
      </w:r>
      <w:r>
        <w:fldChar w:fldCharType="end"/>
      </w:r>
    </w:p>
    <w:p w14:paraId="562010AB">
      <w:pPr>
        <w:pStyle w:val="9"/>
        <w:tabs>
          <w:tab w:val="right" w:leader="dot" w:pos="8296"/>
        </w:tabs>
        <w:rPr>
          <w:rFonts w:asciiTheme="minorHAnsi" w:hAnsiTheme="minorHAnsi"/>
          <w:sz w:val="22"/>
        </w:rPr>
      </w:pPr>
      <w:r>
        <w:fldChar w:fldCharType="begin"/>
      </w:r>
      <w:r>
        <w:instrText xml:space="preserve"> HYPERLINK \l "_Toc256000292" </w:instrText>
      </w:r>
      <w:r>
        <w:fldChar w:fldCharType="separate"/>
      </w:r>
      <w:r>
        <w:rPr>
          <w:rStyle w:val="21"/>
          <w:b/>
        </w:rPr>
        <w:t>1.5 合同文件的优先顺序</w:t>
      </w:r>
      <w:r>
        <w:tab/>
      </w:r>
      <w:r>
        <w:fldChar w:fldCharType="begin"/>
      </w:r>
      <w:r>
        <w:instrText xml:space="preserve"> PAGEREF _Toc256000292 \h </w:instrText>
      </w:r>
      <w:r>
        <w:fldChar w:fldCharType="separate"/>
      </w:r>
      <w:r>
        <w:t>143</w:t>
      </w:r>
      <w:r>
        <w:fldChar w:fldCharType="end"/>
      </w:r>
      <w:r>
        <w:fldChar w:fldCharType="end"/>
      </w:r>
    </w:p>
    <w:p w14:paraId="5BCD98EB">
      <w:pPr>
        <w:pStyle w:val="9"/>
        <w:tabs>
          <w:tab w:val="right" w:leader="dot" w:pos="8296"/>
        </w:tabs>
        <w:rPr>
          <w:rFonts w:asciiTheme="minorHAnsi" w:hAnsiTheme="minorHAnsi"/>
          <w:sz w:val="22"/>
        </w:rPr>
      </w:pPr>
      <w:r>
        <w:fldChar w:fldCharType="begin"/>
      </w:r>
      <w:r>
        <w:instrText xml:space="preserve"> HYPERLINK \l "_Toc256000293" </w:instrText>
      </w:r>
      <w:r>
        <w:fldChar w:fldCharType="separate"/>
      </w:r>
      <w:r>
        <w:rPr>
          <w:rStyle w:val="21"/>
          <w:b/>
        </w:rPr>
        <w:t>1.6 图纸和承包人文件</w:t>
      </w:r>
      <w:r>
        <w:tab/>
      </w:r>
      <w:r>
        <w:fldChar w:fldCharType="begin"/>
      </w:r>
      <w:r>
        <w:instrText xml:space="preserve"> PAGEREF _Toc256000293 \h </w:instrText>
      </w:r>
      <w:r>
        <w:fldChar w:fldCharType="separate"/>
      </w:r>
      <w:r>
        <w:t>143</w:t>
      </w:r>
      <w:r>
        <w:fldChar w:fldCharType="end"/>
      </w:r>
      <w:r>
        <w:fldChar w:fldCharType="end"/>
      </w:r>
    </w:p>
    <w:p w14:paraId="6AEB2922">
      <w:pPr>
        <w:pStyle w:val="9"/>
        <w:tabs>
          <w:tab w:val="right" w:leader="dot" w:pos="8296"/>
        </w:tabs>
        <w:rPr>
          <w:rFonts w:asciiTheme="minorHAnsi" w:hAnsiTheme="minorHAnsi"/>
          <w:sz w:val="22"/>
        </w:rPr>
      </w:pPr>
      <w:r>
        <w:fldChar w:fldCharType="begin"/>
      </w:r>
      <w:r>
        <w:instrText xml:space="preserve"> HYPERLINK \l "_Toc256000294" </w:instrText>
      </w:r>
      <w:r>
        <w:fldChar w:fldCharType="separate"/>
      </w:r>
      <w:r>
        <w:rPr>
          <w:rStyle w:val="21"/>
          <w:b/>
        </w:rPr>
        <w:t>1.7 联络</w:t>
      </w:r>
      <w:r>
        <w:tab/>
      </w:r>
      <w:r>
        <w:fldChar w:fldCharType="begin"/>
      </w:r>
      <w:r>
        <w:instrText xml:space="preserve"> PAGEREF _Toc256000294 \h </w:instrText>
      </w:r>
      <w:r>
        <w:fldChar w:fldCharType="separate"/>
      </w:r>
      <w:r>
        <w:t>143</w:t>
      </w:r>
      <w:r>
        <w:fldChar w:fldCharType="end"/>
      </w:r>
      <w:r>
        <w:fldChar w:fldCharType="end"/>
      </w:r>
    </w:p>
    <w:p w14:paraId="3073A76D">
      <w:pPr>
        <w:pStyle w:val="9"/>
        <w:tabs>
          <w:tab w:val="right" w:leader="dot" w:pos="8296"/>
        </w:tabs>
        <w:rPr>
          <w:rFonts w:asciiTheme="minorHAnsi" w:hAnsiTheme="minorHAnsi"/>
          <w:sz w:val="22"/>
        </w:rPr>
      </w:pPr>
      <w:r>
        <w:fldChar w:fldCharType="begin"/>
      </w:r>
      <w:r>
        <w:instrText xml:space="preserve"> HYPERLINK \l "_Toc256000295" </w:instrText>
      </w:r>
      <w:r>
        <w:fldChar w:fldCharType="separate"/>
      </w:r>
      <w:r>
        <w:rPr>
          <w:rStyle w:val="21"/>
          <w:b/>
        </w:rPr>
        <w:t>1.10 交通运输</w:t>
      </w:r>
      <w:r>
        <w:tab/>
      </w:r>
      <w:r>
        <w:fldChar w:fldCharType="begin"/>
      </w:r>
      <w:r>
        <w:instrText xml:space="preserve"> PAGEREF _Toc256000295 \h </w:instrText>
      </w:r>
      <w:r>
        <w:fldChar w:fldCharType="separate"/>
      </w:r>
      <w:r>
        <w:t>143</w:t>
      </w:r>
      <w:r>
        <w:fldChar w:fldCharType="end"/>
      </w:r>
      <w:r>
        <w:fldChar w:fldCharType="end"/>
      </w:r>
    </w:p>
    <w:p w14:paraId="65FDDDD2">
      <w:pPr>
        <w:pStyle w:val="9"/>
        <w:tabs>
          <w:tab w:val="right" w:leader="dot" w:pos="8296"/>
        </w:tabs>
        <w:rPr>
          <w:rFonts w:asciiTheme="minorHAnsi" w:hAnsiTheme="minorHAnsi"/>
          <w:sz w:val="22"/>
        </w:rPr>
      </w:pPr>
      <w:r>
        <w:fldChar w:fldCharType="begin"/>
      </w:r>
      <w:r>
        <w:instrText xml:space="preserve"> HYPERLINK \l "_Toc256000296" </w:instrText>
      </w:r>
      <w:r>
        <w:fldChar w:fldCharType="separate"/>
      </w:r>
      <w:r>
        <w:rPr>
          <w:rStyle w:val="21"/>
          <w:b/>
        </w:rPr>
        <w:t>1.11 知识产权</w:t>
      </w:r>
      <w:r>
        <w:tab/>
      </w:r>
      <w:r>
        <w:fldChar w:fldCharType="begin"/>
      </w:r>
      <w:r>
        <w:instrText xml:space="preserve"> PAGEREF _Toc256000296 \h </w:instrText>
      </w:r>
      <w:r>
        <w:fldChar w:fldCharType="separate"/>
      </w:r>
      <w:r>
        <w:t>144</w:t>
      </w:r>
      <w:r>
        <w:fldChar w:fldCharType="end"/>
      </w:r>
      <w:r>
        <w:fldChar w:fldCharType="end"/>
      </w:r>
    </w:p>
    <w:p w14:paraId="7A1BCA4E">
      <w:pPr>
        <w:pStyle w:val="9"/>
        <w:tabs>
          <w:tab w:val="right" w:leader="dot" w:pos="8296"/>
        </w:tabs>
        <w:rPr>
          <w:rFonts w:asciiTheme="minorHAnsi" w:hAnsiTheme="minorHAnsi"/>
          <w:sz w:val="22"/>
        </w:rPr>
      </w:pPr>
      <w:r>
        <w:fldChar w:fldCharType="begin"/>
      </w:r>
      <w:r>
        <w:instrText xml:space="preserve"> HYPERLINK \l "_Toc256000297" </w:instrText>
      </w:r>
      <w:r>
        <w:fldChar w:fldCharType="separate"/>
      </w:r>
      <w:r>
        <w:rPr>
          <w:rStyle w:val="21"/>
          <w:b/>
        </w:rPr>
        <w:t>1.13工程量清单错误的修正</w:t>
      </w:r>
      <w:r>
        <w:tab/>
      </w:r>
      <w:r>
        <w:fldChar w:fldCharType="begin"/>
      </w:r>
      <w:r>
        <w:instrText xml:space="preserve"> PAGEREF _Toc256000297 \h </w:instrText>
      </w:r>
      <w:r>
        <w:fldChar w:fldCharType="separate"/>
      </w:r>
      <w:r>
        <w:t>144</w:t>
      </w:r>
      <w:r>
        <w:fldChar w:fldCharType="end"/>
      </w:r>
      <w:r>
        <w:fldChar w:fldCharType="end"/>
      </w:r>
    </w:p>
    <w:p w14:paraId="1EA7590E">
      <w:pPr>
        <w:pStyle w:val="14"/>
        <w:tabs>
          <w:tab w:val="right" w:leader="dot" w:pos="8296"/>
        </w:tabs>
        <w:rPr>
          <w:rFonts w:asciiTheme="minorHAnsi" w:hAnsiTheme="minorHAnsi"/>
          <w:sz w:val="22"/>
        </w:rPr>
      </w:pPr>
      <w:r>
        <w:fldChar w:fldCharType="begin"/>
      </w:r>
      <w:r>
        <w:instrText xml:space="preserve"> HYPERLINK \l "_Toc256000298" </w:instrText>
      </w:r>
      <w:r>
        <w:fldChar w:fldCharType="separate"/>
      </w:r>
      <w:r>
        <w:rPr>
          <w:rStyle w:val="21"/>
          <w:b/>
        </w:rPr>
        <w:t>2. 发包人</w:t>
      </w:r>
      <w:r>
        <w:tab/>
      </w:r>
      <w:r>
        <w:fldChar w:fldCharType="begin"/>
      </w:r>
      <w:r>
        <w:instrText xml:space="preserve"> PAGEREF _Toc256000298 \h </w:instrText>
      </w:r>
      <w:r>
        <w:fldChar w:fldCharType="separate"/>
      </w:r>
      <w:r>
        <w:t>144</w:t>
      </w:r>
      <w:r>
        <w:fldChar w:fldCharType="end"/>
      </w:r>
      <w:r>
        <w:fldChar w:fldCharType="end"/>
      </w:r>
    </w:p>
    <w:p w14:paraId="5750A366">
      <w:pPr>
        <w:pStyle w:val="9"/>
        <w:tabs>
          <w:tab w:val="right" w:leader="dot" w:pos="8296"/>
        </w:tabs>
        <w:rPr>
          <w:rFonts w:asciiTheme="minorHAnsi" w:hAnsiTheme="minorHAnsi"/>
          <w:sz w:val="22"/>
        </w:rPr>
      </w:pPr>
      <w:r>
        <w:fldChar w:fldCharType="begin"/>
      </w:r>
      <w:r>
        <w:instrText xml:space="preserve"> HYPERLINK \l "_Toc256000299" </w:instrText>
      </w:r>
      <w:r>
        <w:fldChar w:fldCharType="separate"/>
      </w:r>
      <w:r>
        <w:rPr>
          <w:rStyle w:val="21"/>
          <w:b/>
        </w:rPr>
        <w:t>2.2 发包人代表</w:t>
      </w:r>
      <w:r>
        <w:tab/>
      </w:r>
      <w:r>
        <w:fldChar w:fldCharType="begin"/>
      </w:r>
      <w:r>
        <w:instrText xml:space="preserve"> PAGEREF _Toc256000299 \h </w:instrText>
      </w:r>
      <w:r>
        <w:fldChar w:fldCharType="separate"/>
      </w:r>
      <w:r>
        <w:t>144</w:t>
      </w:r>
      <w:r>
        <w:fldChar w:fldCharType="end"/>
      </w:r>
      <w:r>
        <w:fldChar w:fldCharType="end"/>
      </w:r>
    </w:p>
    <w:p w14:paraId="428EC949">
      <w:pPr>
        <w:pStyle w:val="9"/>
        <w:tabs>
          <w:tab w:val="right" w:leader="dot" w:pos="8296"/>
        </w:tabs>
        <w:rPr>
          <w:rFonts w:asciiTheme="minorHAnsi" w:hAnsiTheme="minorHAnsi"/>
          <w:sz w:val="22"/>
        </w:rPr>
      </w:pPr>
      <w:r>
        <w:fldChar w:fldCharType="begin"/>
      </w:r>
      <w:r>
        <w:instrText xml:space="preserve"> HYPERLINK \l "_Toc256000300" </w:instrText>
      </w:r>
      <w:r>
        <w:fldChar w:fldCharType="separate"/>
      </w:r>
      <w:r>
        <w:rPr>
          <w:rStyle w:val="21"/>
          <w:b/>
        </w:rPr>
        <w:t>2.4 施工现场、施工条件和基础资料的提供</w:t>
      </w:r>
      <w:r>
        <w:tab/>
      </w:r>
      <w:r>
        <w:fldChar w:fldCharType="begin"/>
      </w:r>
      <w:r>
        <w:instrText xml:space="preserve"> PAGEREF _Toc256000300 \h </w:instrText>
      </w:r>
      <w:r>
        <w:fldChar w:fldCharType="separate"/>
      </w:r>
      <w:r>
        <w:t>145</w:t>
      </w:r>
      <w:r>
        <w:fldChar w:fldCharType="end"/>
      </w:r>
      <w:r>
        <w:fldChar w:fldCharType="end"/>
      </w:r>
    </w:p>
    <w:p w14:paraId="011606A6">
      <w:pPr>
        <w:pStyle w:val="9"/>
        <w:tabs>
          <w:tab w:val="right" w:leader="dot" w:pos="8296"/>
        </w:tabs>
        <w:rPr>
          <w:rFonts w:asciiTheme="minorHAnsi" w:hAnsiTheme="minorHAnsi"/>
          <w:sz w:val="22"/>
        </w:rPr>
      </w:pPr>
      <w:r>
        <w:fldChar w:fldCharType="begin"/>
      </w:r>
      <w:r>
        <w:instrText xml:space="preserve"> HYPERLINK \l "_Toc256000301" </w:instrText>
      </w:r>
      <w:r>
        <w:fldChar w:fldCharType="separate"/>
      </w:r>
      <w:r>
        <w:rPr>
          <w:rStyle w:val="21"/>
          <w:b/>
        </w:rPr>
        <w:t>2.5 资金来源证明及支付担保</w:t>
      </w:r>
      <w:r>
        <w:tab/>
      </w:r>
      <w:r>
        <w:fldChar w:fldCharType="begin"/>
      </w:r>
      <w:r>
        <w:instrText xml:space="preserve"> PAGEREF _Toc256000301 \h </w:instrText>
      </w:r>
      <w:r>
        <w:fldChar w:fldCharType="separate"/>
      </w:r>
      <w:r>
        <w:t>145</w:t>
      </w:r>
      <w:r>
        <w:fldChar w:fldCharType="end"/>
      </w:r>
      <w:r>
        <w:fldChar w:fldCharType="end"/>
      </w:r>
    </w:p>
    <w:p w14:paraId="5317E3C0">
      <w:pPr>
        <w:pStyle w:val="14"/>
        <w:tabs>
          <w:tab w:val="right" w:leader="dot" w:pos="8296"/>
        </w:tabs>
        <w:rPr>
          <w:rFonts w:asciiTheme="minorHAnsi" w:hAnsiTheme="minorHAnsi"/>
          <w:sz w:val="22"/>
        </w:rPr>
      </w:pPr>
      <w:r>
        <w:fldChar w:fldCharType="begin"/>
      </w:r>
      <w:r>
        <w:instrText xml:space="preserve"> HYPERLINK \l "_Toc256000302" </w:instrText>
      </w:r>
      <w:r>
        <w:fldChar w:fldCharType="separate"/>
      </w:r>
      <w:r>
        <w:rPr>
          <w:rStyle w:val="21"/>
          <w:b/>
        </w:rPr>
        <w:t>3. 承包人</w:t>
      </w:r>
      <w:r>
        <w:tab/>
      </w:r>
      <w:r>
        <w:fldChar w:fldCharType="begin"/>
      </w:r>
      <w:r>
        <w:instrText xml:space="preserve"> PAGEREF _Toc256000302 \h </w:instrText>
      </w:r>
      <w:r>
        <w:fldChar w:fldCharType="separate"/>
      </w:r>
      <w:r>
        <w:t>145</w:t>
      </w:r>
      <w:r>
        <w:fldChar w:fldCharType="end"/>
      </w:r>
      <w:r>
        <w:fldChar w:fldCharType="end"/>
      </w:r>
    </w:p>
    <w:p w14:paraId="5B72FA8E">
      <w:pPr>
        <w:pStyle w:val="9"/>
        <w:tabs>
          <w:tab w:val="right" w:leader="dot" w:pos="8296"/>
        </w:tabs>
        <w:rPr>
          <w:rFonts w:asciiTheme="minorHAnsi" w:hAnsiTheme="minorHAnsi"/>
          <w:sz w:val="22"/>
        </w:rPr>
      </w:pPr>
      <w:r>
        <w:fldChar w:fldCharType="begin"/>
      </w:r>
      <w:r>
        <w:instrText xml:space="preserve"> HYPERLINK \l "_Toc256000303" </w:instrText>
      </w:r>
      <w:r>
        <w:fldChar w:fldCharType="separate"/>
      </w:r>
      <w:r>
        <w:rPr>
          <w:rStyle w:val="21"/>
          <w:b/>
        </w:rPr>
        <w:t>3.1 承包人的一般义务</w:t>
      </w:r>
      <w:r>
        <w:tab/>
      </w:r>
      <w:r>
        <w:fldChar w:fldCharType="begin"/>
      </w:r>
      <w:r>
        <w:instrText xml:space="preserve"> PAGEREF _Toc256000303 \h </w:instrText>
      </w:r>
      <w:r>
        <w:fldChar w:fldCharType="separate"/>
      </w:r>
      <w:r>
        <w:t>145</w:t>
      </w:r>
      <w:r>
        <w:fldChar w:fldCharType="end"/>
      </w:r>
      <w:r>
        <w:fldChar w:fldCharType="end"/>
      </w:r>
    </w:p>
    <w:p w14:paraId="29EC8074">
      <w:pPr>
        <w:pStyle w:val="9"/>
        <w:tabs>
          <w:tab w:val="right" w:leader="dot" w:pos="8296"/>
        </w:tabs>
        <w:rPr>
          <w:rFonts w:asciiTheme="minorHAnsi" w:hAnsiTheme="minorHAnsi"/>
          <w:sz w:val="22"/>
        </w:rPr>
      </w:pPr>
      <w:r>
        <w:fldChar w:fldCharType="begin"/>
      </w:r>
      <w:r>
        <w:instrText xml:space="preserve"> HYPERLINK \l "_Toc256000304" </w:instrText>
      </w:r>
      <w:r>
        <w:fldChar w:fldCharType="separate"/>
      </w:r>
      <w:r>
        <w:rPr>
          <w:rStyle w:val="21"/>
          <w:b/>
        </w:rPr>
        <w:t>3.2 项目经理</w:t>
      </w:r>
      <w:r>
        <w:tab/>
      </w:r>
      <w:r>
        <w:fldChar w:fldCharType="begin"/>
      </w:r>
      <w:r>
        <w:instrText xml:space="preserve"> PAGEREF _Toc256000304 \h </w:instrText>
      </w:r>
      <w:r>
        <w:fldChar w:fldCharType="separate"/>
      </w:r>
      <w:r>
        <w:t>145</w:t>
      </w:r>
      <w:r>
        <w:fldChar w:fldCharType="end"/>
      </w:r>
      <w:r>
        <w:fldChar w:fldCharType="end"/>
      </w:r>
    </w:p>
    <w:p w14:paraId="590016B7">
      <w:pPr>
        <w:pStyle w:val="9"/>
        <w:tabs>
          <w:tab w:val="right" w:leader="dot" w:pos="8296"/>
        </w:tabs>
        <w:rPr>
          <w:rFonts w:asciiTheme="minorHAnsi" w:hAnsiTheme="minorHAnsi"/>
          <w:sz w:val="22"/>
        </w:rPr>
      </w:pPr>
      <w:r>
        <w:fldChar w:fldCharType="begin"/>
      </w:r>
      <w:r>
        <w:instrText xml:space="preserve"> HYPERLINK \l "_Toc256000305" </w:instrText>
      </w:r>
      <w:r>
        <w:fldChar w:fldCharType="separate"/>
      </w:r>
      <w:r>
        <w:rPr>
          <w:rStyle w:val="21"/>
          <w:b/>
        </w:rPr>
        <w:t>3.3 承包人人员</w:t>
      </w:r>
      <w:r>
        <w:tab/>
      </w:r>
      <w:r>
        <w:fldChar w:fldCharType="begin"/>
      </w:r>
      <w:r>
        <w:instrText xml:space="preserve"> PAGEREF _Toc256000305 \h </w:instrText>
      </w:r>
      <w:r>
        <w:fldChar w:fldCharType="separate"/>
      </w:r>
      <w:r>
        <w:t>146</w:t>
      </w:r>
      <w:r>
        <w:fldChar w:fldCharType="end"/>
      </w:r>
      <w:r>
        <w:fldChar w:fldCharType="end"/>
      </w:r>
    </w:p>
    <w:p w14:paraId="3A70F1EF">
      <w:pPr>
        <w:pStyle w:val="9"/>
        <w:tabs>
          <w:tab w:val="right" w:leader="dot" w:pos="8296"/>
        </w:tabs>
        <w:rPr>
          <w:rFonts w:asciiTheme="minorHAnsi" w:hAnsiTheme="minorHAnsi"/>
          <w:sz w:val="22"/>
        </w:rPr>
      </w:pPr>
      <w:r>
        <w:fldChar w:fldCharType="begin"/>
      </w:r>
      <w:r>
        <w:instrText xml:space="preserve"> HYPERLINK \l "_Toc256000306" </w:instrText>
      </w:r>
      <w:r>
        <w:fldChar w:fldCharType="separate"/>
      </w:r>
      <w:r>
        <w:rPr>
          <w:rStyle w:val="21"/>
          <w:b/>
        </w:rPr>
        <w:t>3.5 分包</w:t>
      </w:r>
      <w:r>
        <w:tab/>
      </w:r>
      <w:r>
        <w:fldChar w:fldCharType="begin"/>
      </w:r>
      <w:r>
        <w:instrText xml:space="preserve"> PAGEREF _Toc256000306 \h </w:instrText>
      </w:r>
      <w:r>
        <w:fldChar w:fldCharType="separate"/>
      </w:r>
      <w:r>
        <w:t>147</w:t>
      </w:r>
      <w:r>
        <w:fldChar w:fldCharType="end"/>
      </w:r>
      <w:r>
        <w:fldChar w:fldCharType="end"/>
      </w:r>
    </w:p>
    <w:p w14:paraId="303532DE">
      <w:pPr>
        <w:pStyle w:val="9"/>
        <w:tabs>
          <w:tab w:val="right" w:leader="dot" w:pos="8296"/>
        </w:tabs>
        <w:rPr>
          <w:rFonts w:asciiTheme="minorHAnsi" w:hAnsiTheme="minorHAnsi"/>
          <w:sz w:val="22"/>
        </w:rPr>
      </w:pPr>
      <w:r>
        <w:fldChar w:fldCharType="begin"/>
      </w:r>
      <w:r>
        <w:instrText xml:space="preserve"> HYPERLINK \l "_Toc256000307" </w:instrText>
      </w:r>
      <w:r>
        <w:fldChar w:fldCharType="separate"/>
      </w:r>
      <w:r>
        <w:rPr>
          <w:rStyle w:val="21"/>
          <w:b/>
        </w:rPr>
        <w:t>3.6 工程照管与成品、半成品保护</w:t>
      </w:r>
      <w:r>
        <w:tab/>
      </w:r>
      <w:r>
        <w:fldChar w:fldCharType="begin"/>
      </w:r>
      <w:r>
        <w:instrText xml:space="preserve"> PAGEREF _Toc256000307 \h </w:instrText>
      </w:r>
      <w:r>
        <w:fldChar w:fldCharType="separate"/>
      </w:r>
      <w:r>
        <w:t>147</w:t>
      </w:r>
      <w:r>
        <w:fldChar w:fldCharType="end"/>
      </w:r>
      <w:r>
        <w:fldChar w:fldCharType="end"/>
      </w:r>
    </w:p>
    <w:p w14:paraId="153F82E0">
      <w:pPr>
        <w:pStyle w:val="9"/>
        <w:tabs>
          <w:tab w:val="right" w:leader="dot" w:pos="8296"/>
        </w:tabs>
        <w:rPr>
          <w:rFonts w:asciiTheme="minorHAnsi" w:hAnsiTheme="minorHAnsi"/>
          <w:sz w:val="22"/>
        </w:rPr>
      </w:pPr>
      <w:r>
        <w:fldChar w:fldCharType="begin"/>
      </w:r>
      <w:r>
        <w:instrText xml:space="preserve"> HYPERLINK \l "_Toc256000308" </w:instrText>
      </w:r>
      <w:r>
        <w:fldChar w:fldCharType="separate"/>
      </w:r>
      <w:r>
        <w:rPr>
          <w:rStyle w:val="21"/>
          <w:b/>
        </w:rPr>
        <w:t>3.7 履约担保</w:t>
      </w:r>
      <w:r>
        <w:tab/>
      </w:r>
      <w:r>
        <w:fldChar w:fldCharType="begin"/>
      </w:r>
      <w:r>
        <w:instrText xml:space="preserve"> PAGEREF _Toc256000308 \h </w:instrText>
      </w:r>
      <w:r>
        <w:fldChar w:fldCharType="separate"/>
      </w:r>
      <w:r>
        <w:t>147</w:t>
      </w:r>
      <w:r>
        <w:fldChar w:fldCharType="end"/>
      </w:r>
      <w:r>
        <w:fldChar w:fldCharType="end"/>
      </w:r>
    </w:p>
    <w:p w14:paraId="753D63DA">
      <w:pPr>
        <w:pStyle w:val="14"/>
        <w:tabs>
          <w:tab w:val="right" w:leader="dot" w:pos="8296"/>
        </w:tabs>
        <w:rPr>
          <w:rFonts w:asciiTheme="minorHAnsi" w:hAnsiTheme="minorHAnsi"/>
          <w:sz w:val="22"/>
        </w:rPr>
      </w:pPr>
      <w:r>
        <w:fldChar w:fldCharType="begin"/>
      </w:r>
      <w:r>
        <w:instrText xml:space="preserve"> HYPERLINK \l "_Toc256000309" </w:instrText>
      </w:r>
      <w:r>
        <w:fldChar w:fldCharType="separate"/>
      </w:r>
      <w:r>
        <w:rPr>
          <w:rStyle w:val="21"/>
          <w:b/>
        </w:rPr>
        <w:t>4. 监理人</w:t>
      </w:r>
      <w:r>
        <w:tab/>
      </w:r>
      <w:r>
        <w:fldChar w:fldCharType="begin"/>
      </w:r>
      <w:r>
        <w:instrText xml:space="preserve"> PAGEREF _Toc256000309 \h </w:instrText>
      </w:r>
      <w:r>
        <w:fldChar w:fldCharType="separate"/>
      </w:r>
      <w:r>
        <w:t>147</w:t>
      </w:r>
      <w:r>
        <w:fldChar w:fldCharType="end"/>
      </w:r>
      <w:r>
        <w:fldChar w:fldCharType="end"/>
      </w:r>
    </w:p>
    <w:p w14:paraId="62F39AC7">
      <w:pPr>
        <w:pStyle w:val="9"/>
        <w:tabs>
          <w:tab w:val="right" w:leader="dot" w:pos="8296"/>
        </w:tabs>
        <w:rPr>
          <w:rFonts w:asciiTheme="minorHAnsi" w:hAnsiTheme="minorHAnsi"/>
          <w:sz w:val="22"/>
        </w:rPr>
      </w:pPr>
      <w:r>
        <w:fldChar w:fldCharType="begin"/>
      </w:r>
      <w:r>
        <w:instrText xml:space="preserve"> HYPERLINK \l "_Toc256000310" </w:instrText>
      </w:r>
      <w:r>
        <w:fldChar w:fldCharType="separate"/>
      </w:r>
      <w:r>
        <w:rPr>
          <w:rStyle w:val="21"/>
          <w:b/>
        </w:rPr>
        <w:t>4.1监理人的一般规定</w:t>
      </w:r>
      <w:r>
        <w:tab/>
      </w:r>
      <w:r>
        <w:fldChar w:fldCharType="begin"/>
      </w:r>
      <w:r>
        <w:instrText xml:space="preserve"> PAGEREF _Toc256000310 \h </w:instrText>
      </w:r>
      <w:r>
        <w:fldChar w:fldCharType="separate"/>
      </w:r>
      <w:r>
        <w:t>147</w:t>
      </w:r>
      <w:r>
        <w:fldChar w:fldCharType="end"/>
      </w:r>
      <w:r>
        <w:fldChar w:fldCharType="end"/>
      </w:r>
    </w:p>
    <w:p w14:paraId="284D3253">
      <w:pPr>
        <w:pStyle w:val="9"/>
        <w:tabs>
          <w:tab w:val="right" w:leader="dot" w:pos="8296"/>
        </w:tabs>
        <w:rPr>
          <w:rFonts w:asciiTheme="minorHAnsi" w:hAnsiTheme="minorHAnsi"/>
          <w:sz w:val="22"/>
        </w:rPr>
      </w:pPr>
      <w:r>
        <w:fldChar w:fldCharType="begin"/>
      </w:r>
      <w:r>
        <w:instrText xml:space="preserve"> HYPERLINK \l "_Toc256000311" </w:instrText>
      </w:r>
      <w:r>
        <w:fldChar w:fldCharType="separate"/>
      </w:r>
      <w:r>
        <w:rPr>
          <w:rStyle w:val="21"/>
          <w:b/>
        </w:rPr>
        <w:t>4.2 监理人员</w:t>
      </w:r>
      <w:r>
        <w:tab/>
      </w:r>
      <w:r>
        <w:fldChar w:fldCharType="begin"/>
      </w:r>
      <w:r>
        <w:instrText xml:space="preserve"> PAGEREF _Toc256000311 \h </w:instrText>
      </w:r>
      <w:r>
        <w:fldChar w:fldCharType="separate"/>
      </w:r>
      <w:r>
        <w:t>148</w:t>
      </w:r>
      <w:r>
        <w:fldChar w:fldCharType="end"/>
      </w:r>
      <w:r>
        <w:fldChar w:fldCharType="end"/>
      </w:r>
    </w:p>
    <w:p w14:paraId="07D30199">
      <w:pPr>
        <w:pStyle w:val="9"/>
        <w:tabs>
          <w:tab w:val="right" w:leader="dot" w:pos="8296"/>
        </w:tabs>
        <w:rPr>
          <w:rFonts w:asciiTheme="minorHAnsi" w:hAnsiTheme="minorHAnsi"/>
          <w:sz w:val="22"/>
        </w:rPr>
      </w:pPr>
      <w:r>
        <w:fldChar w:fldCharType="begin"/>
      </w:r>
      <w:r>
        <w:instrText xml:space="preserve"> HYPERLINK \l "_Toc256000312" </w:instrText>
      </w:r>
      <w:r>
        <w:fldChar w:fldCharType="separate"/>
      </w:r>
      <w:r>
        <w:rPr>
          <w:rStyle w:val="21"/>
          <w:b/>
        </w:rPr>
        <w:t>4.4 商定或确定</w:t>
      </w:r>
      <w:r>
        <w:tab/>
      </w:r>
      <w:r>
        <w:fldChar w:fldCharType="begin"/>
      </w:r>
      <w:r>
        <w:instrText xml:space="preserve"> PAGEREF _Toc256000312 \h </w:instrText>
      </w:r>
      <w:r>
        <w:fldChar w:fldCharType="separate"/>
      </w:r>
      <w:r>
        <w:t>148</w:t>
      </w:r>
      <w:r>
        <w:fldChar w:fldCharType="end"/>
      </w:r>
      <w:r>
        <w:fldChar w:fldCharType="end"/>
      </w:r>
    </w:p>
    <w:p w14:paraId="5BCE2B5B">
      <w:pPr>
        <w:pStyle w:val="14"/>
        <w:tabs>
          <w:tab w:val="right" w:leader="dot" w:pos="8296"/>
        </w:tabs>
        <w:rPr>
          <w:rFonts w:asciiTheme="minorHAnsi" w:hAnsiTheme="minorHAnsi"/>
          <w:sz w:val="22"/>
        </w:rPr>
      </w:pPr>
      <w:r>
        <w:fldChar w:fldCharType="begin"/>
      </w:r>
      <w:r>
        <w:instrText xml:space="preserve"> HYPERLINK \l "_Toc256000313" </w:instrText>
      </w:r>
      <w:r>
        <w:fldChar w:fldCharType="separate"/>
      </w:r>
      <w:r>
        <w:rPr>
          <w:rStyle w:val="21"/>
          <w:b/>
        </w:rPr>
        <w:t>5. 工程质量</w:t>
      </w:r>
      <w:r>
        <w:tab/>
      </w:r>
      <w:r>
        <w:fldChar w:fldCharType="begin"/>
      </w:r>
      <w:r>
        <w:instrText xml:space="preserve"> PAGEREF _Toc256000313 \h </w:instrText>
      </w:r>
      <w:r>
        <w:fldChar w:fldCharType="separate"/>
      </w:r>
      <w:r>
        <w:t>148</w:t>
      </w:r>
      <w:r>
        <w:fldChar w:fldCharType="end"/>
      </w:r>
      <w:r>
        <w:fldChar w:fldCharType="end"/>
      </w:r>
    </w:p>
    <w:p w14:paraId="7A2E98C4">
      <w:pPr>
        <w:pStyle w:val="9"/>
        <w:tabs>
          <w:tab w:val="right" w:leader="dot" w:pos="8296"/>
        </w:tabs>
        <w:rPr>
          <w:rFonts w:asciiTheme="minorHAnsi" w:hAnsiTheme="minorHAnsi"/>
          <w:sz w:val="22"/>
        </w:rPr>
      </w:pPr>
      <w:r>
        <w:fldChar w:fldCharType="begin"/>
      </w:r>
      <w:r>
        <w:instrText xml:space="preserve"> HYPERLINK \l "_Toc256000314" </w:instrText>
      </w:r>
      <w:r>
        <w:fldChar w:fldCharType="separate"/>
      </w:r>
      <w:r>
        <w:rPr>
          <w:rStyle w:val="21"/>
          <w:b/>
        </w:rPr>
        <w:t>5.1 质量要求</w:t>
      </w:r>
      <w:r>
        <w:tab/>
      </w:r>
      <w:r>
        <w:fldChar w:fldCharType="begin"/>
      </w:r>
      <w:r>
        <w:instrText xml:space="preserve"> PAGEREF _Toc256000314 \h </w:instrText>
      </w:r>
      <w:r>
        <w:fldChar w:fldCharType="separate"/>
      </w:r>
      <w:r>
        <w:t>148</w:t>
      </w:r>
      <w:r>
        <w:fldChar w:fldCharType="end"/>
      </w:r>
      <w:r>
        <w:fldChar w:fldCharType="end"/>
      </w:r>
    </w:p>
    <w:p w14:paraId="46F05F26">
      <w:pPr>
        <w:pStyle w:val="9"/>
        <w:tabs>
          <w:tab w:val="right" w:leader="dot" w:pos="8296"/>
        </w:tabs>
        <w:rPr>
          <w:rFonts w:asciiTheme="minorHAnsi" w:hAnsiTheme="minorHAnsi"/>
          <w:sz w:val="22"/>
        </w:rPr>
      </w:pPr>
      <w:r>
        <w:fldChar w:fldCharType="begin"/>
      </w:r>
      <w:r>
        <w:instrText xml:space="preserve"> HYPERLINK \l "_Toc256000315" </w:instrText>
      </w:r>
      <w:r>
        <w:fldChar w:fldCharType="separate"/>
      </w:r>
      <w:r>
        <w:rPr>
          <w:rStyle w:val="21"/>
          <w:b/>
        </w:rPr>
        <w:t>5.3 隐蔽工程检查</w:t>
      </w:r>
      <w:r>
        <w:tab/>
      </w:r>
      <w:r>
        <w:fldChar w:fldCharType="begin"/>
      </w:r>
      <w:r>
        <w:instrText xml:space="preserve"> PAGEREF _Toc256000315 \h </w:instrText>
      </w:r>
      <w:r>
        <w:fldChar w:fldCharType="separate"/>
      </w:r>
      <w:r>
        <w:t>148</w:t>
      </w:r>
      <w:r>
        <w:fldChar w:fldCharType="end"/>
      </w:r>
      <w:r>
        <w:fldChar w:fldCharType="end"/>
      </w:r>
    </w:p>
    <w:p w14:paraId="7D9E8225">
      <w:pPr>
        <w:pStyle w:val="14"/>
        <w:tabs>
          <w:tab w:val="right" w:leader="dot" w:pos="8296"/>
        </w:tabs>
        <w:rPr>
          <w:rFonts w:asciiTheme="minorHAnsi" w:hAnsiTheme="minorHAnsi"/>
          <w:sz w:val="22"/>
        </w:rPr>
      </w:pPr>
      <w:r>
        <w:fldChar w:fldCharType="begin"/>
      </w:r>
      <w:r>
        <w:instrText xml:space="preserve"> HYPERLINK \l "_Toc256000316" </w:instrText>
      </w:r>
      <w:r>
        <w:fldChar w:fldCharType="separate"/>
      </w:r>
      <w:r>
        <w:rPr>
          <w:rStyle w:val="21"/>
          <w:b/>
        </w:rPr>
        <w:t>6. 安全文明施工与环境保护</w:t>
      </w:r>
      <w:r>
        <w:tab/>
      </w:r>
      <w:r>
        <w:fldChar w:fldCharType="begin"/>
      </w:r>
      <w:r>
        <w:instrText xml:space="preserve"> PAGEREF _Toc256000316 \h </w:instrText>
      </w:r>
      <w:r>
        <w:fldChar w:fldCharType="separate"/>
      </w:r>
      <w:r>
        <w:t>148</w:t>
      </w:r>
      <w:r>
        <w:fldChar w:fldCharType="end"/>
      </w:r>
      <w:r>
        <w:fldChar w:fldCharType="end"/>
      </w:r>
    </w:p>
    <w:p w14:paraId="64438D44">
      <w:pPr>
        <w:pStyle w:val="9"/>
        <w:tabs>
          <w:tab w:val="right" w:leader="dot" w:pos="8296"/>
        </w:tabs>
        <w:rPr>
          <w:rFonts w:asciiTheme="minorHAnsi" w:hAnsiTheme="minorHAnsi"/>
          <w:sz w:val="22"/>
        </w:rPr>
      </w:pPr>
      <w:r>
        <w:fldChar w:fldCharType="begin"/>
      </w:r>
      <w:r>
        <w:instrText xml:space="preserve"> HYPERLINK \l "_Toc256000317" </w:instrText>
      </w:r>
      <w:r>
        <w:fldChar w:fldCharType="separate"/>
      </w:r>
      <w:r>
        <w:rPr>
          <w:rStyle w:val="21"/>
          <w:b/>
        </w:rPr>
        <w:t>6.1安全文明施工</w:t>
      </w:r>
      <w:r>
        <w:tab/>
      </w:r>
      <w:r>
        <w:fldChar w:fldCharType="begin"/>
      </w:r>
      <w:r>
        <w:instrText xml:space="preserve"> PAGEREF _Toc256000317 \h </w:instrText>
      </w:r>
      <w:r>
        <w:fldChar w:fldCharType="separate"/>
      </w:r>
      <w:r>
        <w:t>148</w:t>
      </w:r>
      <w:r>
        <w:fldChar w:fldCharType="end"/>
      </w:r>
      <w:r>
        <w:fldChar w:fldCharType="end"/>
      </w:r>
    </w:p>
    <w:p w14:paraId="283841F2">
      <w:pPr>
        <w:pStyle w:val="14"/>
        <w:tabs>
          <w:tab w:val="right" w:leader="dot" w:pos="8296"/>
        </w:tabs>
        <w:rPr>
          <w:rFonts w:asciiTheme="minorHAnsi" w:hAnsiTheme="minorHAnsi"/>
          <w:sz w:val="22"/>
        </w:rPr>
      </w:pPr>
      <w:r>
        <w:fldChar w:fldCharType="begin"/>
      </w:r>
      <w:r>
        <w:instrText xml:space="preserve"> HYPERLINK \l "_Toc256000318" </w:instrText>
      </w:r>
      <w:r>
        <w:fldChar w:fldCharType="separate"/>
      </w:r>
      <w:r>
        <w:rPr>
          <w:rStyle w:val="21"/>
          <w:b/>
        </w:rPr>
        <w:t>7. 工期和进度</w:t>
      </w:r>
      <w:r>
        <w:tab/>
      </w:r>
      <w:r>
        <w:fldChar w:fldCharType="begin"/>
      </w:r>
      <w:r>
        <w:instrText xml:space="preserve"> PAGEREF _Toc256000318 \h </w:instrText>
      </w:r>
      <w:r>
        <w:fldChar w:fldCharType="separate"/>
      </w:r>
      <w:r>
        <w:t>149</w:t>
      </w:r>
      <w:r>
        <w:fldChar w:fldCharType="end"/>
      </w:r>
      <w:r>
        <w:fldChar w:fldCharType="end"/>
      </w:r>
    </w:p>
    <w:p w14:paraId="3EC4505D">
      <w:pPr>
        <w:pStyle w:val="9"/>
        <w:tabs>
          <w:tab w:val="right" w:leader="dot" w:pos="8296"/>
        </w:tabs>
        <w:rPr>
          <w:rFonts w:asciiTheme="minorHAnsi" w:hAnsiTheme="minorHAnsi"/>
          <w:sz w:val="22"/>
        </w:rPr>
      </w:pPr>
      <w:r>
        <w:fldChar w:fldCharType="begin"/>
      </w:r>
      <w:r>
        <w:instrText xml:space="preserve"> HYPERLINK \l "_Toc256000319" </w:instrText>
      </w:r>
      <w:r>
        <w:fldChar w:fldCharType="separate"/>
      </w:r>
      <w:r>
        <w:rPr>
          <w:rStyle w:val="21"/>
          <w:b/>
        </w:rPr>
        <w:t>7.1 施工组织设计</w:t>
      </w:r>
      <w:r>
        <w:tab/>
      </w:r>
      <w:r>
        <w:fldChar w:fldCharType="begin"/>
      </w:r>
      <w:r>
        <w:instrText xml:space="preserve"> PAGEREF _Toc256000319 \h </w:instrText>
      </w:r>
      <w:r>
        <w:fldChar w:fldCharType="separate"/>
      </w:r>
      <w:r>
        <w:t>149</w:t>
      </w:r>
      <w:r>
        <w:fldChar w:fldCharType="end"/>
      </w:r>
      <w:r>
        <w:fldChar w:fldCharType="end"/>
      </w:r>
    </w:p>
    <w:p w14:paraId="17B6311F">
      <w:pPr>
        <w:pStyle w:val="9"/>
        <w:tabs>
          <w:tab w:val="right" w:leader="dot" w:pos="8296"/>
        </w:tabs>
        <w:rPr>
          <w:rFonts w:asciiTheme="minorHAnsi" w:hAnsiTheme="minorHAnsi"/>
          <w:sz w:val="22"/>
        </w:rPr>
      </w:pPr>
      <w:r>
        <w:fldChar w:fldCharType="begin"/>
      </w:r>
      <w:r>
        <w:instrText xml:space="preserve"> HYPERLINK \l "_Toc256000320" </w:instrText>
      </w:r>
      <w:r>
        <w:fldChar w:fldCharType="separate"/>
      </w:r>
      <w:r>
        <w:rPr>
          <w:rStyle w:val="21"/>
          <w:b/>
        </w:rPr>
        <w:t>7.2 施工进度计划</w:t>
      </w:r>
      <w:r>
        <w:tab/>
      </w:r>
      <w:r>
        <w:fldChar w:fldCharType="begin"/>
      </w:r>
      <w:r>
        <w:instrText xml:space="preserve"> PAGEREF _Toc256000320 \h </w:instrText>
      </w:r>
      <w:r>
        <w:fldChar w:fldCharType="separate"/>
      </w:r>
      <w:r>
        <w:t>149</w:t>
      </w:r>
      <w:r>
        <w:fldChar w:fldCharType="end"/>
      </w:r>
      <w:r>
        <w:fldChar w:fldCharType="end"/>
      </w:r>
    </w:p>
    <w:p w14:paraId="65098A4A">
      <w:pPr>
        <w:pStyle w:val="9"/>
        <w:tabs>
          <w:tab w:val="right" w:leader="dot" w:pos="8296"/>
        </w:tabs>
        <w:rPr>
          <w:rFonts w:asciiTheme="minorHAnsi" w:hAnsiTheme="minorHAnsi"/>
          <w:sz w:val="22"/>
        </w:rPr>
      </w:pPr>
      <w:r>
        <w:fldChar w:fldCharType="begin"/>
      </w:r>
      <w:r>
        <w:instrText xml:space="preserve"> HYPERLINK \l "_Toc256000321" </w:instrText>
      </w:r>
      <w:r>
        <w:fldChar w:fldCharType="separate"/>
      </w:r>
      <w:r>
        <w:rPr>
          <w:rStyle w:val="21"/>
          <w:b/>
        </w:rPr>
        <w:t>7.3 开工</w:t>
      </w:r>
      <w:r>
        <w:tab/>
      </w:r>
      <w:r>
        <w:fldChar w:fldCharType="begin"/>
      </w:r>
      <w:r>
        <w:instrText xml:space="preserve"> PAGEREF _Toc256000321 \h </w:instrText>
      </w:r>
      <w:r>
        <w:fldChar w:fldCharType="separate"/>
      </w:r>
      <w:r>
        <w:t>149</w:t>
      </w:r>
      <w:r>
        <w:fldChar w:fldCharType="end"/>
      </w:r>
      <w:r>
        <w:fldChar w:fldCharType="end"/>
      </w:r>
    </w:p>
    <w:p w14:paraId="06189CB5">
      <w:pPr>
        <w:pStyle w:val="9"/>
        <w:tabs>
          <w:tab w:val="right" w:leader="dot" w:pos="8296"/>
        </w:tabs>
        <w:rPr>
          <w:rFonts w:asciiTheme="minorHAnsi" w:hAnsiTheme="minorHAnsi"/>
          <w:sz w:val="22"/>
        </w:rPr>
      </w:pPr>
      <w:r>
        <w:fldChar w:fldCharType="begin"/>
      </w:r>
      <w:r>
        <w:instrText xml:space="preserve"> HYPERLINK \l "_Toc256000322" </w:instrText>
      </w:r>
      <w:r>
        <w:fldChar w:fldCharType="separate"/>
      </w:r>
      <w:r>
        <w:rPr>
          <w:rStyle w:val="21"/>
          <w:b/>
        </w:rPr>
        <w:t>7.4 测量放线</w:t>
      </w:r>
      <w:r>
        <w:tab/>
      </w:r>
      <w:r>
        <w:fldChar w:fldCharType="begin"/>
      </w:r>
      <w:r>
        <w:instrText xml:space="preserve"> PAGEREF _Toc256000322 \h </w:instrText>
      </w:r>
      <w:r>
        <w:fldChar w:fldCharType="separate"/>
      </w:r>
      <w:r>
        <w:t>150</w:t>
      </w:r>
      <w:r>
        <w:fldChar w:fldCharType="end"/>
      </w:r>
      <w:r>
        <w:fldChar w:fldCharType="end"/>
      </w:r>
    </w:p>
    <w:p w14:paraId="144A4DEE">
      <w:pPr>
        <w:pStyle w:val="9"/>
        <w:tabs>
          <w:tab w:val="right" w:leader="dot" w:pos="8296"/>
        </w:tabs>
        <w:rPr>
          <w:rFonts w:asciiTheme="minorHAnsi" w:hAnsiTheme="minorHAnsi"/>
          <w:sz w:val="22"/>
        </w:rPr>
      </w:pPr>
      <w:r>
        <w:fldChar w:fldCharType="begin"/>
      </w:r>
      <w:r>
        <w:instrText xml:space="preserve"> HYPERLINK \l "_Toc256000323" </w:instrText>
      </w:r>
      <w:r>
        <w:fldChar w:fldCharType="separate"/>
      </w:r>
      <w:r>
        <w:rPr>
          <w:rStyle w:val="21"/>
          <w:b/>
        </w:rPr>
        <w:t>7.5 工期延误</w:t>
      </w:r>
      <w:r>
        <w:tab/>
      </w:r>
      <w:r>
        <w:fldChar w:fldCharType="begin"/>
      </w:r>
      <w:r>
        <w:instrText xml:space="preserve"> PAGEREF _Toc256000323 \h </w:instrText>
      </w:r>
      <w:r>
        <w:fldChar w:fldCharType="separate"/>
      </w:r>
      <w:r>
        <w:t>150</w:t>
      </w:r>
      <w:r>
        <w:fldChar w:fldCharType="end"/>
      </w:r>
      <w:r>
        <w:fldChar w:fldCharType="end"/>
      </w:r>
    </w:p>
    <w:p w14:paraId="637CA2D9">
      <w:pPr>
        <w:pStyle w:val="9"/>
        <w:tabs>
          <w:tab w:val="right" w:leader="dot" w:pos="8296"/>
        </w:tabs>
        <w:rPr>
          <w:rFonts w:asciiTheme="minorHAnsi" w:hAnsiTheme="minorHAnsi"/>
          <w:sz w:val="22"/>
        </w:rPr>
      </w:pPr>
      <w:r>
        <w:fldChar w:fldCharType="begin"/>
      </w:r>
      <w:r>
        <w:instrText xml:space="preserve"> HYPERLINK \l "_Toc256000324" </w:instrText>
      </w:r>
      <w:r>
        <w:fldChar w:fldCharType="separate"/>
      </w:r>
      <w:r>
        <w:rPr>
          <w:rStyle w:val="21"/>
          <w:b/>
        </w:rPr>
        <w:t>7.6 不利物质条件</w:t>
      </w:r>
      <w:r>
        <w:tab/>
      </w:r>
      <w:r>
        <w:fldChar w:fldCharType="begin"/>
      </w:r>
      <w:r>
        <w:instrText xml:space="preserve"> PAGEREF _Toc256000324 \h </w:instrText>
      </w:r>
      <w:r>
        <w:fldChar w:fldCharType="separate"/>
      </w:r>
      <w:r>
        <w:t>150</w:t>
      </w:r>
      <w:r>
        <w:fldChar w:fldCharType="end"/>
      </w:r>
      <w:r>
        <w:fldChar w:fldCharType="end"/>
      </w:r>
    </w:p>
    <w:p w14:paraId="31C2BDCF">
      <w:pPr>
        <w:pStyle w:val="9"/>
        <w:tabs>
          <w:tab w:val="right" w:leader="dot" w:pos="8296"/>
        </w:tabs>
        <w:rPr>
          <w:rFonts w:asciiTheme="minorHAnsi" w:hAnsiTheme="minorHAnsi"/>
          <w:sz w:val="22"/>
        </w:rPr>
      </w:pPr>
      <w:r>
        <w:fldChar w:fldCharType="begin"/>
      </w:r>
      <w:r>
        <w:instrText xml:space="preserve"> HYPERLINK \l "_Toc256000325" </w:instrText>
      </w:r>
      <w:r>
        <w:fldChar w:fldCharType="separate"/>
      </w:r>
      <w:r>
        <w:rPr>
          <w:rStyle w:val="21"/>
          <w:b/>
        </w:rPr>
        <w:t>7.7异常恶劣的气候条件</w:t>
      </w:r>
      <w:r>
        <w:tab/>
      </w:r>
      <w:r>
        <w:fldChar w:fldCharType="begin"/>
      </w:r>
      <w:r>
        <w:instrText xml:space="preserve"> PAGEREF _Toc256000325 \h </w:instrText>
      </w:r>
      <w:r>
        <w:fldChar w:fldCharType="separate"/>
      </w:r>
      <w:r>
        <w:t>150</w:t>
      </w:r>
      <w:r>
        <w:fldChar w:fldCharType="end"/>
      </w:r>
      <w:r>
        <w:fldChar w:fldCharType="end"/>
      </w:r>
    </w:p>
    <w:p w14:paraId="29F84964">
      <w:pPr>
        <w:pStyle w:val="9"/>
        <w:tabs>
          <w:tab w:val="right" w:leader="dot" w:pos="8296"/>
        </w:tabs>
        <w:rPr>
          <w:rFonts w:asciiTheme="minorHAnsi" w:hAnsiTheme="minorHAnsi"/>
          <w:sz w:val="22"/>
        </w:rPr>
      </w:pPr>
      <w:r>
        <w:fldChar w:fldCharType="begin"/>
      </w:r>
      <w:r>
        <w:instrText xml:space="preserve"> HYPERLINK \l "_Toc256000326" </w:instrText>
      </w:r>
      <w:r>
        <w:fldChar w:fldCharType="separate"/>
      </w:r>
      <w:r>
        <w:rPr>
          <w:rStyle w:val="21"/>
          <w:b/>
        </w:rPr>
        <w:t>7.9 提前竣工的奖励</w:t>
      </w:r>
      <w:r>
        <w:tab/>
      </w:r>
      <w:r>
        <w:fldChar w:fldCharType="begin"/>
      </w:r>
      <w:r>
        <w:instrText xml:space="preserve"> PAGEREF _Toc256000326 \h </w:instrText>
      </w:r>
      <w:r>
        <w:fldChar w:fldCharType="separate"/>
      </w:r>
      <w:r>
        <w:t>150</w:t>
      </w:r>
      <w:r>
        <w:fldChar w:fldCharType="end"/>
      </w:r>
      <w:r>
        <w:fldChar w:fldCharType="end"/>
      </w:r>
    </w:p>
    <w:p w14:paraId="4DF96B1B">
      <w:pPr>
        <w:pStyle w:val="14"/>
        <w:tabs>
          <w:tab w:val="right" w:leader="dot" w:pos="8296"/>
        </w:tabs>
        <w:rPr>
          <w:rFonts w:asciiTheme="minorHAnsi" w:hAnsiTheme="minorHAnsi"/>
          <w:sz w:val="22"/>
        </w:rPr>
      </w:pPr>
      <w:r>
        <w:fldChar w:fldCharType="begin"/>
      </w:r>
      <w:r>
        <w:instrText xml:space="preserve"> HYPERLINK \l "_Toc256000327" </w:instrText>
      </w:r>
      <w:r>
        <w:fldChar w:fldCharType="separate"/>
      </w:r>
      <w:r>
        <w:rPr>
          <w:rStyle w:val="21"/>
          <w:b/>
        </w:rPr>
        <w:t>8. 材料与设备</w:t>
      </w:r>
      <w:r>
        <w:tab/>
      </w:r>
      <w:r>
        <w:fldChar w:fldCharType="begin"/>
      </w:r>
      <w:r>
        <w:instrText xml:space="preserve"> PAGEREF _Toc256000327 \h </w:instrText>
      </w:r>
      <w:r>
        <w:fldChar w:fldCharType="separate"/>
      </w:r>
      <w:r>
        <w:t>150</w:t>
      </w:r>
      <w:r>
        <w:fldChar w:fldCharType="end"/>
      </w:r>
      <w:r>
        <w:fldChar w:fldCharType="end"/>
      </w:r>
    </w:p>
    <w:p w14:paraId="1D3DC4BF">
      <w:pPr>
        <w:pStyle w:val="9"/>
        <w:tabs>
          <w:tab w:val="right" w:leader="dot" w:pos="8296"/>
        </w:tabs>
        <w:rPr>
          <w:rFonts w:asciiTheme="minorHAnsi" w:hAnsiTheme="minorHAnsi"/>
          <w:sz w:val="22"/>
        </w:rPr>
      </w:pPr>
      <w:r>
        <w:fldChar w:fldCharType="begin"/>
      </w:r>
      <w:r>
        <w:instrText xml:space="preserve"> HYPERLINK \l "_Toc256000328" </w:instrText>
      </w:r>
      <w:r>
        <w:fldChar w:fldCharType="separate"/>
      </w:r>
      <w:r>
        <w:rPr>
          <w:rStyle w:val="21"/>
          <w:b/>
        </w:rPr>
        <w:t>8.4材料与工程设备的保管与使用</w:t>
      </w:r>
      <w:r>
        <w:tab/>
      </w:r>
      <w:r>
        <w:fldChar w:fldCharType="begin"/>
      </w:r>
      <w:r>
        <w:instrText xml:space="preserve"> PAGEREF _Toc256000328 \h </w:instrText>
      </w:r>
      <w:r>
        <w:fldChar w:fldCharType="separate"/>
      </w:r>
      <w:r>
        <w:t>150</w:t>
      </w:r>
      <w:r>
        <w:fldChar w:fldCharType="end"/>
      </w:r>
      <w:r>
        <w:fldChar w:fldCharType="end"/>
      </w:r>
    </w:p>
    <w:p w14:paraId="3985CB67">
      <w:pPr>
        <w:pStyle w:val="9"/>
        <w:tabs>
          <w:tab w:val="right" w:leader="dot" w:pos="8296"/>
        </w:tabs>
        <w:rPr>
          <w:rFonts w:asciiTheme="minorHAnsi" w:hAnsiTheme="minorHAnsi"/>
          <w:sz w:val="22"/>
        </w:rPr>
      </w:pPr>
      <w:r>
        <w:fldChar w:fldCharType="begin"/>
      </w:r>
      <w:r>
        <w:instrText xml:space="preserve"> HYPERLINK \l "_Toc256000329" </w:instrText>
      </w:r>
      <w:r>
        <w:fldChar w:fldCharType="separate"/>
      </w:r>
      <w:r>
        <w:rPr>
          <w:rStyle w:val="21"/>
          <w:b/>
        </w:rPr>
        <w:t>8.6 样品</w:t>
      </w:r>
      <w:r>
        <w:tab/>
      </w:r>
      <w:r>
        <w:fldChar w:fldCharType="begin"/>
      </w:r>
      <w:r>
        <w:instrText xml:space="preserve"> PAGEREF _Toc256000329 \h </w:instrText>
      </w:r>
      <w:r>
        <w:fldChar w:fldCharType="separate"/>
      </w:r>
      <w:r>
        <w:t>150</w:t>
      </w:r>
      <w:r>
        <w:fldChar w:fldCharType="end"/>
      </w:r>
      <w:r>
        <w:fldChar w:fldCharType="end"/>
      </w:r>
    </w:p>
    <w:p w14:paraId="5E7EF35F">
      <w:pPr>
        <w:pStyle w:val="9"/>
        <w:tabs>
          <w:tab w:val="right" w:leader="dot" w:pos="8296"/>
        </w:tabs>
        <w:rPr>
          <w:rFonts w:asciiTheme="minorHAnsi" w:hAnsiTheme="minorHAnsi"/>
          <w:sz w:val="22"/>
        </w:rPr>
      </w:pPr>
      <w:r>
        <w:fldChar w:fldCharType="begin"/>
      </w:r>
      <w:r>
        <w:instrText xml:space="preserve"> HYPERLINK \l "_Toc256000330" </w:instrText>
      </w:r>
      <w:r>
        <w:fldChar w:fldCharType="separate"/>
      </w:r>
      <w:r>
        <w:rPr>
          <w:rStyle w:val="21"/>
          <w:b/>
        </w:rPr>
        <w:t>8.8 施工设备和临时设施</w:t>
      </w:r>
      <w:r>
        <w:tab/>
      </w:r>
      <w:r>
        <w:fldChar w:fldCharType="begin"/>
      </w:r>
      <w:r>
        <w:instrText xml:space="preserve"> PAGEREF _Toc256000330 \h </w:instrText>
      </w:r>
      <w:r>
        <w:fldChar w:fldCharType="separate"/>
      </w:r>
      <w:r>
        <w:t>151</w:t>
      </w:r>
      <w:r>
        <w:fldChar w:fldCharType="end"/>
      </w:r>
      <w:r>
        <w:fldChar w:fldCharType="end"/>
      </w:r>
    </w:p>
    <w:p w14:paraId="61EBF708">
      <w:pPr>
        <w:pStyle w:val="14"/>
        <w:tabs>
          <w:tab w:val="right" w:leader="dot" w:pos="8296"/>
        </w:tabs>
        <w:rPr>
          <w:rFonts w:asciiTheme="minorHAnsi" w:hAnsiTheme="minorHAnsi"/>
          <w:sz w:val="22"/>
        </w:rPr>
      </w:pPr>
      <w:r>
        <w:fldChar w:fldCharType="begin"/>
      </w:r>
      <w:r>
        <w:instrText xml:space="preserve"> HYPERLINK \l "_Toc256000331" </w:instrText>
      </w:r>
      <w:r>
        <w:fldChar w:fldCharType="separate"/>
      </w:r>
      <w:r>
        <w:rPr>
          <w:rStyle w:val="21"/>
          <w:b/>
        </w:rPr>
        <w:t>9. 试验与检验</w:t>
      </w:r>
      <w:r>
        <w:tab/>
      </w:r>
      <w:r>
        <w:fldChar w:fldCharType="begin"/>
      </w:r>
      <w:r>
        <w:instrText xml:space="preserve"> PAGEREF _Toc256000331 \h </w:instrText>
      </w:r>
      <w:r>
        <w:fldChar w:fldCharType="separate"/>
      </w:r>
      <w:r>
        <w:t>151</w:t>
      </w:r>
      <w:r>
        <w:fldChar w:fldCharType="end"/>
      </w:r>
      <w:r>
        <w:fldChar w:fldCharType="end"/>
      </w:r>
    </w:p>
    <w:p w14:paraId="13ED01BA">
      <w:pPr>
        <w:pStyle w:val="9"/>
        <w:tabs>
          <w:tab w:val="right" w:leader="dot" w:pos="8296"/>
        </w:tabs>
        <w:rPr>
          <w:rFonts w:asciiTheme="minorHAnsi" w:hAnsiTheme="minorHAnsi"/>
          <w:sz w:val="22"/>
        </w:rPr>
      </w:pPr>
      <w:r>
        <w:fldChar w:fldCharType="begin"/>
      </w:r>
      <w:r>
        <w:instrText xml:space="preserve"> HYPERLINK \l "_Toc256000332" </w:instrText>
      </w:r>
      <w:r>
        <w:fldChar w:fldCharType="separate"/>
      </w:r>
      <w:r>
        <w:rPr>
          <w:rStyle w:val="21"/>
          <w:b/>
        </w:rPr>
        <w:t>9.1试验设备与试验人员</w:t>
      </w:r>
      <w:r>
        <w:tab/>
      </w:r>
      <w:r>
        <w:fldChar w:fldCharType="begin"/>
      </w:r>
      <w:r>
        <w:instrText xml:space="preserve"> PAGEREF _Toc256000332 \h </w:instrText>
      </w:r>
      <w:r>
        <w:fldChar w:fldCharType="separate"/>
      </w:r>
      <w:r>
        <w:t>151</w:t>
      </w:r>
      <w:r>
        <w:fldChar w:fldCharType="end"/>
      </w:r>
      <w:r>
        <w:fldChar w:fldCharType="end"/>
      </w:r>
    </w:p>
    <w:p w14:paraId="54F1F6BA">
      <w:pPr>
        <w:pStyle w:val="9"/>
        <w:tabs>
          <w:tab w:val="right" w:leader="dot" w:pos="8296"/>
        </w:tabs>
        <w:rPr>
          <w:rFonts w:asciiTheme="minorHAnsi" w:hAnsiTheme="minorHAnsi"/>
          <w:sz w:val="22"/>
        </w:rPr>
      </w:pPr>
      <w:r>
        <w:fldChar w:fldCharType="begin"/>
      </w:r>
      <w:r>
        <w:instrText xml:space="preserve"> HYPERLINK \l "_Toc256000333" </w:instrText>
      </w:r>
      <w:r>
        <w:fldChar w:fldCharType="separate"/>
      </w:r>
      <w:r>
        <w:rPr>
          <w:rStyle w:val="21"/>
          <w:b/>
        </w:rPr>
        <w:t>9.4 现场工艺试验</w:t>
      </w:r>
      <w:r>
        <w:tab/>
      </w:r>
      <w:r>
        <w:fldChar w:fldCharType="begin"/>
      </w:r>
      <w:r>
        <w:instrText xml:space="preserve"> PAGEREF _Toc256000333 \h </w:instrText>
      </w:r>
      <w:r>
        <w:fldChar w:fldCharType="separate"/>
      </w:r>
      <w:r>
        <w:t>151</w:t>
      </w:r>
      <w:r>
        <w:fldChar w:fldCharType="end"/>
      </w:r>
      <w:r>
        <w:fldChar w:fldCharType="end"/>
      </w:r>
    </w:p>
    <w:p w14:paraId="7805312D">
      <w:pPr>
        <w:pStyle w:val="14"/>
        <w:tabs>
          <w:tab w:val="right" w:leader="dot" w:pos="8296"/>
        </w:tabs>
        <w:rPr>
          <w:rFonts w:asciiTheme="minorHAnsi" w:hAnsiTheme="minorHAnsi"/>
          <w:sz w:val="22"/>
        </w:rPr>
      </w:pPr>
      <w:r>
        <w:fldChar w:fldCharType="begin"/>
      </w:r>
      <w:r>
        <w:instrText xml:space="preserve"> HYPERLINK \l "_Toc256000334" </w:instrText>
      </w:r>
      <w:r>
        <w:fldChar w:fldCharType="separate"/>
      </w:r>
      <w:r>
        <w:rPr>
          <w:rStyle w:val="21"/>
          <w:b/>
        </w:rPr>
        <w:t>10. 变更</w:t>
      </w:r>
      <w:r>
        <w:tab/>
      </w:r>
      <w:r>
        <w:fldChar w:fldCharType="begin"/>
      </w:r>
      <w:r>
        <w:instrText xml:space="preserve"> PAGEREF _Toc256000334 \h </w:instrText>
      </w:r>
      <w:r>
        <w:fldChar w:fldCharType="separate"/>
      </w:r>
      <w:r>
        <w:t>151</w:t>
      </w:r>
      <w:r>
        <w:fldChar w:fldCharType="end"/>
      </w:r>
      <w:r>
        <w:fldChar w:fldCharType="end"/>
      </w:r>
    </w:p>
    <w:p w14:paraId="30FA77AD">
      <w:pPr>
        <w:pStyle w:val="9"/>
        <w:tabs>
          <w:tab w:val="right" w:leader="dot" w:pos="8296"/>
        </w:tabs>
        <w:rPr>
          <w:rFonts w:asciiTheme="minorHAnsi" w:hAnsiTheme="minorHAnsi"/>
          <w:sz w:val="22"/>
        </w:rPr>
      </w:pPr>
      <w:r>
        <w:fldChar w:fldCharType="begin"/>
      </w:r>
      <w:r>
        <w:instrText xml:space="preserve"> HYPERLINK \l "_Toc256000335" </w:instrText>
      </w:r>
      <w:r>
        <w:fldChar w:fldCharType="separate"/>
      </w:r>
      <w:r>
        <w:rPr>
          <w:rStyle w:val="21"/>
          <w:b/>
        </w:rPr>
        <w:t>10.1变更的范围</w:t>
      </w:r>
      <w:r>
        <w:tab/>
      </w:r>
      <w:r>
        <w:fldChar w:fldCharType="begin"/>
      </w:r>
      <w:r>
        <w:instrText xml:space="preserve"> PAGEREF _Toc256000335 \h </w:instrText>
      </w:r>
      <w:r>
        <w:fldChar w:fldCharType="separate"/>
      </w:r>
      <w:r>
        <w:t>151</w:t>
      </w:r>
      <w:r>
        <w:fldChar w:fldCharType="end"/>
      </w:r>
      <w:r>
        <w:fldChar w:fldCharType="end"/>
      </w:r>
    </w:p>
    <w:p w14:paraId="255E305A">
      <w:pPr>
        <w:pStyle w:val="9"/>
        <w:tabs>
          <w:tab w:val="right" w:leader="dot" w:pos="8296"/>
        </w:tabs>
        <w:rPr>
          <w:rFonts w:asciiTheme="minorHAnsi" w:hAnsiTheme="minorHAnsi"/>
          <w:sz w:val="22"/>
        </w:rPr>
      </w:pPr>
      <w:r>
        <w:fldChar w:fldCharType="begin"/>
      </w:r>
      <w:r>
        <w:instrText xml:space="preserve"> HYPERLINK \l "_Toc256000336" </w:instrText>
      </w:r>
      <w:r>
        <w:fldChar w:fldCharType="separate"/>
      </w:r>
      <w:r>
        <w:rPr>
          <w:rStyle w:val="21"/>
          <w:b/>
        </w:rPr>
        <w:t>10.4 变更估价</w:t>
      </w:r>
      <w:r>
        <w:tab/>
      </w:r>
      <w:r>
        <w:fldChar w:fldCharType="begin"/>
      </w:r>
      <w:r>
        <w:instrText xml:space="preserve"> PAGEREF _Toc256000336 \h </w:instrText>
      </w:r>
      <w:r>
        <w:fldChar w:fldCharType="separate"/>
      </w:r>
      <w:r>
        <w:t>151</w:t>
      </w:r>
      <w:r>
        <w:fldChar w:fldCharType="end"/>
      </w:r>
      <w:r>
        <w:fldChar w:fldCharType="end"/>
      </w:r>
    </w:p>
    <w:p w14:paraId="6AA5D545">
      <w:pPr>
        <w:pStyle w:val="9"/>
        <w:tabs>
          <w:tab w:val="right" w:leader="dot" w:pos="8296"/>
        </w:tabs>
        <w:rPr>
          <w:rFonts w:asciiTheme="minorHAnsi" w:hAnsiTheme="minorHAnsi"/>
          <w:sz w:val="22"/>
        </w:rPr>
      </w:pPr>
      <w:r>
        <w:fldChar w:fldCharType="begin"/>
      </w:r>
      <w:r>
        <w:instrText xml:space="preserve"> HYPERLINK \l "_Toc256000337" </w:instrText>
      </w:r>
      <w:r>
        <w:fldChar w:fldCharType="separate"/>
      </w:r>
      <w:r>
        <w:rPr>
          <w:rStyle w:val="21"/>
          <w:b/>
        </w:rPr>
        <w:t>10.5承包人的合理化建议</w:t>
      </w:r>
      <w:r>
        <w:tab/>
      </w:r>
      <w:r>
        <w:fldChar w:fldCharType="begin"/>
      </w:r>
      <w:r>
        <w:instrText xml:space="preserve"> PAGEREF _Toc256000337 \h </w:instrText>
      </w:r>
      <w:r>
        <w:fldChar w:fldCharType="separate"/>
      </w:r>
      <w:r>
        <w:t>151</w:t>
      </w:r>
      <w:r>
        <w:fldChar w:fldCharType="end"/>
      </w:r>
      <w:r>
        <w:fldChar w:fldCharType="end"/>
      </w:r>
    </w:p>
    <w:p w14:paraId="291DBA56">
      <w:pPr>
        <w:pStyle w:val="9"/>
        <w:tabs>
          <w:tab w:val="right" w:leader="dot" w:pos="8296"/>
        </w:tabs>
        <w:rPr>
          <w:rFonts w:asciiTheme="minorHAnsi" w:hAnsiTheme="minorHAnsi"/>
          <w:sz w:val="22"/>
        </w:rPr>
      </w:pPr>
      <w:r>
        <w:fldChar w:fldCharType="begin"/>
      </w:r>
      <w:r>
        <w:instrText xml:space="preserve"> HYPERLINK \l "_Toc256000338" </w:instrText>
      </w:r>
      <w:r>
        <w:fldChar w:fldCharType="separate"/>
      </w:r>
      <w:r>
        <w:rPr>
          <w:rStyle w:val="21"/>
          <w:b/>
        </w:rPr>
        <w:t>10.7 暂估价</w:t>
      </w:r>
      <w:r>
        <w:tab/>
      </w:r>
      <w:r>
        <w:fldChar w:fldCharType="begin"/>
      </w:r>
      <w:r>
        <w:instrText xml:space="preserve"> PAGEREF _Toc256000338 \h </w:instrText>
      </w:r>
      <w:r>
        <w:fldChar w:fldCharType="separate"/>
      </w:r>
      <w:r>
        <w:t>151</w:t>
      </w:r>
      <w:r>
        <w:fldChar w:fldCharType="end"/>
      </w:r>
      <w:r>
        <w:fldChar w:fldCharType="end"/>
      </w:r>
    </w:p>
    <w:p w14:paraId="371626DF">
      <w:pPr>
        <w:pStyle w:val="9"/>
        <w:tabs>
          <w:tab w:val="right" w:leader="dot" w:pos="8296"/>
        </w:tabs>
        <w:rPr>
          <w:rFonts w:asciiTheme="minorHAnsi" w:hAnsiTheme="minorHAnsi"/>
          <w:sz w:val="22"/>
        </w:rPr>
      </w:pPr>
      <w:r>
        <w:fldChar w:fldCharType="begin"/>
      </w:r>
      <w:r>
        <w:instrText xml:space="preserve"> HYPERLINK \l "_Toc256000339" </w:instrText>
      </w:r>
      <w:r>
        <w:fldChar w:fldCharType="separate"/>
      </w:r>
      <w:r>
        <w:rPr>
          <w:rStyle w:val="21"/>
          <w:b/>
        </w:rPr>
        <w:t>10.8 暂列金额</w:t>
      </w:r>
      <w:r>
        <w:tab/>
      </w:r>
      <w:r>
        <w:fldChar w:fldCharType="begin"/>
      </w:r>
      <w:r>
        <w:instrText xml:space="preserve"> PAGEREF _Toc256000339 \h </w:instrText>
      </w:r>
      <w:r>
        <w:fldChar w:fldCharType="separate"/>
      </w:r>
      <w:r>
        <w:t>152</w:t>
      </w:r>
      <w:r>
        <w:fldChar w:fldCharType="end"/>
      </w:r>
      <w:r>
        <w:fldChar w:fldCharType="end"/>
      </w:r>
    </w:p>
    <w:p w14:paraId="0789DCA9">
      <w:pPr>
        <w:pStyle w:val="14"/>
        <w:tabs>
          <w:tab w:val="right" w:leader="dot" w:pos="8296"/>
        </w:tabs>
        <w:rPr>
          <w:rFonts w:asciiTheme="minorHAnsi" w:hAnsiTheme="minorHAnsi"/>
          <w:sz w:val="22"/>
        </w:rPr>
      </w:pPr>
      <w:r>
        <w:fldChar w:fldCharType="begin"/>
      </w:r>
      <w:r>
        <w:instrText xml:space="preserve"> HYPERLINK \l "_Toc256000340" </w:instrText>
      </w:r>
      <w:r>
        <w:fldChar w:fldCharType="separate"/>
      </w:r>
      <w:r>
        <w:rPr>
          <w:rStyle w:val="21"/>
          <w:b/>
        </w:rPr>
        <w:t>11. 价格调整</w:t>
      </w:r>
      <w:r>
        <w:tab/>
      </w:r>
      <w:r>
        <w:fldChar w:fldCharType="begin"/>
      </w:r>
      <w:r>
        <w:instrText xml:space="preserve"> PAGEREF _Toc256000340 \h </w:instrText>
      </w:r>
      <w:r>
        <w:fldChar w:fldCharType="separate"/>
      </w:r>
      <w:r>
        <w:t>152</w:t>
      </w:r>
      <w:r>
        <w:fldChar w:fldCharType="end"/>
      </w:r>
      <w:r>
        <w:fldChar w:fldCharType="end"/>
      </w:r>
    </w:p>
    <w:p w14:paraId="2C4D7088">
      <w:pPr>
        <w:pStyle w:val="9"/>
        <w:tabs>
          <w:tab w:val="right" w:leader="dot" w:pos="8296"/>
        </w:tabs>
        <w:rPr>
          <w:rFonts w:asciiTheme="minorHAnsi" w:hAnsiTheme="minorHAnsi"/>
          <w:sz w:val="22"/>
        </w:rPr>
      </w:pPr>
      <w:r>
        <w:fldChar w:fldCharType="begin"/>
      </w:r>
      <w:r>
        <w:instrText xml:space="preserve"> HYPERLINK \l "_Toc256000341" </w:instrText>
      </w:r>
      <w:r>
        <w:fldChar w:fldCharType="separate"/>
      </w:r>
      <w:r>
        <w:rPr>
          <w:rStyle w:val="21"/>
          <w:b/>
        </w:rPr>
        <w:t>11.1 市场价格波动引起的调整</w:t>
      </w:r>
      <w:r>
        <w:tab/>
      </w:r>
      <w:r>
        <w:fldChar w:fldCharType="begin"/>
      </w:r>
      <w:r>
        <w:instrText xml:space="preserve"> PAGEREF _Toc256000341 \h </w:instrText>
      </w:r>
      <w:r>
        <w:fldChar w:fldCharType="separate"/>
      </w:r>
      <w:r>
        <w:t>152</w:t>
      </w:r>
      <w:r>
        <w:fldChar w:fldCharType="end"/>
      </w:r>
      <w:r>
        <w:fldChar w:fldCharType="end"/>
      </w:r>
    </w:p>
    <w:p w14:paraId="417941EA">
      <w:pPr>
        <w:pStyle w:val="14"/>
        <w:tabs>
          <w:tab w:val="right" w:leader="dot" w:pos="8296"/>
        </w:tabs>
        <w:rPr>
          <w:rFonts w:asciiTheme="minorHAnsi" w:hAnsiTheme="minorHAnsi"/>
          <w:sz w:val="22"/>
        </w:rPr>
      </w:pPr>
      <w:r>
        <w:fldChar w:fldCharType="begin"/>
      </w:r>
      <w:r>
        <w:instrText xml:space="preserve"> HYPERLINK \l "_Toc256000342" </w:instrText>
      </w:r>
      <w:r>
        <w:fldChar w:fldCharType="separate"/>
      </w:r>
      <w:r>
        <w:rPr>
          <w:rStyle w:val="21"/>
          <w:b/>
        </w:rPr>
        <w:t>12. 合同价格、计量与支付</w:t>
      </w:r>
      <w:r>
        <w:tab/>
      </w:r>
      <w:r>
        <w:fldChar w:fldCharType="begin"/>
      </w:r>
      <w:r>
        <w:instrText xml:space="preserve"> PAGEREF _Toc256000342 \h </w:instrText>
      </w:r>
      <w:r>
        <w:fldChar w:fldCharType="separate"/>
      </w:r>
      <w:r>
        <w:t>153</w:t>
      </w:r>
      <w:r>
        <w:fldChar w:fldCharType="end"/>
      </w:r>
      <w:r>
        <w:fldChar w:fldCharType="end"/>
      </w:r>
    </w:p>
    <w:p w14:paraId="5C652D55">
      <w:pPr>
        <w:pStyle w:val="9"/>
        <w:tabs>
          <w:tab w:val="right" w:leader="dot" w:pos="8296"/>
        </w:tabs>
        <w:rPr>
          <w:rFonts w:asciiTheme="minorHAnsi" w:hAnsiTheme="minorHAnsi"/>
          <w:sz w:val="22"/>
        </w:rPr>
      </w:pPr>
      <w:r>
        <w:fldChar w:fldCharType="begin"/>
      </w:r>
      <w:r>
        <w:instrText xml:space="preserve"> HYPERLINK \l "_Toc256000343" </w:instrText>
      </w:r>
      <w:r>
        <w:fldChar w:fldCharType="separate"/>
      </w:r>
      <w:r>
        <w:rPr>
          <w:rStyle w:val="21"/>
          <w:b/>
        </w:rPr>
        <w:t>12.1 合同价格形式</w:t>
      </w:r>
      <w:r>
        <w:tab/>
      </w:r>
      <w:r>
        <w:fldChar w:fldCharType="begin"/>
      </w:r>
      <w:r>
        <w:instrText xml:space="preserve"> PAGEREF _Toc256000343 \h </w:instrText>
      </w:r>
      <w:r>
        <w:fldChar w:fldCharType="separate"/>
      </w:r>
      <w:r>
        <w:t>153</w:t>
      </w:r>
      <w:r>
        <w:fldChar w:fldCharType="end"/>
      </w:r>
      <w:r>
        <w:fldChar w:fldCharType="end"/>
      </w:r>
    </w:p>
    <w:p w14:paraId="60B069F3">
      <w:pPr>
        <w:pStyle w:val="9"/>
        <w:tabs>
          <w:tab w:val="right" w:leader="dot" w:pos="8296"/>
        </w:tabs>
        <w:rPr>
          <w:rFonts w:asciiTheme="minorHAnsi" w:hAnsiTheme="minorHAnsi"/>
          <w:sz w:val="22"/>
        </w:rPr>
      </w:pPr>
      <w:r>
        <w:fldChar w:fldCharType="begin"/>
      </w:r>
      <w:r>
        <w:instrText xml:space="preserve"> HYPERLINK \l "_Toc256000344" </w:instrText>
      </w:r>
      <w:r>
        <w:fldChar w:fldCharType="separate"/>
      </w:r>
      <w:r>
        <w:rPr>
          <w:rStyle w:val="21"/>
          <w:b/>
        </w:rPr>
        <w:t>12.2 预付款</w:t>
      </w:r>
      <w:r>
        <w:tab/>
      </w:r>
      <w:r>
        <w:fldChar w:fldCharType="begin"/>
      </w:r>
      <w:r>
        <w:instrText xml:space="preserve"> PAGEREF _Toc256000344 \h </w:instrText>
      </w:r>
      <w:r>
        <w:fldChar w:fldCharType="separate"/>
      </w:r>
      <w:r>
        <w:t>153</w:t>
      </w:r>
      <w:r>
        <w:fldChar w:fldCharType="end"/>
      </w:r>
      <w:r>
        <w:fldChar w:fldCharType="end"/>
      </w:r>
    </w:p>
    <w:p w14:paraId="016E5868">
      <w:pPr>
        <w:pStyle w:val="9"/>
        <w:tabs>
          <w:tab w:val="right" w:leader="dot" w:pos="8296"/>
        </w:tabs>
        <w:rPr>
          <w:rFonts w:asciiTheme="minorHAnsi" w:hAnsiTheme="minorHAnsi"/>
          <w:sz w:val="22"/>
        </w:rPr>
      </w:pPr>
      <w:r>
        <w:fldChar w:fldCharType="begin"/>
      </w:r>
      <w:r>
        <w:instrText xml:space="preserve"> HYPERLINK \l "_Toc256000345" </w:instrText>
      </w:r>
      <w:r>
        <w:fldChar w:fldCharType="separate"/>
      </w:r>
      <w:r>
        <w:rPr>
          <w:rStyle w:val="21"/>
          <w:b/>
        </w:rPr>
        <w:t>12.3 计量</w:t>
      </w:r>
      <w:r>
        <w:tab/>
      </w:r>
      <w:r>
        <w:fldChar w:fldCharType="begin"/>
      </w:r>
      <w:r>
        <w:instrText xml:space="preserve"> PAGEREF _Toc256000345 \h </w:instrText>
      </w:r>
      <w:r>
        <w:fldChar w:fldCharType="separate"/>
      </w:r>
      <w:r>
        <w:t>153</w:t>
      </w:r>
      <w:r>
        <w:fldChar w:fldCharType="end"/>
      </w:r>
      <w:r>
        <w:fldChar w:fldCharType="end"/>
      </w:r>
    </w:p>
    <w:p w14:paraId="7154FEF4">
      <w:pPr>
        <w:pStyle w:val="9"/>
        <w:tabs>
          <w:tab w:val="right" w:leader="dot" w:pos="8296"/>
        </w:tabs>
        <w:rPr>
          <w:rFonts w:asciiTheme="minorHAnsi" w:hAnsiTheme="minorHAnsi"/>
          <w:sz w:val="22"/>
        </w:rPr>
      </w:pPr>
      <w:r>
        <w:fldChar w:fldCharType="begin"/>
      </w:r>
      <w:r>
        <w:instrText xml:space="preserve"> HYPERLINK \l "_Toc256000346" </w:instrText>
      </w:r>
      <w:r>
        <w:fldChar w:fldCharType="separate"/>
      </w:r>
      <w:r>
        <w:rPr>
          <w:rStyle w:val="21"/>
          <w:b/>
        </w:rPr>
        <w:t>12.4 工程进度款支付</w:t>
      </w:r>
      <w:r>
        <w:tab/>
      </w:r>
      <w:r>
        <w:fldChar w:fldCharType="begin"/>
      </w:r>
      <w:r>
        <w:instrText xml:space="preserve"> PAGEREF _Toc256000346 \h </w:instrText>
      </w:r>
      <w:r>
        <w:fldChar w:fldCharType="separate"/>
      </w:r>
      <w:r>
        <w:t>154</w:t>
      </w:r>
      <w:r>
        <w:fldChar w:fldCharType="end"/>
      </w:r>
      <w:r>
        <w:fldChar w:fldCharType="end"/>
      </w:r>
    </w:p>
    <w:p w14:paraId="2E6553DE">
      <w:pPr>
        <w:pStyle w:val="14"/>
        <w:tabs>
          <w:tab w:val="right" w:leader="dot" w:pos="8296"/>
        </w:tabs>
        <w:rPr>
          <w:rFonts w:asciiTheme="minorHAnsi" w:hAnsiTheme="minorHAnsi"/>
          <w:sz w:val="22"/>
        </w:rPr>
      </w:pPr>
      <w:r>
        <w:fldChar w:fldCharType="begin"/>
      </w:r>
      <w:r>
        <w:instrText xml:space="preserve"> HYPERLINK \l "_Toc256000347" </w:instrText>
      </w:r>
      <w:r>
        <w:fldChar w:fldCharType="separate"/>
      </w:r>
      <w:r>
        <w:rPr>
          <w:rStyle w:val="21"/>
          <w:b/>
        </w:rPr>
        <w:t>13.</w:t>
      </w:r>
      <w:r>
        <w:rPr>
          <w:rStyle w:val="21"/>
          <w:rFonts w:hint="eastAsia"/>
          <w:b/>
        </w:rPr>
        <w:t xml:space="preserve"> </w:t>
      </w:r>
      <w:r>
        <w:rPr>
          <w:rStyle w:val="21"/>
          <w:b/>
        </w:rPr>
        <w:t>验收和工程试车</w:t>
      </w:r>
      <w:r>
        <w:tab/>
      </w:r>
      <w:r>
        <w:fldChar w:fldCharType="begin"/>
      </w:r>
      <w:r>
        <w:instrText xml:space="preserve"> PAGEREF _Toc256000347 \h </w:instrText>
      </w:r>
      <w:r>
        <w:fldChar w:fldCharType="separate"/>
      </w:r>
      <w:r>
        <w:t>155</w:t>
      </w:r>
      <w:r>
        <w:fldChar w:fldCharType="end"/>
      </w:r>
      <w:r>
        <w:fldChar w:fldCharType="end"/>
      </w:r>
    </w:p>
    <w:p w14:paraId="7321BE19">
      <w:pPr>
        <w:pStyle w:val="9"/>
        <w:tabs>
          <w:tab w:val="right" w:leader="dot" w:pos="8296"/>
        </w:tabs>
        <w:rPr>
          <w:rFonts w:asciiTheme="minorHAnsi" w:hAnsiTheme="minorHAnsi"/>
          <w:sz w:val="22"/>
        </w:rPr>
      </w:pPr>
      <w:r>
        <w:fldChar w:fldCharType="begin"/>
      </w:r>
      <w:r>
        <w:instrText xml:space="preserve"> HYPERLINK \l "_Toc256000348" </w:instrText>
      </w:r>
      <w:r>
        <w:fldChar w:fldCharType="separate"/>
      </w:r>
      <w:r>
        <w:rPr>
          <w:rStyle w:val="21"/>
          <w:b/>
        </w:rPr>
        <w:t>13.1 分部分项工程验收</w:t>
      </w:r>
      <w:r>
        <w:tab/>
      </w:r>
      <w:r>
        <w:fldChar w:fldCharType="begin"/>
      </w:r>
      <w:r>
        <w:instrText xml:space="preserve"> PAGEREF _Toc256000348 \h </w:instrText>
      </w:r>
      <w:r>
        <w:fldChar w:fldCharType="separate"/>
      </w:r>
      <w:r>
        <w:t>155</w:t>
      </w:r>
      <w:r>
        <w:fldChar w:fldCharType="end"/>
      </w:r>
      <w:r>
        <w:fldChar w:fldCharType="end"/>
      </w:r>
    </w:p>
    <w:p w14:paraId="088FD3EE">
      <w:pPr>
        <w:pStyle w:val="9"/>
        <w:tabs>
          <w:tab w:val="right" w:leader="dot" w:pos="8296"/>
        </w:tabs>
        <w:rPr>
          <w:rFonts w:asciiTheme="minorHAnsi" w:hAnsiTheme="minorHAnsi"/>
          <w:sz w:val="22"/>
        </w:rPr>
      </w:pPr>
      <w:r>
        <w:fldChar w:fldCharType="begin"/>
      </w:r>
      <w:r>
        <w:instrText xml:space="preserve"> HYPERLINK \l "_Toc256000349" </w:instrText>
      </w:r>
      <w:r>
        <w:fldChar w:fldCharType="separate"/>
      </w:r>
      <w:r>
        <w:rPr>
          <w:rStyle w:val="21"/>
          <w:b/>
        </w:rPr>
        <w:t>13.2 竣工验收</w:t>
      </w:r>
      <w:r>
        <w:tab/>
      </w:r>
      <w:r>
        <w:fldChar w:fldCharType="begin"/>
      </w:r>
      <w:r>
        <w:instrText xml:space="preserve"> PAGEREF _Toc256000349 \h </w:instrText>
      </w:r>
      <w:r>
        <w:fldChar w:fldCharType="separate"/>
      </w:r>
      <w:r>
        <w:t>155</w:t>
      </w:r>
      <w:r>
        <w:fldChar w:fldCharType="end"/>
      </w:r>
      <w:r>
        <w:fldChar w:fldCharType="end"/>
      </w:r>
    </w:p>
    <w:p w14:paraId="3E7255CD">
      <w:pPr>
        <w:pStyle w:val="9"/>
        <w:tabs>
          <w:tab w:val="right" w:leader="dot" w:pos="8296"/>
        </w:tabs>
        <w:rPr>
          <w:rFonts w:asciiTheme="minorHAnsi" w:hAnsiTheme="minorHAnsi"/>
          <w:sz w:val="22"/>
        </w:rPr>
      </w:pPr>
      <w:r>
        <w:fldChar w:fldCharType="begin"/>
      </w:r>
      <w:r>
        <w:instrText xml:space="preserve"> HYPERLINK \l "_Toc256000350" </w:instrText>
      </w:r>
      <w:r>
        <w:fldChar w:fldCharType="separate"/>
      </w:r>
      <w:r>
        <w:rPr>
          <w:rStyle w:val="21"/>
          <w:b/>
        </w:rPr>
        <w:t>13.3 工程试车</w:t>
      </w:r>
      <w:r>
        <w:tab/>
      </w:r>
      <w:r>
        <w:fldChar w:fldCharType="begin"/>
      </w:r>
      <w:r>
        <w:instrText xml:space="preserve"> PAGEREF _Toc256000350 \h </w:instrText>
      </w:r>
      <w:r>
        <w:fldChar w:fldCharType="separate"/>
      </w:r>
      <w:r>
        <w:t>155</w:t>
      </w:r>
      <w:r>
        <w:fldChar w:fldCharType="end"/>
      </w:r>
      <w:r>
        <w:fldChar w:fldCharType="end"/>
      </w:r>
    </w:p>
    <w:p w14:paraId="3DADFCA5">
      <w:pPr>
        <w:pStyle w:val="9"/>
        <w:tabs>
          <w:tab w:val="right" w:leader="dot" w:pos="8296"/>
        </w:tabs>
        <w:rPr>
          <w:rFonts w:asciiTheme="minorHAnsi" w:hAnsiTheme="minorHAnsi"/>
          <w:sz w:val="22"/>
        </w:rPr>
      </w:pPr>
      <w:r>
        <w:fldChar w:fldCharType="begin"/>
      </w:r>
      <w:r>
        <w:instrText xml:space="preserve"> HYPERLINK \l "_Toc256000351" </w:instrText>
      </w:r>
      <w:r>
        <w:fldChar w:fldCharType="separate"/>
      </w:r>
      <w:r>
        <w:rPr>
          <w:rStyle w:val="21"/>
          <w:b/>
        </w:rPr>
        <w:t>13.6 竣工退场</w:t>
      </w:r>
      <w:r>
        <w:tab/>
      </w:r>
      <w:r>
        <w:fldChar w:fldCharType="begin"/>
      </w:r>
      <w:r>
        <w:instrText xml:space="preserve"> PAGEREF _Toc256000351 \h </w:instrText>
      </w:r>
      <w:r>
        <w:fldChar w:fldCharType="separate"/>
      </w:r>
      <w:r>
        <w:t>155</w:t>
      </w:r>
      <w:r>
        <w:fldChar w:fldCharType="end"/>
      </w:r>
      <w:r>
        <w:fldChar w:fldCharType="end"/>
      </w:r>
    </w:p>
    <w:p w14:paraId="2FB82282">
      <w:pPr>
        <w:pStyle w:val="14"/>
        <w:tabs>
          <w:tab w:val="right" w:leader="dot" w:pos="8296"/>
        </w:tabs>
        <w:rPr>
          <w:rFonts w:asciiTheme="minorHAnsi" w:hAnsiTheme="minorHAnsi"/>
          <w:sz w:val="22"/>
        </w:rPr>
      </w:pPr>
      <w:r>
        <w:fldChar w:fldCharType="begin"/>
      </w:r>
      <w:r>
        <w:instrText xml:space="preserve"> HYPERLINK \l "_Toc256000352" </w:instrText>
      </w:r>
      <w:r>
        <w:fldChar w:fldCharType="separate"/>
      </w:r>
      <w:r>
        <w:rPr>
          <w:rStyle w:val="21"/>
          <w:b/>
        </w:rPr>
        <w:t>14. 竣工结算</w:t>
      </w:r>
      <w:r>
        <w:tab/>
      </w:r>
      <w:r>
        <w:fldChar w:fldCharType="begin"/>
      </w:r>
      <w:r>
        <w:instrText xml:space="preserve"> PAGEREF _Toc256000352 \h </w:instrText>
      </w:r>
      <w:r>
        <w:fldChar w:fldCharType="separate"/>
      </w:r>
      <w:r>
        <w:t>155</w:t>
      </w:r>
      <w:r>
        <w:fldChar w:fldCharType="end"/>
      </w:r>
      <w:r>
        <w:fldChar w:fldCharType="end"/>
      </w:r>
    </w:p>
    <w:p w14:paraId="69D31D73">
      <w:pPr>
        <w:pStyle w:val="9"/>
        <w:tabs>
          <w:tab w:val="right" w:leader="dot" w:pos="8296"/>
        </w:tabs>
        <w:rPr>
          <w:rFonts w:asciiTheme="minorHAnsi" w:hAnsiTheme="minorHAnsi"/>
          <w:sz w:val="22"/>
        </w:rPr>
      </w:pPr>
      <w:r>
        <w:fldChar w:fldCharType="begin"/>
      </w:r>
      <w:r>
        <w:instrText xml:space="preserve"> HYPERLINK \l "_Toc256000353" </w:instrText>
      </w:r>
      <w:r>
        <w:fldChar w:fldCharType="separate"/>
      </w:r>
      <w:r>
        <w:rPr>
          <w:rStyle w:val="21"/>
          <w:b/>
        </w:rPr>
        <w:t>14.1 竣工</w:t>
      </w:r>
      <w:r>
        <w:rPr>
          <w:rStyle w:val="21"/>
          <w:rFonts w:hint="eastAsia"/>
          <w:b/>
        </w:rPr>
        <w:t>结算</w:t>
      </w:r>
      <w:r>
        <w:rPr>
          <w:rStyle w:val="21"/>
          <w:b/>
        </w:rPr>
        <w:t>申请</w:t>
      </w:r>
      <w:r>
        <w:tab/>
      </w:r>
      <w:r>
        <w:fldChar w:fldCharType="begin"/>
      </w:r>
      <w:r>
        <w:instrText xml:space="preserve"> PAGEREF _Toc256000353 \h </w:instrText>
      </w:r>
      <w:r>
        <w:fldChar w:fldCharType="separate"/>
      </w:r>
      <w:r>
        <w:t>155</w:t>
      </w:r>
      <w:r>
        <w:fldChar w:fldCharType="end"/>
      </w:r>
      <w:r>
        <w:fldChar w:fldCharType="end"/>
      </w:r>
    </w:p>
    <w:p w14:paraId="65109E09">
      <w:pPr>
        <w:pStyle w:val="9"/>
        <w:tabs>
          <w:tab w:val="right" w:leader="dot" w:pos="8296"/>
        </w:tabs>
        <w:rPr>
          <w:rFonts w:asciiTheme="minorHAnsi" w:hAnsiTheme="minorHAnsi"/>
          <w:sz w:val="22"/>
        </w:rPr>
      </w:pPr>
      <w:r>
        <w:fldChar w:fldCharType="begin"/>
      </w:r>
      <w:r>
        <w:instrText xml:space="preserve"> HYPERLINK \l "_Toc256000354" </w:instrText>
      </w:r>
      <w:r>
        <w:fldChar w:fldCharType="separate"/>
      </w:r>
      <w:r>
        <w:rPr>
          <w:rStyle w:val="21"/>
          <w:b/>
        </w:rPr>
        <w:t>14.2 竣工结算审核</w:t>
      </w:r>
      <w:r>
        <w:tab/>
      </w:r>
      <w:r>
        <w:fldChar w:fldCharType="begin"/>
      </w:r>
      <w:r>
        <w:instrText xml:space="preserve"> PAGEREF _Toc256000354 \h </w:instrText>
      </w:r>
      <w:r>
        <w:fldChar w:fldCharType="separate"/>
      </w:r>
      <w:r>
        <w:t>156</w:t>
      </w:r>
      <w:r>
        <w:fldChar w:fldCharType="end"/>
      </w:r>
      <w:r>
        <w:fldChar w:fldCharType="end"/>
      </w:r>
    </w:p>
    <w:p w14:paraId="1D64F36E">
      <w:pPr>
        <w:pStyle w:val="9"/>
        <w:tabs>
          <w:tab w:val="right" w:leader="dot" w:pos="8296"/>
        </w:tabs>
        <w:rPr>
          <w:rFonts w:asciiTheme="minorHAnsi" w:hAnsiTheme="minorHAnsi"/>
          <w:sz w:val="22"/>
        </w:rPr>
      </w:pPr>
      <w:r>
        <w:fldChar w:fldCharType="begin"/>
      </w:r>
      <w:r>
        <w:instrText xml:space="preserve"> HYPERLINK \l "_Toc256000355" </w:instrText>
      </w:r>
      <w:r>
        <w:fldChar w:fldCharType="separate"/>
      </w:r>
      <w:r>
        <w:rPr>
          <w:rStyle w:val="21"/>
          <w:b/>
        </w:rPr>
        <w:t>14.4 最终结清</w:t>
      </w:r>
      <w:r>
        <w:tab/>
      </w:r>
      <w:r>
        <w:fldChar w:fldCharType="begin"/>
      </w:r>
      <w:r>
        <w:instrText xml:space="preserve"> PAGEREF _Toc256000355 \h </w:instrText>
      </w:r>
      <w:r>
        <w:fldChar w:fldCharType="separate"/>
      </w:r>
      <w:r>
        <w:t>156</w:t>
      </w:r>
      <w:r>
        <w:fldChar w:fldCharType="end"/>
      </w:r>
      <w:r>
        <w:fldChar w:fldCharType="end"/>
      </w:r>
    </w:p>
    <w:p w14:paraId="4E90BF99">
      <w:pPr>
        <w:pStyle w:val="14"/>
        <w:tabs>
          <w:tab w:val="right" w:leader="dot" w:pos="8296"/>
        </w:tabs>
        <w:rPr>
          <w:rFonts w:asciiTheme="minorHAnsi" w:hAnsiTheme="minorHAnsi"/>
          <w:sz w:val="22"/>
        </w:rPr>
      </w:pPr>
      <w:r>
        <w:fldChar w:fldCharType="begin"/>
      </w:r>
      <w:r>
        <w:instrText xml:space="preserve"> HYPERLINK \l "_Toc256000356" </w:instrText>
      </w:r>
      <w:r>
        <w:fldChar w:fldCharType="separate"/>
      </w:r>
      <w:r>
        <w:rPr>
          <w:rStyle w:val="21"/>
          <w:b/>
        </w:rPr>
        <w:t>15. 缺陷责任期与保修</w:t>
      </w:r>
      <w:r>
        <w:tab/>
      </w:r>
      <w:r>
        <w:fldChar w:fldCharType="begin"/>
      </w:r>
      <w:r>
        <w:instrText xml:space="preserve"> PAGEREF _Toc256000356 \h </w:instrText>
      </w:r>
      <w:r>
        <w:fldChar w:fldCharType="separate"/>
      </w:r>
      <w:r>
        <w:t>156</w:t>
      </w:r>
      <w:r>
        <w:fldChar w:fldCharType="end"/>
      </w:r>
      <w:r>
        <w:fldChar w:fldCharType="end"/>
      </w:r>
    </w:p>
    <w:p w14:paraId="4AC71EEC">
      <w:pPr>
        <w:pStyle w:val="9"/>
        <w:tabs>
          <w:tab w:val="right" w:leader="dot" w:pos="8296"/>
        </w:tabs>
        <w:rPr>
          <w:rFonts w:asciiTheme="minorHAnsi" w:hAnsiTheme="minorHAnsi"/>
          <w:sz w:val="22"/>
        </w:rPr>
      </w:pPr>
      <w:r>
        <w:fldChar w:fldCharType="begin"/>
      </w:r>
      <w:r>
        <w:instrText xml:space="preserve"> HYPERLINK \l "_Toc256000357" </w:instrText>
      </w:r>
      <w:r>
        <w:fldChar w:fldCharType="separate"/>
      </w:r>
      <w:r>
        <w:rPr>
          <w:rStyle w:val="21"/>
          <w:b/>
        </w:rPr>
        <w:t>15.2缺陷责任期</w:t>
      </w:r>
      <w:r>
        <w:tab/>
      </w:r>
      <w:r>
        <w:fldChar w:fldCharType="begin"/>
      </w:r>
      <w:r>
        <w:instrText xml:space="preserve"> PAGEREF _Toc256000357 \h </w:instrText>
      </w:r>
      <w:r>
        <w:fldChar w:fldCharType="separate"/>
      </w:r>
      <w:r>
        <w:t>156</w:t>
      </w:r>
      <w:r>
        <w:fldChar w:fldCharType="end"/>
      </w:r>
      <w:r>
        <w:fldChar w:fldCharType="end"/>
      </w:r>
    </w:p>
    <w:p w14:paraId="74C0C5A4">
      <w:pPr>
        <w:pStyle w:val="9"/>
        <w:tabs>
          <w:tab w:val="right" w:leader="dot" w:pos="8296"/>
        </w:tabs>
        <w:rPr>
          <w:rFonts w:asciiTheme="minorHAnsi" w:hAnsiTheme="minorHAnsi"/>
          <w:sz w:val="22"/>
        </w:rPr>
      </w:pPr>
      <w:r>
        <w:fldChar w:fldCharType="begin"/>
      </w:r>
      <w:r>
        <w:instrText xml:space="preserve"> HYPERLINK \l "_Toc256000358" </w:instrText>
      </w:r>
      <w:r>
        <w:fldChar w:fldCharType="separate"/>
      </w:r>
      <w:r>
        <w:rPr>
          <w:rStyle w:val="21"/>
          <w:b/>
        </w:rPr>
        <w:t>15.3 质量保证金</w:t>
      </w:r>
      <w:r>
        <w:tab/>
      </w:r>
      <w:r>
        <w:fldChar w:fldCharType="begin"/>
      </w:r>
      <w:r>
        <w:instrText xml:space="preserve"> PAGEREF _Toc256000358 \h </w:instrText>
      </w:r>
      <w:r>
        <w:fldChar w:fldCharType="separate"/>
      </w:r>
      <w:r>
        <w:t>156</w:t>
      </w:r>
      <w:r>
        <w:fldChar w:fldCharType="end"/>
      </w:r>
      <w:r>
        <w:fldChar w:fldCharType="end"/>
      </w:r>
    </w:p>
    <w:p w14:paraId="37CEFBD9">
      <w:pPr>
        <w:pStyle w:val="9"/>
        <w:tabs>
          <w:tab w:val="right" w:leader="dot" w:pos="8296"/>
        </w:tabs>
        <w:rPr>
          <w:rFonts w:asciiTheme="minorHAnsi" w:hAnsiTheme="minorHAnsi"/>
          <w:sz w:val="22"/>
        </w:rPr>
      </w:pPr>
      <w:r>
        <w:fldChar w:fldCharType="begin"/>
      </w:r>
      <w:r>
        <w:instrText xml:space="preserve"> HYPERLINK \l "_Toc256000359" </w:instrText>
      </w:r>
      <w:r>
        <w:fldChar w:fldCharType="separate"/>
      </w:r>
      <w:r>
        <w:rPr>
          <w:rStyle w:val="21"/>
          <w:b/>
        </w:rPr>
        <w:t>15.4保修</w:t>
      </w:r>
      <w:r>
        <w:tab/>
      </w:r>
      <w:r>
        <w:fldChar w:fldCharType="begin"/>
      </w:r>
      <w:r>
        <w:instrText xml:space="preserve"> PAGEREF _Toc256000359 \h </w:instrText>
      </w:r>
      <w:r>
        <w:fldChar w:fldCharType="separate"/>
      </w:r>
      <w:r>
        <w:t>157</w:t>
      </w:r>
      <w:r>
        <w:fldChar w:fldCharType="end"/>
      </w:r>
      <w:r>
        <w:fldChar w:fldCharType="end"/>
      </w:r>
    </w:p>
    <w:p w14:paraId="33A612DD">
      <w:pPr>
        <w:pStyle w:val="14"/>
        <w:tabs>
          <w:tab w:val="right" w:leader="dot" w:pos="8296"/>
        </w:tabs>
        <w:rPr>
          <w:rFonts w:asciiTheme="minorHAnsi" w:hAnsiTheme="minorHAnsi"/>
          <w:sz w:val="22"/>
        </w:rPr>
      </w:pPr>
      <w:r>
        <w:fldChar w:fldCharType="begin"/>
      </w:r>
      <w:r>
        <w:instrText xml:space="preserve"> HYPERLINK \l "_Toc256000360" </w:instrText>
      </w:r>
      <w:r>
        <w:fldChar w:fldCharType="separate"/>
      </w:r>
      <w:r>
        <w:rPr>
          <w:rStyle w:val="21"/>
          <w:b/>
        </w:rPr>
        <w:t>16. 违约</w:t>
      </w:r>
      <w:r>
        <w:tab/>
      </w:r>
      <w:r>
        <w:fldChar w:fldCharType="begin"/>
      </w:r>
      <w:r>
        <w:instrText xml:space="preserve"> PAGEREF _Toc256000360 \h </w:instrText>
      </w:r>
      <w:r>
        <w:fldChar w:fldCharType="separate"/>
      </w:r>
      <w:r>
        <w:t>157</w:t>
      </w:r>
      <w:r>
        <w:fldChar w:fldCharType="end"/>
      </w:r>
      <w:r>
        <w:fldChar w:fldCharType="end"/>
      </w:r>
    </w:p>
    <w:p w14:paraId="6D68C1ED">
      <w:pPr>
        <w:pStyle w:val="9"/>
        <w:tabs>
          <w:tab w:val="right" w:leader="dot" w:pos="8296"/>
        </w:tabs>
        <w:rPr>
          <w:rFonts w:asciiTheme="minorHAnsi" w:hAnsiTheme="minorHAnsi"/>
          <w:sz w:val="22"/>
        </w:rPr>
      </w:pPr>
      <w:r>
        <w:fldChar w:fldCharType="begin"/>
      </w:r>
      <w:r>
        <w:instrText xml:space="preserve"> HYPERLINK \l "_Toc256000361" </w:instrText>
      </w:r>
      <w:r>
        <w:fldChar w:fldCharType="separate"/>
      </w:r>
      <w:r>
        <w:rPr>
          <w:rStyle w:val="21"/>
          <w:b/>
        </w:rPr>
        <w:t>16.1 发包人违约</w:t>
      </w:r>
      <w:r>
        <w:tab/>
      </w:r>
      <w:r>
        <w:fldChar w:fldCharType="begin"/>
      </w:r>
      <w:r>
        <w:instrText xml:space="preserve"> PAGEREF _Toc256000361 \h </w:instrText>
      </w:r>
      <w:r>
        <w:fldChar w:fldCharType="separate"/>
      </w:r>
      <w:r>
        <w:t>157</w:t>
      </w:r>
      <w:r>
        <w:fldChar w:fldCharType="end"/>
      </w:r>
      <w:r>
        <w:fldChar w:fldCharType="end"/>
      </w:r>
    </w:p>
    <w:p w14:paraId="3D81CF31">
      <w:pPr>
        <w:pStyle w:val="9"/>
        <w:tabs>
          <w:tab w:val="right" w:leader="dot" w:pos="8296"/>
        </w:tabs>
        <w:rPr>
          <w:rFonts w:asciiTheme="minorHAnsi" w:hAnsiTheme="minorHAnsi"/>
          <w:sz w:val="22"/>
        </w:rPr>
      </w:pPr>
      <w:r>
        <w:fldChar w:fldCharType="begin"/>
      </w:r>
      <w:r>
        <w:instrText xml:space="preserve"> HYPERLINK \l "_Toc256000362" </w:instrText>
      </w:r>
      <w:r>
        <w:fldChar w:fldCharType="separate"/>
      </w:r>
      <w:r>
        <w:rPr>
          <w:rStyle w:val="21"/>
          <w:b/>
        </w:rPr>
        <w:t>16.2 承包人违约</w:t>
      </w:r>
      <w:r>
        <w:tab/>
      </w:r>
      <w:r>
        <w:fldChar w:fldCharType="begin"/>
      </w:r>
      <w:r>
        <w:instrText xml:space="preserve"> PAGEREF _Toc256000362 \h </w:instrText>
      </w:r>
      <w:r>
        <w:fldChar w:fldCharType="separate"/>
      </w:r>
      <w:r>
        <w:t>158</w:t>
      </w:r>
      <w:r>
        <w:fldChar w:fldCharType="end"/>
      </w:r>
      <w:r>
        <w:fldChar w:fldCharType="end"/>
      </w:r>
    </w:p>
    <w:p w14:paraId="7896E5EF">
      <w:pPr>
        <w:pStyle w:val="14"/>
        <w:tabs>
          <w:tab w:val="right" w:leader="dot" w:pos="8296"/>
        </w:tabs>
        <w:rPr>
          <w:rFonts w:asciiTheme="minorHAnsi" w:hAnsiTheme="minorHAnsi"/>
          <w:sz w:val="22"/>
        </w:rPr>
      </w:pPr>
      <w:r>
        <w:fldChar w:fldCharType="begin"/>
      </w:r>
      <w:r>
        <w:instrText xml:space="preserve"> HYPERLINK \l "_Toc256000363" </w:instrText>
      </w:r>
      <w:r>
        <w:fldChar w:fldCharType="separate"/>
      </w:r>
      <w:r>
        <w:rPr>
          <w:rStyle w:val="21"/>
          <w:b/>
        </w:rPr>
        <w:t>17. 不可抗力</w:t>
      </w:r>
      <w:r>
        <w:tab/>
      </w:r>
      <w:r>
        <w:fldChar w:fldCharType="begin"/>
      </w:r>
      <w:r>
        <w:instrText xml:space="preserve"> PAGEREF _Toc256000363 \h </w:instrText>
      </w:r>
      <w:r>
        <w:fldChar w:fldCharType="separate"/>
      </w:r>
      <w:r>
        <w:t>158</w:t>
      </w:r>
      <w:r>
        <w:fldChar w:fldCharType="end"/>
      </w:r>
      <w:r>
        <w:fldChar w:fldCharType="end"/>
      </w:r>
    </w:p>
    <w:p w14:paraId="37FFA2E0">
      <w:pPr>
        <w:pStyle w:val="9"/>
        <w:tabs>
          <w:tab w:val="right" w:leader="dot" w:pos="8296"/>
        </w:tabs>
        <w:rPr>
          <w:rFonts w:asciiTheme="minorHAnsi" w:hAnsiTheme="minorHAnsi"/>
          <w:sz w:val="22"/>
        </w:rPr>
      </w:pPr>
      <w:r>
        <w:fldChar w:fldCharType="begin"/>
      </w:r>
      <w:r>
        <w:instrText xml:space="preserve"> HYPERLINK \l "_Toc256000364" </w:instrText>
      </w:r>
      <w:r>
        <w:fldChar w:fldCharType="separate"/>
      </w:r>
      <w:r>
        <w:rPr>
          <w:rStyle w:val="21"/>
          <w:b/>
        </w:rPr>
        <w:t>17.1 不可抗力的确认</w:t>
      </w:r>
      <w:r>
        <w:tab/>
      </w:r>
      <w:r>
        <w:fldChar w:fldCharType="begin"/>
      </w:r>
      <w:r>
        <w:instrText xml:space="preserve"> PAGEREF _Toc256000364 \h </w:instrText>
      </w:r>
      <w:r>
        <w:fldChar w:fldCharType="separate"/>
      </w:r>
      <w:r>
        <w:t>158</w:t>
      </w:r>
      <w:r>
        <w:fldChar w:fldCharType="end"/>
      </w:r>
      <w:r>
        <w:fldChar w:fldCharType="end"/>
      </w:r>
    </w:p>
    <w:p w14:paraId="0E4ECAF1">
      <w:pPr>
        <w:pStyle w:val="9"/>
        <w:tabs>
          <w:tab w:val="right" w:leader="dot" w:pos="8296"/>
        </w:tabs>
        <w:rPr>
          <w:rFonts w:asciiTheme="minorHAnsi" w:hAnsiTheme="minorHAnsi"/>
          <w:sz w:val="22"/>
        </w:rPr>
      </w:pPr>
      <w:r>
        <w:fldChar w:fldCharType="begin"/>
      </w:r>
      <w:r>
        <w:instrText xml:space="preserve"> HYPERLINK \l "_Toc256000365" </w:instrText>
      </w:r>
      <w:r>
        <w:fldChar w:fldCharType="separate"/>
      </w:r>
      <w:r>
        <w:rPr>
          <w:rStyle w:val="21"/>
          <w:b/>
        </w:rPr>
        <w:t>17.4 因不可抗力解除合同</w:t>
      </w:r>
      <w:r>
        <w:tab/>
      </w:r>
      <w:r>
        <w:fldChar w:fldCharType="begin"/>
      </w:r>
      <w:r>
        <w:instrText xml:space="preserve"> PAGEREF _Toc256000365 \h </w:instrText>
      </w:r>
      <w:r>
        <w:fldChar w:fldCharType="separate"/>
      </w:r>
      <w:r>
        <w:t>158</w:t>
      </w:r>
      <w:r>
        <w:fldChar w:fldCharType="end"/>
      </w:r>
      <w:r>
        <w:fldChar w:fldCharType="end"/>
      </w:r>
    </w:p>
    <w:p w14:paraId="0F2E3AA7">
      <w:pPr>
        <w:pStyle w:val="14"/>
        <w:tabs>
          <w:tab w:val="right" w:leader="dot" w:pos="8296"/>
        </w:tabs>
        <w:rPr>
          <w:rFonts w:asciiTheme="minorHAnsi" w:hAnsiTheme="minorHAnsi"/>
          <w:sz w:val="22"/>
        </w:rPr>
      </w:pPr>
      <w:r>
        <w:fldChar w:fldCharType="begin"/>
      </w:r>
      <w:r>
        <w:instrText xml:space="preserve"> HYPERLINK \l "_Toc256000366" </w:instrText>
      </w:r>
      <w:r>
        <w:fldChar w:fldCharType="separate"/>
      </w:r>
      <w:r>
        <w:rPr>
          <w:rStyle w:val="21"/>
          <w:b/>
        </w:rPr>
        <w:t>18. 保险</w:t>
      </w:r>
      <w:r>
        <w:tab/>
      </w:r>
      <w:r>
        <w:fldChar w:fldCharType="begin"/>
      </w:r>
      <w:r>
        <w:instrText xml:space="preserve"> PAGEREF _Toc256000366 \h </w:instrText>
      </w:r>
      <w:r>
        <w:fldChar w:fldCharType="separate"/>
      </w:r>
      <w:r>
        <w:t>158</w:t>
      </w:r>
      <w:r>
        <w:fldChar w:fldCharType="end"/>
      </w:r>
      <w:r>
        <w:fldChar w:fldCharType="end"/>
      </w:r>
    </w:p>
    <w:p w14:paraId="66D5F380">
      <w:pPr>
        <w:pStyle w:val="9"/>
        <w:tabs>
          <w:tab w:val="right" w:leader="dot" w:pos="8296"/>
        </w:tabs>
        <w:rPr>
          <w:rFonts w:asciiTheme="minorHAnsi" w:hAnsiTheme="minorHAnsi"/>
          <w:sz w:val="22"/>
        </w:rPr>
      </w:pPr>
      <w:r>
        <w:fldChar w:fldCharType="begin"/>
      </w:r>
      <w:r>
        <w:instrText xml:space="preserve"> HYPERLINK \l "_Toc256000367" </w:instrText>
      </w:r>
      <w:r>
        <w:fldChar w:fldCharType="separate"/>
      </w:r>
      <w:r>
        <w:rPr>
          <w:rStyle w:val="21"/>
          <w:b/>
        </w:rPr>
        <w:t>18.1 工程保险</w:t>
      </w:r>
      <w:r>
        <w:tab/>
      </w:r>
      <w:r>
        <w:fldChar w:fldCharType="begin"/>
      </w:r>
      <w:r>
        <w:instrText xml:space="preserve"> PAGEREF _Toc256000367 \h </w:instrText>
      </w:r>
      <w:r>
        <w:fldChar w:fldCharType="separate"/>
      </w:r>
      <w:r>
        <w:t>158</w:t>
      </w:r>
      <w:r>
        <w:fldChar w:fldCharType="end"/>
      </w:r>
      <w:r>
        <w:fldChar w:fldCharType="end"/>
      </w:r>
    </w:p>
    <w:p w14:paraId="19127312">
      <w:pPr>
        <w:pStyle w:val="9"/>
        <w:tabs>
          <w:tab w:val="right" w:leader="dot" w:pos="8296"/>
        </w:tabs>
        <w:rPr>
          <w:rFonts w:asciiTheme="minorHAnsi" w:hAnsiTheme="minorHAnsi"/>
          <w:sz w:val="22"/>
        </w:rPr>
      </w:pPr>
      <w:r>
        <w:fldChar w:fldCharType="begin"/>
      </w:r>
      <w:r>
        <w:instrText xml:space="preserve"> HYPERLINK \l "_Toc256000368" </w:instrText>
      </w:r>
      <w:r>
        <w:fldChar w:fldCharType="separate"/>
      </w:r>
      <w:r>
        <w:rPr>
          <w:rStyle w:val="21"/>
          <w:b/>
        </w:rPr>
        <w:t>18.3 其他保险</w:t>
      </w:r>
      <w:r>
        <w:tab/>
      </w:r>
      <w:r>
        <w:fldChar w:fldCharType="begin"/>
      </w:r>
      <w:r>
        <w:instrText xml:space="preserve"> PAGEREF _Toc256000368 \h </w:instrText>
      </w:r>
      <w:r>
        <w:fldChar w:fldCharType="separate"/>
      </w:r>
      <w:r>
        <w:t>158</w:t>
      </w:r>
      <w:r>
        <w:fldChar w:fldCharType="end"/>
      </w:r>
      <w:r>
        <w:fldChar w:fldCharType="end"/>
      </w:r>
    </w:p>
    <w:p w14:paraId="27368A4A">
      <w:pPr>
        <w:pStyle w:val="9"/>
        <w:tabs>
          <w:tab w:val="right" w:leader="dot" w:pos="8296"/>
        </w:tabs>
        <w:rPr>
          <w:rFonts w:asciiTheme="minorHAnsi" w:hAnsiTheme="minorHAnsi"/>
          <w:sz w:val="22"/>
        </w:rPr>
      </w:pPr>
      <w:r>
        <w:fldChar w:fldCharType="begin"/>
      </w:r>
      <w:r>
        <w:instrText xml:space="preserve"> HYPERLINK \l "_Toc256000369" </w:instrText>
      </w:r>
      <w:r>
        <w:fldChar w:fldCharType="separate"/>
      </w:r>
      <w:r>
        <w:rPr>
          <w:rStyle w:val="21"/>
          <w:b/>
        </w:rPr>
        <w:t>18.7 通知义务</w:t>
      </w:r>
      <w:r>
        <w:tab/>
      </w:r>
      <w:r>
        <w:fldChar w:fldCharType="begin"/>
      </w:r>
      <w:r>
        <w:instrText xml:space="preserve"> PAGEREF _Toc256000369 \h </w:instrText>
      </w:r>
      <w:r>
        <w:fldChar w:fldCharType="separate"/>
      </w:r>
      <w:r>
        <w:t>159</w:t>
      </w:r>
      <w:r>
        <w:fldChar w:fldCharType="end"/>
      </w:r>
      <w:r>
        <w:fldChar w:fldCharType="end"/>
      </w:r>
    </w:p>
    <w:p w14:paraId="33AC17EA">
      <w:pPr>
        <w:pStyle w:val="14"/>
        <w:tabs>
          <w:tab w:val="right" w:leader="dot" w:pos="8296"/>
        </w:tabs>
        <w:rPr>
          <w:rFonts w:asciiTheme="minorHAnsi" w:hAnsiTheme="minorHAnsi"/>
          <w:sz w:val="22"/>
        </w:rPr>
      </w:pPr>
      <w:r>
        <w:fldChar w:fldCharType="begin"/>
      </w:r>
      <w:r>
        <w:instrText xml:space="preserve"> HYPERLINK \l "_Toc256000370" </w:instrText>
      </w:r>
      <w:r>
        <w:fldChar w:fldCharType="separate"/>
      </w:r>
      <w:r>
        <w:rPr>
          <w:rStyle w:val="21"/>
          <w:b/>
        </w:rPr>
        <w:t>20. 争议解决</w:t>
      </w:r>
      <w:r>
        <w:tab/>
      </w:r>
      <w:r>
        <w:fldChar w:fldCharType="begin"/>
      </w:r>
      <w:r>
        <w:instrText xml:space="preserve"> PAGEREF _Toc256000370 \h </w:instrText>
      </w:r>
      <w:r>
        <w:fldChar w:fldCharType="separate"/>
      </w:r>
      <w:r>
        <w:t>159</w:t>
      </w:r>
      <w:r>
        <w:fldChar w:fldCharType="end"/>
      </w:r>
      <w:r>
        <w:fldChar w:fldCharType="end"/>
      </w:r>
    </w:p>
    <w:p w14:paraId="416900B1">
      <w:pPr>
        <w:pStyle w:val="9"/>
        <w:tabs>
          <w:tab w:val="right" w:leader="dot" w:pos="8296"/>
        </w:tabs>
        <w:rPr>
          <w:rFonts w:asciiTheme="minorHAnsi" w:hAnsiTheme="minorHAnsi"/>
          <w:sz w:val="22"/>
        </w:rPr>
      </w:pPr>
      <w:r>
        <w:fldChar w:fldCharType="begin"/>
      </w:r>
      <w:r>
        <w:instrText xml:space="preserve"> HYPERLINK \l "_Toc256000371" </w:instrText>
      </w:r>
      <w:r>
        <w:fldChar w:fldCharType="separate"/>
      </w:r>
      <w:r>
        <w:rPr>
          <w:rStyle w:val="21"/>
          <w:b/>
        </w:rPr>
        <w:t>20.3 争议评审</w:t>
      </w:r>
      <w:r>
        <w:tab/>
      </w:r>
      <w:r>
        <w:fldChar w:fldCharType="begin"/>
      </w:r>
      <w:r>
        <w:instrText xml:space="preserve"> PAGEREF _Toc256000371 \h </w:instrText>
      </w:r>
      <w:r>
        <w:fldChar w:fldCharType="separate"/>
      </w:r>
      <w:r>
        <w:t>159</w:t>
      </w:r>
      <w:r>
        <w:fldChar w:fldCharType="end"/>
      </w:r>
      <w:r>
        <w:fldChar w:fldCharType="end"/>
      </w:r>
    </w:p>
    <w:p w14:paraId="4E53000D">
      <w:pPr>
        <w:pStyle w:val="9"/>
        <w:tabs>
          <w:tab w:val="right" w:leader="dot" w:pos="8296"/>
        </w:tabs>
        <w:rPr>
          <w:rFonts w:asciiTheme="minorHAnsi" w:hAnsiTheme="minorHAnsi"/>
          <w:sz w:val="22"/>
        </w:rPr>
      </w:pPr>
      <w:r>
        <w:fldChar w:fldCharType="begin"/>
      </w:r>
      <w:r>
        <w:instrText xml:space="preserve"> HYPERLINK \l "_Toc256000372" </w:instrText>
      </w:r>
      <w:r>
        <w:fldChar w:fldCharType="separate"/>
      </w:r>
      <w:r>
        <w:rPr>
          <w:rStyle w:val="21"/>
          <w:b/>
        </w:rPr>
        <w:t>20.4仲裁或诉讼</w:t>
      </w:r>
      <w:r>
        <w:tab/>
      </w:r>
      <w:r>
        <w:fldChar w:fldCharType="begin"/>
      </w:r>
      <w:r>
        <w:instrText xml:space="preserve"> PAGEREF _Toc256000372 \h </w:instrText>
      </w:r>
      <w:r>
        <w:fldChar w:fldCharType="separate"/>
      </w:r>
      <w:r>
        <w:t>159</w:t>
      </w:r>
      <w:r>
        <w:fldChar w:fldCharType="end"/>
      </w:r>
      <w:r>
        <w:fldChar w:fldCharType="end"/>
      </w:r>
    </w:p>
    <w:p w14:paraId="33E5C35C">
      <w:pPr>
        <w:pStyle w:val="14"/>
        <w:tabs>
          <w:tab w:val="right" w:leader="dot" w:pos="8296"/>
        </w:tabs>
        <w:rPr>
          <w:rFonts w:asciiTheme="minorHAnsi" w:hAnsiTheme="minorHAnsi"/>
          <w:sz w:val="22"/>
        </w:rPr>
      </w:pPr>
      <w:r>
        <w:fldChar w:fldCharType="begin"/>
      </w:r>
      <w:r>
        <w:instrText xml:space="preserve"> HYPERLINK \l "_Toc256000373" </w:instrText>
      </w:r>
      <w:r>
        <w:fldChar w:fldCharType="separate"/>
      </w:r>
      <w:r>
        <w:rPr>
          <w:rStyle w:val="21"/>
          <w:b/>
        </w:rPr>
        <w:t>附件</w:t>
      </w:r>
      <w:r>
        <w:tab/>
      </w:r>
      <w:r>
        <w:fldChar w:fldCharType="begin"/>
      </w:r>
      <w:r>
        <w:instrText xml:space="preserve"> PAGEREF _Toc256000373 \h </w:instrText>
      </w:r>
      <w:r>
        <w:fldChar w:fldCharType="separate"/>
      </w:r>
      <w:r>
        <w:t>160</w:t>
      </w:r>
      <w:r>
        <w:fldChar w:fldCharType="end"/>
      </w:r>
      <w:r>
        <w:fldChar w:fldCharType="end"/>
      </w:r>
    </w:p>
    <w:p w14:paraId="290E3DF6">
      <w:pPr>
        <w:pStyle w:val="13"/>
        <w:tabs>
          <w:tab w:val="right" w:leader="dot" w:pos="8296"/>
        </w:tabs>
        <w:rPr>
          <w:rFonts w:asciiTheme="minorHAnsi" w:hAnsiTheme="minorHAnsi"/>
          <w:sz w:val="22"/>
        </w:rPr>
      </w:pPr>
      <w:r>
        <w:fldChar w:fldCharType="begin"/>
      </w:r>
      <w:r>
        <w:instrText xml:space="preserve"> HYPERLINK \l "_Toc256000374" </w:instrText>
      </w:r>
      <w:r>
        <w:fldChar w:fldCharType="separate"/>
      </w:r>
      <w:r>
        <w:rPr>
          <w:rStyle w:val="21"/>
          <w:rFonts w:hint="eastAsia" w:ascii="黑体" w:hAnsi="黑体" w:eastAsia="黑体"/>
        </w:rPr>
        <w:t>第五章  工程量清单</w:t>
      </w:r>
      <w:r>
        <w:tab/>
      </w:r>
      <w:r>
        <w:fldChar w:fldCharType="begin"/>
      </w:r>
      <w:r>
        <w:instrText xml:space="preserve"> PAGEREF _Toc256000374 \h </w:instrText>
      </w:r>
      <w:r>
        <w:fldChar w:fldCharType="separate"/>
      </w:r>
      <w:r>
        <w:t>178</w:t>
      </w:r>
      <w:r>
        <w:fldChar w:fldCharType="end"/>
      </w:r>
      <w:r>
        <w:fldChar w:fldCharType="end"/>
      </w:r>
    </w:p>
    <w:p w14:paraId="10F754A2">
      <w:pPr>
        <w:pStyle w:val="13"/>
        <w:tabs>
          <w:tab w:val="right" w:leader="dot" w:pos="8296"/>
        </w:tabs>
        <w:rPr>
          <w:rFonts w:asciiTheme="minorHAnsi" w:hAnsiTheme="minorHAnsi"/>
          <w:sz w:val="22"/>
        </w:rPr>
      </w:pPr>
      <w:r>
        <w:fldChar w:fldCharType="begin"/>
      </w:r>
      <w:r>
        <w:instrText xml:space="preserve"> HYPERLINK \l "_Toc256000375" </w:instrText>
      </w:r>
      <w:r>
        <w:fldChar w:fldCharType="separate"/>
      </w:r>
      <w:r>
        <w:rPr>
          <w:rStyle w:val="21"/>
          <w:rFonts w:hint="eastAsia" w:ascii="黑体" w:hAnsi="黑体" w:eastAsia="黑体"/>
        </w:rPr>
        <w:t>第二卷</w:t>
      </w:r>
      <w:r>
        <w:tab/>
      </w:r>
      <w:r>
        <w:fldChar w:fldCharType="begin"/>
      </w:r>
      <w:r>
        <w:instrText xml:space="preserve"> PAGEREF _Toc256000375 \h </w:instrText>
      </w:r>
      <w:r>
        <w:fldChar w:fldCharType="separate"/>
      </w:r>
      <w:r>
        <w:t>182</w:t>
      </w:r>
      <w:r>
        <w:fldChar w:fldCharType="end"/>
      </w:r>
      <w:r>
        <w:fldChar w:fldCharType="end"/>
      </w:r>
    </w:p>
    <w:p w14:paraId="6E29C353">
      <w:pPr>
        <w:pStyle w:val="13"/>
        <w:tabs>
          <w:tab w:val="right" w:leader="dot" w:pos="8296"/>
        </w:tabs>
        <w:rPr>
          <w:rFonts w:asciiTheme="minorHAnsi" w:hAnsiTheme="minorHAnsi"/>
          <w:sz w:val="22"/>
        </w:rPr>
      </w:pPr>
      <w:r>
        <w:fldChar w:fldCharType="begin"/>
      </w:r>
      <w:r>
        <w:instrText xml:space="preserve"> HYPERLINK \l "_Toc256000376" </w:instrText>
      </w:r>
      <w:r>
        <w:fldChar w:fldCharType="separate"/>
      </w:r>
      <w:r>
        <w:rPr>
          <w:rStyle w:val="21"/>
          <w:rFonts w:ascii="黑体" w:hAnsi="黑体" w:eastAsia="黑体"/>
        </w:rPr>
        <w:t>第</w:t>
      </w:r>
      <w:r>
        <w:rPr>
          <w:rStyle w:val="21"/>
          <w:rFonts w:hint="eastAsia" w:ascii="黑体" w:hAnsi="黑体" w:eastAsia="黑体"/>
        </w:rPr>
        <w:t>六</w:t>
      </w:r>
      <w:r>
        <w:rPr>
          <w:rStyle w:val="21"/>
          <w:rFonts w:ascii="黑体" w:hAnsi="黑体" w:eastAsia="黑体"/>
        </w:rPr>
        <w:t>章</w:t>
      </w:r>
      <w:r>
        <w:rPr>
          <w:rStyle w:val="21"/>
          <w:rFonts w:hint="eastAsia" w:ascii="黑体" w:hAnsi="黑体" w:eastAsia="黑体"/>
        </w:rPr>
        <w:t xml:space="preserve">  图  纸</w:t>
      </w:r>
      <w:r>
        <w:tab/>
      </w:r>
      <w:r>
        <w:fldChar w:fldCharType="begin"/>
      </w:r>
      <w:r>
        <w:instrText xml:space="preserve"> PAGEREF _Toc256000376 \h </w:instrText>
      </w:r>
      <w:r>
        <w:fldChar w:fldCharType="separate"/>
      </w:r>
      <w:r>
        <w:t>183</w:t>
      </w:r>
      <w:r>
        <w:fldChar w:fldCharType="end"/>
      </w:r>
      <w:r>
        <w:fldChar w:fldCharType="end"/>
      </w:r>
    </w:p>
    <w:p w14:paraId="70763BA7">
      <w:pPr>
        <w:pStyle w:val="14"/>
        <w:tabs>
          <w:tab w:val="right" w:leader="dot" w:pos="8296"/>
        </w:tabs>
        <w:rPr>
          <w:rFonts w:asciiTheme="minorHAnsi" w:hAnsiTheme="minorHAnsi"/>
          <w:sz w:val="22"/>
        </w:rPr>
      </w:pPr>
      <w:r>
        <w:fldChar w:fldCharType="begin"/>
      </w:r>
      <w:r>
        <w:instrText xml:space="preserve"> HYPERLINK \l "_Toc256000377" </w:instrText>
      </w:r>
      <w:r>
        <w:fldChar w:fldCharType="separate"/>
      </w:r>
      <w:r>
        <w:rPr>
          <w:rStyle w:val="21"/>
          <w:rFonts w:hint="eastAsia"/>
        </w:rPr>
        <w:t>1．图纸目录</w:t>
      </w:r>
      <w:r>
        <w:tab/>
      </w:r>
      <w:r>
        <w:fldChar w:fldCharType="begin"/>
      </w:r>
      <w:r>
        <w:instrText xml:space="preserve"> PAGEREF _Toc256000377 \h </w:instrText>
      </w:r>
      <w:r>
        <w:fldChar w:fldCharType="separate"/>
      </w:r>
      <w:r>
        <w:t>184</w:t>
      </w:r>
      <w:r>
        <w:fldChar w:fldCharType="end"/>
      </w:r>
      <w:r>
        <w:fldChar w:fldCharType="end"/>
      </w:r>
    </w:p>
    <w:p w14:paraId="616FEE2A">
      <w:pPr>
        <w:pStyle w:val="14"/>
        <w:tabs>
          <w:tab w:val="right" w:leader="dot" w:pos="8296"/>
        </w:tabs>
        <w:rPr>
          <w:rFonts w:asciiTheme="minorHAnsi" w:hAnsiTheme="minorHAnsi"/>
          <w:sz w:val="22"/>
        </w:rPr>
      </w:pPr>
      <w:r>
        <w:fldChar w:fldCharType="begin"/>
      </w:r>
      <w:r>
        <w:instrText xml:space="preserve"> HYPERLINK \l "_Toc256000378" </w:instrText>
      </w:r>
      <w:r>
        <w:fldChar w:fldCharType="separate"/>
      </w:r>
      <w:r>
        <w:rPr>
          <w:rStyle w:val="21"/>
          <w:rFonts w:hint="eastAsia"/>
        </w:rPr>
        <w:t>2．图  纸</w:t>
      </w:r>
      <w:r>
        <w:tab/>
      </w:r>
      <w:r>
        <w:fldChar w:fldCharType="begin"/>
      </w:r>
      <w:r>
        <w:instrText xml:space="preserve"> PAGEREF _Toc256000378 \h </w:instrText>
      </w:r>
      <w:r>
        <w:fldChar w:fldCharType="separate"/>
      </w:r>
      <w:r>
        <w:t>185</w:t>
      </w:r>
      <w:r>
        <w:fldChar w:fldCharType="end"/>
      </w:r>
      <w:r>
        <w:fldChar w:fldCharType="end"/>
      </w:r>
    </w:p>
    <w:p w14:paraId="7FE38A86">
      <w:pPr>
        <w:pStyle w:val="13"/>
        <w:tabs>
          <w:tab w:val="right" w:leader="dot" w:pos="8296"/>
        </w:tabs>
        <w:rPr>
          <w:rFonts w:asciiTheme="minorHAnsi" w:hAnsiTheme="minorHAnsi"/>
          <w:sz w:val="22"/>
        </w:rPr>
      </w:pPr>
      <w:r>
        <w:fldChar w:fldCharType="begin"/>
      </w:r>
      <w:r>
        <w:instrText xml:space="preserve"> HYPERLINK \l "_Toc256000379" </w:instrText>
      </w:r>
      <w:r>
        <w:fldChar w:fldCharType="separate"/>
      </w:r>
      <w:r>
        <w:rPr>
          <w:rStyle w:val="21"/>
          <w:rFonts w:hint="eastAsia" w:ascii="黑体" w:hAnsi="黑体" w:eastAsia="黑体"/>
        </w:rPr>
        <w:t>第三卷</w:t>
      </w:r>
      <w:r>
        <w:tab/>
      </w:r>
      <w:r>
        <w:fldChar w:fldCharType="begin"/>
      </w:r>
      <w:r>
        <w:instrText xml:space="preserve"> PAGEREF _Toc256000379 \h </w:instrText>
      </w:r>
      <w:r>
        <w:fldChar w:fldCharType="separate"/>
      </w:r>
      <w:r>
        <w:t>186</w:t>
      </w:r>
      <w:r>
        <w:fldChar w:fldCharType="end"/>
      </w:r>
      <w:r>
        <w:fldChar w:fldCharType="end"/>
      </w:r>
    </w:p>
    <w:p w14:paraId="0D1C2B65">
      <w:pPr>
        <w:pStyle w:val="13"/>
        <w:tabs>
          <w:tab w:val="right" w:leader="dot" w:pos="8296"/>
        </w:tabs>
        <w:rPr>
          <w:rFonts w:asciiTheme="minorHAnsi" w:hAnsiTheme="minorHAnsi"/>
          <w:sz w:val="22"/>
        </w:rPr>
      </w:pPr>
      <w:r>
        <w:fldChar w:fldCharType="begin"/>
      </w:r>
      <w:r>
        <w:instrText xml:space="preserve"> HYPERLINK \l "_Toc256000380" </w:instrText>
      </w:r>
      <w:r>
        <w:fldChar w:fldCharType="separate"/>
      </w:r>
      <w:r>
        <w:rPr>
          <w:rStyle w:val="21"/>
          <w:rFonts w:hint="eastAsia" w:ascii="黑体" w:hAnsi="黑体" w:eastAsia="黑体"/>
        </w:rPr>
        <w:t>第七章  技术标准和要求</w:t>
      </w:r>
      <w:r>
        <w:tab/>
      </w:r>
      <w:r>
        <w:fldChar w:fldCharType="begin"/>
      </w:r>
      <w:r>
        <w:instrText xml:space="preserve"> PAGEREF _Toc256000380 \h </w:instrText>
      </w:r>
      <w:r>
        <w:fldChar w:fldCharType="separate"/>
      </w:r>
      <w:r>
        <w:t>187</w:t>
      </w:r>
      <w:r>
        <w:fldChar w:fldCharType="end"/>
      </w:r>
      <w:r>
        <w:fldChar w:fldCharType="end"/>
      </w:r>
    </w:p>
    <w:p w14:paraId="0B10B55A">
      <w:pPr>
        <w:pStyle w:val="14"/>
        <w:tabs>
          <w:tab w:val="right" w:leader="dot" w:pos="8296"/>
        </w:tabs>
        <w:rPr>
          <w:rFonts w:asciiTheme="minorHAnsi" w:hAnsiTheme="minorHAnsi"/>
          <w:sz w:val="22"/>
        </w:rPr>
      </w:pPr>
      <w:r>
        <w:fldChar w:fldCharType="begin"/>
      </w:r>
      <w:r>
        <w:instrText xml:space="preserve"> HYPERLINK \l "_Toc256000381" </w:instrText>
      </w:r>
      <w:r>
        <w:fldChar w:fldCharType="separate"/>
      </w:r>
      <w:r>
        <w:rPr>
          <w:rStyle w:val="21"/>
          <w:rFonts w:hint="eastAsia"/>
        </w:rPr>
        <w:t>第一节 一般要求</w:t>
      </w:r>
      <w:r>
        <w:tab/>
      </w:r>
      <w:r>
        <w:fldChar w:fldCharType="begin"/>
      </w:r>
      <w:r>
        <w:instrText xml:space="preserve"> PAGEREF _Toc256000381 \h </w:instrText>
      </w:r>
      <w:r>
        <w:fldChar w:fldCharType="separate"/>
      </w:r>
      <w:r>
        <w:t>188</w:t>
      </w:r>
      <w:r>
        <w:fldChar w:fldCharType="end"/>
      </w:r>
      <w:r>
        <w:fldChar w:fldCharType="end"/>
      </w:r>
    </w:p>
    <w:p w14:paraId="404E86F7">
      <w:pPr>
        <w:pStyle w:val="9"/>
        <w:tabs>
          <w:tab w:val="right" w:leader="dot" w:pos="8296"/>
        </w:tabs>
        <w:rPr>
          <w:rFonts w:asciiTheme="minorHAnsi" w:hAnsiTheme="minorHAnsi"/>
          <w:sz w:val="22"/>
        </w:rPr>
      </w:pPr>
      <w:r>
        <w:fldChar w:fldCharType="begin"/>
      </w:r>
      <w:r>
        <w:instrText xml:space="preserve"> HYPERLINK \l "_Toc256000382" </w:instrText>
      </w:r>
      <w:r>
        <w:fldChar w:fldCharType="separate"/>
      </w:r>
      <w:r>
        <w:rPr>
          <w:rStyle w:val="21"/>
          <w:rFonts w:hint="eastAsia"/>
        </w:rPr>
        <w:t>1.工程说明</w:t>
      </w:r>
      <w:r>
        <w:tab/>
      </w:r>
      <w:r>
        <w:fldChar w:fldCharType="begin"/>
      </w:r>
      <w:r>
        <w:instrText xml:space="preserve"> PAGEREF _Toc256000382 \h </w:instrText>
      </w:r>
      <w:r>
        <w:fldChar w:fldCharType="separate"/>
      </w:r>
      <w:r>
        <w:t>188</w:t>
      </w:r>
      <w:r>
        <w:fldChar w:fldCharType="end"/>
      </w:r>
      <w:r>
        <w:fldChar w:fldCharType="end"/>
      </w:r>
    </w:p>
    <w:p w14:paraId="206332D8">
      <w:pPr>
        <w:pStyle w:val="9"/>
        <w:tabs>
          <w:tab w:val="right" w:leader="dot" w:pos="8296"/>
        </w:tabs>
        <w:rPr>
          <w:rFonts w:asciiTheme="minorHAnsi" w:hAnsiTheme="minorHAnsi"/>
          <w:sz w:val="22"/>
        </w:rPr>
      </w:pPr>
      <w:r>
        <w:fldChar w:fldCharType="begin"/>
      </w:r>
      <w:r>
        <w:instrText xml:space="preserve"> HYPERLINK \l "_Toc256000383" </w:instrText>
      </w:r>
      <w:r>
        <w:fldChar w:fldCharType="separate"/>
      </w:r>
      <w:r>
        <w:rPr>
          <w:rStyle w:val="21"/>
          <w:rFonts w:hint="eastAsia"/>
        </w:rPr>
        <w:t>2.承包范围</w:t>
      </w:r>
      <w:r>
        <w:tab/>
      </w:r>
      <w:r>
        <w:fldChar w:fldCharType="begin"/>
      </w:r>
      <w:r>
        <w:instrText xml:space="preserve"> PAGEREF _Toc256000383 \h </w:instrText>
      </w:r>
      <w:r>
        <w:fldChar w:fldCharType="separate"/>
      </w:r>
      <w:r>
        <w:t>189</w:t>
      </w:r>
      <w:r>
        <w:fldChar w:fldCharType="end"/>
      </w:r>
      <w:r>
        <w:fldChar w:fldCharType="end"/>
      </w:r>
    </w:p>
    <w:p w14:paraId="0F74DAAA">
      <w:pPr>
        <w:pStyle w:val="9"/>
        <w:tabs>
          <w:tab w:val="right" w:leader="dot" w:pos="8296"/>
        </w:tabs>
        <w:rPr>
          <w:rFonts w:asciiTheme="minorHAnsi" w:hAnsiTheme="minorHAnsi"/>
          <w:sz w:val="22"/>
        </w:rPr>
      </w:pPr>
      <w:r>
        <w:fldChar w:fldCharType="begin"/>
      </w:r>
      <w:r>
        <w:instrText xml:space="preserve"> HYPERLINK \l "_Toc256000384" </w:instrText>
      </w:r>
      <w:r>
        <w:fldChar w:fldCharType="separate"/>
      </w:r>
      <w:r>
        <w:rPr>
          <w:rStyle w:val="21"/>
          <w:rFonts w:hint="eastAsia"/>
        </w:rPr>
        <w:t>3.工期要求</w:t>
      </w:r>
      <w:r>
        <w:tab/>
      </w:r>
      <w:r>
        <w:fldChar w:fldCharType="begin"/>
      </w:r>
      <w:r>
        <w:instrText xml:space="preserve"> PAGEREF _Toc256000384 \h </w:instrText>
      </w:r>
      <w:r>
        <w:fldChar w:fldCharType="separate"/>
      </w:r>
      <w:r>
        <w:t>190</w:t>
      </w:r>
      <w:r>
        <w:fldChar w:fldCharType="end"/>
      </w:r>
      <w:r>
        <w:fldChar w:fldCharType="end"/>
      </w:r>
    </w:p>
    <w:p w14:paraId="17DE9949">
      <w:pPr>
        <w:pStyle w:val="9"/>
        <w:tabs>
          <w:tab w:val="right" w:leader="dot" w:pos="8296"/>
        </w:tabs>
        <w:rPr>
          <w:rFonts w:asciiTheme="minorHAnsi" w:hAnsiTheme="minorHAnsi"/>
          <w:sz w:val="22"/>
        </w:rPr>
      </w:pPr>
      <w:r>
        <w:fldChar w:fldCharType="begin"/>
      </w:r>
      <w:r>
        <w:instrText xml:space="preserve"> HYPERLINK \l "_Toc256000385" </w:instrText>
      </w:r>
      <w:r>
        <w:fldChar w:fldCharType="separate"/>
      </w:r>
      <w:r>
        <w:rPr>
          <w:rStyle w:val="21"/>
          <w:rFonts w:hint="eastAsia"/>
        </w:rPr>
        <w:t>4.质量要求</w:t>
      </w:r>
      <w:r>
        <w:tab/>
      </w:r>
      <w:r>
        <w:fldChar w:fldCharType="begin"/>
      </w:r>
      <w:r>
        <w:instrText xml:space="preserve"> PAGEREF _Toc256000385 \h </w:instrText>
      </w:r>
      <w:r>
        <w:fldChar w:fldCharType="separate"/>
      </w:r>
      <w:r>
        <w:t>190</w:t>
      </w:r>
      <w:r>
        <w:fldChar w:fldCharType="end"/>
      </w:r>
      <w:r>
        <w:fldChar w:fldCharType="end"/>
      </w:r>
    </w:p>
    <w:p w14:paraId="0BBD2920">
      <w:pPr>
        <w:pStyle w:val="9"/>
        <w:tabs>
          <w:tab w:val="right" w:leader="dot" w:pos="8296"/>
        </w:tabs>
        <w:rPr>
          <w:rFonts w:asciiTheme="minorHAnsi" w:hAnsiTheme="minorHAnsi"/>
          <w:sz w:val="22"/>
        </w:rPr>
      </w:pPr>
      <w:r>
        <w:fldChar w:fldCharType="begin"/>
      </w:r>
      <w:r>
        <w:instrText xml:space="preserve"> HYPERLINK \l "_Toc256000386" </w:instrText>
      </w:r>
      <w:r>
        <w:fldChar w:fldCharType="separate"/>
      </w:r>
      <w:r>
        <w:rPr>
          <w:rStyle w:val="21"/>
          <w:rFonts w:hint="eastAsia"/>
        </w:rPr>
        <w:t>5.适用规范和标准</w:t>
      </w:r>
      <w:r>
        <w:tab/>
      </w:r>
      <w:r>
        <w:fldChar w:fldCharType="begin"/>
      </w:r>
      <w:r>
        <w:instrText xml:space="preserve"> PAGEREF _Toc256000386 \h </w:instrText>
      </w:r>
      <w:r>
        <w:fldChar w:fldCharType="separate"/>
      </w:r>
      <w:r>
        <w:t>191</w:t>
      </w:r>
      <w:r>
        <w:fldChar w:fldCharType="end"/>
      </w:r>
      <w:r>
        <w:fldChar w:fldCharType="end"/>
      </w:r>
    </w:p>
    <w:p w14:paraId="08B00A97">
      <w:pPr>
        <w:pStyle w:val="9"/>
        <w:tabs>
          <w:tab w:val="right" w:leader="dot" w:pos="8296"/>
        </w:tabs>
        <w:rPr>
          <w:rFonts w:asciiTheme="minorHAnsi" w:hAnsiTheme="minorHAnsi"/>
          <w:sz w:val="22"/>
        </w:rPr>
      </w:pPr>
      <w:r>
        <w:fldChar w:fldCharType="begin"/>
      </w:r>
      <w:r>
        <w:instrText xml:space="preserve"> HYPERLINK \l "_Toc256000387" </w:instrText>
      </w:r>
      <w:r>
        <w:fldChar w:fldCharType="separate"/>
      </w:r>
      <w:r>
        <w:rPr>
          <w:rStyle w:val="21"/>
          <w:rFonts w:hint="eastAsia"/>
        </w:rPr>
        <w:t>6.安全文明施工</w:t>
      </w:r>
      <w:r>
        <w:tab/>
      </w:r>
      <w:r>
        <w:fldChar w:fldCharType="begin"/>
      </w:r>
      <w:r>
        <w:instrText xml:space="preserve"> PAGEREF _Toc256000387 \h </w:instrText>
      </w:r>
      <w:r>
        <w:fldChar w:fldCharType="separate"/>
      </w:r>
      <w:r>
        <w:t>191</w:t>
      </w:r>
      <w:r>
        <w:fldChar w:fldCharType="end"/>
      </w:r>
      <w:r>
        <w:fldChar w:fldCharType="end"/>
      </w:r>
    </w:p>
    <w:p w14:paraId="17CD9C36">
      <w:pPr>
        <w:pStyle w:val="9"/>
        <w:tabs>
          <w:tab w:val="right" w:leader="dot" w:pos="8296"/>
        </w:tabs>
        <w:rPr>
          <w:rFonts w:hint="default" w:eastAsia="宋体" w:asciiTheme="minorHAnsi" w:hAnsiTheme="minorHAnsi"/>
          <w:sz w:val="22"/>
          <w:lang w:val="en-US" w:eastAsia="zh-CN"/>
        </w:rPr>
      </w:pPr>
      <w:r>
        <w:fldChar w:fldCharType="begin"/>
      </w:r>
      <w:r>
        <w:instrText xml:space="preserve"> HYPERLINK \l "_Toc256000388" </w:instrText>
      </w:r>
      <w:r>
        <w:fldChar w:fldCharType="separate"/>
      </w:r>
      <w:r>
        <w:rPr>
          <w:rStyle w:val="21"/>
          <w:rFonts w:hint="eastAsia"/>
        </w:rPr>
        <w:t>7.治安保卫</w:t>
      </w:r>
      <w:r>
        <w:tab/>
      </w:r>
      <w:r>
        <w:rPr>
          <w:rFonts w:hint="eastAsia"/>
          <w:lang w:val="en-US" w:eastAsia="zh-CN"/>
        </w:rPr>
        <w:t>2</w:t>
      </w:r>
      <w:r>
        <w:fldChar w:fldCharType="end"/>
      </w:r>
      <w:r>
        <w:rPr>
          <w:rFonts w:hint="eastAsia"/>
          <w:lang w:val="en-US" w:eastAsia="zh-CN"/>
        </w:rPr>
        <w:t>00</w:t>
      </w:r>
    </w:p>
    <w:p w14:paraId="3D5BB9A6">
      <w:pPr>
        <w:pStyle w:val="9"/>
        <w:tabs>
          <w:tab w:val="right" w:leader="dot" w:pos="8296"/>
        </w:tabs>
        <w:rPr>
          <w:rFonts w:asciiTheme="minorHAnsi" w:hAnsiTheme="minorHAnsi"/>
          <w:sz w:val="22"/>
        </w:rPr>
      </w:pPr>
      <w:r>
        <w:fldChar w:fldCharType="begin"/>
      </w:r>
      <w:r>
        <w:instrText xml:space="preserve"> HYPERLINK \l "_Toc256000389" </w:instrText>
      </w:r>
      <w:r>
        <w:fldChar w:fldCharType="separate"/>
      </w:r>
      <w:r>
        <w:rPr>
          <w:rStyle w:val="21"/>
          <w:rFonts w:hint="eastAsia"/>
        </w:rPr>
        <w:t>8.地上、地下设施和周边建筑物的临时保护</w:t>
      </w:r>
      <w:r>
        <w:tab/>
      </w:r>
      <w:r>
        <w:fldChar w:fldCharType="begin"/>
      </w:r>
      <w:r>
        <w:instrText xml:space="preserve"> PAGEREF _Toc256000389 \h </w:instrText>
      </w:r>
      <w:r>
        <w:fldChar w:fldCharType="separate"/>
      </w:r>
      <w:r>
        <w:t>201</w:t>
      </w:r>
      <w:r>
        <w:fldChar w:fldCharType="end"/>
      </w:r>
      <w:r>
        <w:fldChar w:fldCharType="end"/>
      </w:r>
    </w:p>
    <w:p w14:paraId="322EFE29">
      <w:pPr>
        <w:pStyle w:val="9"/>
        <w:tabs>
          <w:tab w:val="right" w:leader="dot" w:pos="8296"/>
        </w:tabs>
        <w:rPr>
          <w:rFonts w:asciiTheme="minorHAnsi" w:hAnsiTheme="minorHAnsi"/>
          <w:sz w:val="22"/>
        </w:rPr>
      </w:pPr>
      <w:r>
        <w:fldChar w:fldCharType="begin"/>
      </w:r>
      <w:r>
        <w:instrText xml:space="preserve"> HYPERLINK \l "_Toc256000390" </w:instrText>
      </w:r>
      <w:r>
        <w:fldChar w:fldCharType="separate"/>
      </w:r>
      <w:r>
        <w:rPr>
          <w:rStyle w:val="21"/>
          <w:rFonts w:hint="eastAsia"/>
        </w:rPr>
        <w:t>9.样品和材料代换</w:t>
      </w:r>
      <w:r>
        <w:tab/>
      </w:r>
      <w:r>
        <w:fldChar w:fldCharType="begin"/>
      </w:r>
      <w:r>
        <w:instrText xml:space="preserve"> PAGEREF _Toc256000390 \h </w:instrText>
      </w:r>
      <w:r>
        <w:fldChar w:fldCharType="separate"/>
      </w:r>
      <w:r>
        <w:t>201</w:t>
      </w:r>
      <w:r>
        <w:fldChar w:fldCharType="end"/>
      </w:r>
      <w:r>
        <w:fldChar w:fldCharType="end"/>
      </w:r>
    </w:p>
    <w:p w14:paraId="28ED9A0C">
      <w:pPr>
        <w:pStyle w:val="9"/>
        <w:tabs>
          <w:tab w:val="right" w:leader="dot" w:pos="8296"/>
        </w:tabs>
        <w:rPr>
          <w:rFonts w:asciiTheme="minorHAnsi" w:hAnsiTheme="minorHAnsi"/>
          <w:sz w:val="22"/>
        </w:rPr>
      </w:pPr>
      <w:r>
        <w:fldChar w:fldCharType="begin"/>
      </w:r>
      <w:r>
        <w:instrText xml:space="preserve"> HYPERLINK \l "_Toc256000391" </w:instrText>
      </w:r>
      <w:r>
        <w:fldChar w:fldCharType="separate"/>
      </w:r>
      <w:r>
        <w:rPr>
          <w:rStyle w:val="21"/>
          <w:rFonts w:hint="eastAsia"/>
        </w:rPr>
        <w:t>10.进口材料和工程设备</w:t>
      </w:r>
      <w:r>
        <w:tab/>
      </w:r>
      <w:r>
        <w:fldChar w:fldCharType="begin"/>
      </w:r>
      <w:r>
        <w:instrText xml:space="preserve"> PAGEREF _Toc256000391 \h </w:instrText>
      </w:r>
      <w:r>
        <w:fldChar w:fldCharType="separate"/>
      </w:r>
      <w:r>
        <w:t>203</w:t>
      </w:r>
      <w:r>
        <w:fldChar w:fldCharType="end"/>
      </w:r>
      <w:r>
        <w:fldChar w:fldCharType="end"/>
      </w:r>
    </w:p>
    <w:p w14:paraId="5903EA96">
      <w:pPr>
        <w:pStyle w:val="9"/>
        <w:tabs>
          <w:tab w:val="right" w:leader="dot" w:pos="8296"/>
        </w:tabs>
        <w:rPr>
          <w:rFonts w:asciiTheme="minorHAnsi" w:hAnsiTheme="minorHAnsi"/>
          <w:sz w:val="22"/>
        </w:rPr>
      </w:pPr>
      <w:r>
        <w:fldChar w:fldCharType="begin"/>
      </w:r>
      <w:r>
        <w:instrText xml:space="preserve"> HYPERLINK \l "_Toc256000392" </w:instrText>
      </w:r>
      <w:r>
        <w:fldChar w:fldCharType="separate"/>
      </w:r>
      <w:r>
        <w:rPr>
          <w:rStyle w:val="21"/>
          <w:rFonts w:hint="eastAsia"/>
        </w:rPr>
        <w:t>11.进度报告和进度例会</w:t>
      </w:r>
      <w:r>
        <w:tab/>
      </w:r>
      <w:r>
        <w:fldChar w:fldCharType="begin"/>
      </w:r>
      <w:r>
        <w:instrText xml:space="preserve"> PAGEREF _Toc256000392 \h </w:instrText>
      </w:r>
      <w:r>
        <w:fldChar w:fldCharType="separate"/>
      </w:r>
      <w:r>
        <w:t>203</w:t>
      </w:r>
      <w:r>
        <w:fldChar w:fldCharType="end"/>
      </w:r>
      <w:r>
        <w:fldChar w:fldCharType="end"/>
      </w:r>
    </w:p>
    <w:p w14:paraId="03A6DE4E">
      <w:pPr>
        <w:pStyle w:val="9"/>
        <w:tabs>
          <w:tab w:val="right" w:leader="dot" w:pos="8296"/>
        </w:tabs>
        <w:rPr>
          <w:rFonts w:asciiTheme="minorHAnsi" w:hAnsiTheme="minorHAnsi"/>
          <w:sz w:val="22"/>
        </w:rPr>
      </w:pPr>
      <w:r>
        <w:fldChar w:fldCharType="begin"/>
      </w:r>
      <w:r>
        <w:instrText xml:space="preserve"> HYPERLINK \l "_Toc256000393" </w:instrText>
      </w:r>
      <w:r>
        <w:fldChar w:fldCharType="separate"/>
      </w:r>
      <w:r>
        <w:rPr>
          <w:rStyle w:val="21"/>
          <w:rFonts w:hint="eastAsia"/>
        </w:rPr>
        <w:t>12.试验和检验</w:t>
      </w:r>
      <w:r>
        <w:tab/>
      </w:r>
      <w:r>
        <w:fldChar w:fldCharType="begin"/>
      </w:r>
      <w:r>
        <w:instrText xml:space="preserve"> PAGEREF _Toc256000393 \h </w:instrText>
      </w:r>
      <w:r>
        <w:fldChar w:fldCharType="separate"/>
      </w:r>
      <w:r>
        <w:t>205</w:t>
      </w:r>
      <w:r>
        <w:fldChar w:fldCharType="end"/>
      </w:r>
      <w:r>
        <w:fldChar w:fldCharType="end"/>
      </w:r>
    </w:p>
    <w:p w14:paraId="6D74C748">
      <w:pPr>
        <w:pStyle w:val="9"/>
        <w:tabs>
          <w:tab w:val="right" w:leader="dot" w:pos="8296"/>
        </w:tabs>
        <w:rPr>
          <w:rFonts w:asciiTheme="minorHAnsi" w:hAnsiTheme="minorHAnsi"/>
          <w:sz w:val="22"/>
        </w:rPr>
      </w:pPr>
      <w:r>
        <w:fldChar w:fldCharType="begin"/>
      </w:r>
      <w:r>
        <w:instrText xml:space="preserve"> HYPERLINK \l "_Toc256000394" </w:instrText>
      </w:r>
      <w:r>
        <w:fldChar w:fldCharType="separate"/>
      </w:r>
      <w:r>
        <w:rPr>
          <w:rStyle w:val="21"/>
          <w:rFonts w:hint="eastAsia"/>
        </w:rPr>
        <w:t>13.计日工</w:t>
      </w:r>
      <w:r>
        <w:tab/>
      </w:r>
      <w:r>
        <w:fldChar w:fldCharType="begin"/>
      </w:r>
      <w:r>
        <w:instrText xml:space="preserve"> PAGEREF _Toc256000394 \h </w:instrText>
      </w:r>
      <w:r>
        <w:fldChar w:fldCharType="separate"/>
      </w:r>
      <w:r>
        <w:t>206</w:t>
      </w:r>
      <w:r>
        <w:fldChar w:fldCharType="end"/>
      </w:r>
      <w:r>
        <w:fldChar w:fldCharType="end"/>
      </w:r>
    </w:p>
    <w:p w14:paraId="36842670">
      <w:pPr>
        <w:pStyle w:val="9"/>
        <w:tabs>
          <w:tab w:val="right" w:leader="dot" w:pos="8296"/>
        </w:tabs>
        <w:rPr>
          <w:rFonts w:asciiTheme="minorHAnsi" w:hAnsiTheme="minorHAnsi"/>
          <w:sz w:val="22"/>
        </w:rPr>
      </w:pPr>
      <w:r>
        <w:fldChar w:fldCharType="begin"/>
      </w:r>
      <w:r>
        <w:instrText xml:space="preserve"> HYPERLINK \l "_Toc256000395" </w:instrText>
      </w:r>
      <w:r>
        <w:fldChar w:fldCharType="separate"/>
      </w:r>
      <w:r>
        <w:rPr>
          <w:rStyle w:val="21"/>
          <w:rFonts w:hint="eastAsia"/>
        </w:rPr>
        <w:t>14.计量与支付</w:t>
      </w:r>
      <w:r>
        <w:tab/>
      </w:r>
      <w:r>
        <w:fldChar w:fldCharType="begin"/>
      </w:r>
      <w:r>
        <w:instrText xml:space="preserve"> PAGEREF _Toc256000395 \h </w:instrText>
      </w:r>
      <w:r>
        <w:fldChar w:fldCharType="separate"/>
      </w:r>
      <w:r>
        <w:t>206</w:t>
      </w:r>
      <w:r>
        <w:fldChar w:fldCharType="end"/>
      </w:r>
      <w:r>
        <w:fldChar w:fldCharType="end"/>
      </w:r>
    </w:p>
    <w:p w14:paraId="52CD06FB">
      <w:pPr>
        <w:pStyle w:val="9"/>
        <w:tabs>
          <w:tab w:val="right" w:leader="dot" w:pos="8296"/>
        </w:tabs>
        <w:rPr>
          <w:rFonts w:asciiTheme="minorHAnsi" w:hAnsiTheme="minorHAnsi"/>
          <w:sz w:val="22"/>
        </w:rPr>
      </w:pPr>
      <w:r>
        <w:fldChar w:fldCharType="begin"/>
      </w:r>
      <w:r>
        <w:instrText xml:space="preserve"> HYPERLINK \l "_Toc256000396" </w:instrText>
      </w:r>
      <w:r>
        <w:fldChar w:fldCharType="separate"/>
      </w:r>
      <w:r>
        <w:rPr>
          <w:rStyle w:val="21"/>
          <w:rFonts w:hint="eastAsia"/>
        </w:rPr>
        <w:t>15.竣工验收和工程移交</w:t>
      </w:r>
      <w:r>
        <w:tab/>
      </w:r>
      <w:r>
        <w:fldChar w:fldCharType="begin"/>
      </w:r>
      <w:r>
        <w:instrText xml:space="preserve"> PAGEREF _Toc256000396 \h </w:instrText>
      </w:r>
      <w:r>
        <w:fldChar w:fldCharType="separate"/>
      </w:r>
      <w:r>
        <w:t>208</w:t>
      </w:r>
      <w:r>
        <w:fldChar w:fldCharType="end"/>
      </w:r>
      <w:r>
        <w:fldChar w:fldCharType="end"/>
      </w:r>
    </w:p>
    <w:p w14:paraId="7F9A8D6E">
      <w:pPr>
        <w:pStyle w:val="9"/>
        <w:tabs>
          <w:tab w:val="right" w:leader="dot" w:pos="8296"/>
        </w:tabs>
        <w:rPr>
          <w:rFonts w:asciiTheme="minorHAnsi" w:hAnsiTheme="minorHAnsi"/>
          <w:sz w:val="22"/>
        </w:rPr>
      </w:pPr>
      <w:r>
        <w:fldChar w:fldCharType="begin"/>
      </w:r>
      <w:r>
        <w:instrText xml:space="preserve"> HYPERLINK \l "_Toc256000397" </w:instrText>
      </w:r>
      <w:r>
        <w:fldChar w:fldCharType="separate"/>
      </w:r>
      <w:r>
        <w:rPr>
          <w:rStyle w:val="21"/>
          <w:rFonts w:hint="eastAsia"/>
        </w:rPr>
        <w:t>16.其他要求</w:t>
      </w:r>
      <w:r>
        <w:tab/>
      </w:r>
      <w:r>
        <w:fldChar w:fldCharType="begin"/>
      </w:r>
      <w:r>
        <w:instrText xml:space="preserve"> PAGEREF _Toc256000397 \h </w:instrText>
      </w:r>
      <w:r>
        <w:fldChar w:fldCharType="separate"/>
      </w:r>
      <w:r>
        <w:t>210</w:t>
      </w:r>
      <w:r>
        <w:fldChar w:fldCharType="end"/>
      </w:r>
      <w:r>
        <w:fldChar w:fldCharType="end"/>
      </w:r>
    </w:p>
    <w:p w14:paraId="740C251F">
      <w:pPr>
        <w:pStyle w:val="14"/>
        <w:tabs>
          <w:tab w:val="right" w:leader="dot" w:pos="8296"/>
        </w:tabs>
        <w:rPr>
          <w:rFonts w:asciiTheme="minorHAnsi" w:hAnsiTheme="minorHAnsi"/>
          <w:sz w:val="22"/>
        </w:rPr>
      </w:pPr>
      <w:r>
        <w:fldChar w:fldCharType="begin"/>
      </w:r>
      <w:r>
        <w:instrText xml:space="preserve"> HYPERLINK \l "_Toc256000398" </w:instrText>
      </w:r>
      <w:r>
        <w:fldChar w:fldCharType="separate"/>
      </w:r>
      <w:r>
        <w:rPr>
          <w:rStyle w:val="21"/>
          <w:rFonts w:hint="eastAsia"/>
        </w:rPr>
        <w:t>第二节  特殊技术标准和要求</w:t>
      </w:r>
      <w:r>
        <w:tab/>
      </w:r>
      <w:r>
        <w:fldChar w:fldCharType="begin"/>
      </w:r>
      <w:r>
        <w:instrText xml:space="preserve"> PAGEREF _Toc256000398 \h </w:instrText>
      </w:r>
      <w:r>
        <w:fldChar w:fldCharType="separate"/>
      </w:r>
      <w:r>
        <w:t>211</w:t>
      </w:r>
      <w:r>
        <w:fldChar w:fldCharType="end"/>
      </w:r>
      <w:r>
        <w:fldChar w:fldCharType="end"/>
      </w:r>
    </w:p>
    <w:p w14:paraId="2F503EDA">
      <w:pPr>
        <w:pStyle w:val="9"/>
        <w:tabs>
          <w:tab w:val="right" w:leader="dot" w:pos="8296"/>
        </w:tabs>
        <w:rPr>
          <w:rFonts w:asciiTheme="minorHAnsi" w:hAnsiTheme="minorHAnsi"/>
          <w:sz w:val="22"/>
        </w:rPr>
      </w:pPr>
      <w:r>
        <w:fldChar w:fldCharType="begin"/>
      </w:r>
      <w:r>
        <w:instrText xml:space="preserve"> HYPERLINK \l "_Toc256000399" </w:instrText>
      </w:r>
      <w:r>
        <w:fldChar w:fldCharType="separate"/>
      </w:r>
      <w:r>
        <w:rPr>
          <w:rStyle w:val="21"/>
          <w:rFonts w:hint="eastAsia"/>
        </w:rPr>
        <w:t>1．材料和工程设备技术要求</w:t>
      </w:r>
      <w:r>
        <w:tab/>
      </w:r>
      <w:r>
        <w:fldChar w:fldCharType="begin"/>
      </w:r>
      <w:r>
        <w:instrText xml:space="preserve"> PAGEREF _Toc256000399 \h </w:instrText>
      </w:r>
      <w:r>
        <w:fldChar w:fldCharType="separate"/>
      </w:r>
      <w:r>
        <w:t>211</w:t>
      </w:r>
      <w:r>
        <w:fldChar w:fldCharType="end"/>
      </w:r>
      <w:r>
        <w:fldChar w:fldCharType="end"/>
      </w:r>
    </w:p>
    <w:p w14:paraId="2BAFCA77">
      <w:pPr>
        <w:pStyle w:val="9"/>
        <w:tabs>
          <w:tab w:val="right" w:leader="dot" w:pos="8296"/>
        </w:tabs>
        <w:rPr>
          <w:rFonts w:asciiTheme="minorHAnsi" w:hAnsiTheme="minorHAnsi"/>
          <w:sz w:val="22"/>
        </w:rPr>
      </w:pPr>
      <w:r>
        <w:fldChar w:fldCharType="begin"/>
      </w:r>
      <w:r>
        <w:instrText xml:space="preserve"> HYPERLINK \l "_Toc256000400" </w:instrText>
      </w:r>
      <w:r>
        <w:fldChar w:fldCharType="separate"/>
      </w:r>
      <w:r>
        <w:rPr>
          <w:rStyle w:val="21"/>
          <w:rFonts w:hint="eastAsia"/>
        </w:rPr>
        <w:t>2．特殊技术要求</w:t>
      </w:r>
      <w:r>
        <w:tab/>
      </w:r>
      <w:r>
        <w:fldChar w:fldCharType="begin"/>
      </w:r>
      <w:r>
        <w:instrText xml:space="preserve"> PAGEREF _Toc256000400 \h </w:instrText>
      </w:r>
      <w:r>
        <w:fldChar w:fldCharType="separate"/>
      </w:r>
      <w:r>
        <w:t>211</w:t>
      </w:r>
      <w:r>
        <w:fldChar w:fldCharType="end"/>
      </w:r>
      <w:r>
        <w:fldChar w:fldCharType="end"/>
      </w:r>
    </w:p>
    <w:p w14:paraId="34654120">
      <w:pPr>
        <w:pStyle w:val="9"/>
        <w:tabs>
          <w:tab w:val="right" w:leader="dot" w:pos="8296"/>
        </w:tabs>
        <w:rPr>
          <w:rFonts w:asciiTheme="minorHAnsi" w:hAnsiTheme="minorHAnsi"/>
          <w:sz w:val="22"/>
        </w:rPr>
      </w:pPr>
      <w:r>
        <w:fldChar w:fldCharType="begin"/>
      </w:r>
      <w:r>
        <w:instrText xml:space="preserve"> HYPERLINK \l "_Toc256000401" </w:instrText>
      </w:r>
      <w:r>
        <w:fldChar w:fldCharType="separate"/>
      </w:r>
      <w:r>
        <w:rPr>
          <w:rStyle w:val="21"/>
          <w:rFonts w:hint="eastAsia"/>
        </w:rPr>
        <w:t>3．新技术、新工艺和新材料</w:t>
      </w:r>
      <w:r>
        <w:tab/>
      </w:r>
      <w:r>
        <w:fldChar w:fldCharType="begin"/>
      </w:r>
      <w:r>
        <w:instrText xml:space="preserve"> PAGEREF _Toc256000401 \h </w:instrText>
      </w:r>
      <w:r>
        <w:fldChar w:fldCharType="separate"/>
      </w:r>
      <w:r>
        <w:t>211</w:t>
      </w:r>
      <w:r>
        <w:fldChar w:fldCharType="end"/>
      </w:r>
      <w:r>
        <w:fldChar w:fldCharType="end"/>
      </w:r>
    </w:p>
    <w:p w14:paraId="65ABA141">
      <w:pPr>
        <w:pStyle w:val="9"/>
        <w:tabs>
          <w:tab w:val="right" w:leader="dot" w:pos="8296"/>
        </w:tabs>
        <w:rPr>
          <w:rFonts w:asciiTheme="minorHAnsi" w:hAnsiTheme="minorHAnsi"/>
          <w:sz w:val="22"/>
        </w:rPr>
      </w:pPr>
      <w:r>
        <w:fldChar w:fldCharType="begin"/>
      </w:r>
      <w:r>
        <w:instrText xml:space="preserve"> HYPERLINK \l "_Toc256000402" </w:instrText>
      </w:r>
      <w:r>
        <w:fldChar w:fldCharType="separate"/>
      </w:r>
      <w:r>
        <w:rPr>
          <w:rStyle w:val="21"/>
          <w:rFonts w:hint="eastAsia"/>
        </w:rPr>
        <w:t>4．其他特殊技术标准和要求</w:t>
      </w:r>
      <w:r>
        <w:tab/>
      </w:r>
      <w:r>
        <w:fldChar w:fldCharType="begin"/>
      </w:r>
      <w:r>
        <w:instrText xml:space="preserve"> PAGEREF _Toc256000402 \h </w:instrText>
      </w:r>
      <w:r>
        <w:fldChar w:fldCharType="separate"/>
      </w:r>
      <w:r>
        <w:t>212</w:t>
      </w:r>
      <w:r>
        <w:fldChar w:fldCharType="end"/>
      </w:r>
      <w:r>
        <w:fldChar w:fldCharType="end"/>
      </w:r>
    </w:p>
    <w:p w14:paraId="72ABA76E">
      <w:pPr>
        <w:pStyle w:val="14"/>
        <w:tabs>
          <w:tab w:val="right" w:leader="dot" w:pos="8296"/>
        </w:tabs>
        <w:rPr>
          <w:rFonts w:asciiTheme="minorHAnsi" w:hAnsiTheme="minorHAnsi"/>
          <w:sz w:val="22"/>
        </w:rPr>
      </w:pPr>
      <w:r>
        <w:fldChar w:fldCharType="begin"/>
      </w:r>
      <w:r>
        <w:instrText xml:space="preserve"> HYPERLINK \l "_Toc256000403" </w:instrText>
      </w:r>
      <w:r>
        <w:fldChar w:fldCharType="separate"/>
      </w:r>
      <w:r>
        <w:rPr>
          <w:rStyle w:val="21"/>
          <w:rFonts w:hint="eastAsia"/>
        </w:rPr>
        <w:t>第三节  适用的国家、行业以及地方规范、标准和规程</w:t>
      </w:r>
      <w:r>
        <w:tab/>
      </w:r>
      <w:r>
        <w:fldChar w:fldCharType="begin"/>
      </w:r>
      <w:r>
        <w:instrText xml:space="preserve"> PAGEREF _Toc256000403 \h </w:instrText>
      </w:r>
      <w:r>
        <w:fldChar w:fldCharType="separate"/>
      </w:r>
      <w:r>
        <w:t>213</w:t>
      </w:r>
      <w:r>
        <w:fldChar w:fldCharType="end"/>
      </w:r>
      <w:r>
        <w:fldChar w:fldCharType="end"/>
      </w:r>
    </w:p>
    <w:p w14:paraId="10AF4213">
      <w:pPr>
        <w:pStyle w:val="13"/>
        <w:tabs>
          <w:tab w:val="right" w:leader="dot" w:pos="8296"/>
        </w:tabs>
        <w:rPr>
          <w:rFonts w:asciiTheme="minorHAnsi" w:hAnsiTheme="minorHAnsi"/>
          <w:sz w:val="22"/>
        </w:rPr>
      </w:pPr>
      <w:r>
        <w:fldChar w:fldCharType="begin"/>
      </w:r>
      <w:r>
        <w:instrText xml:space="preserve"> HYPERLINK \l "_Toc256000404" </w:instrText>
      </w:r>
      <w:r>
        <w:fldChar w:fldCharType="separate"/>
      </w:r>
      <w:r>
        <w:rPr>
          <w:rStyle w:val="21"/>
          <w:rFonts w:hint="eastAsia" w:ascii="黑体" w:hAnsi="黑体" w:eastAsia="黑体"/>
        </w:rPr>
        <w:t>第四卷</w:t>
      </w:r>
      <w:r>
        <w:tab/>
      </w:r>
      <w:r>
        <w:fldChar w:fldCharType="begin"/>
      </w:r>
      <w:r>
        <w:instrText xml:space="preserve"> PAGEREF _Toc256000404 \h </w:instrText>
      </w:r>
      <w:r>
        <w:fldChar w:fldCharType="separate"/>
      </w:r>
      <w:r>
        <w:t>215</w:t>
      </w:r>
      <w:r>
        <w:fldChar w:fldCharType="end"/>
      </w:r>
      <w:r>
        <w:fldChar w:fldCharType="end"/>
      </w:r>
    </w:p>
    <w:p w14:paraId="2BBAF6BA">
      <w:pPr>
        <w:pStyle w:val="13"/>
        <w:tabs>
          <w:tab w:val="right" w:leader="dot" w:pos="8296"/>
        </w:tabs>
        <w:rPr>
          <w:rFonts w:asciiTheme="minorHAnsi" w:hAnsiTheme="minorHAnsi"/>
          <w:sz w:val="22"/>
        </w:rPr>
      </w:pPr>
      <w:r>
        <w:fldChar w:fldCharType="begin"/>
      </w:r>
      <w:r>
        <w:instrText xml:space="preserve"> HYPERLINK \l "_Toc256000405" </w:instrText>
      </w:r>
      <w:r>
        <w:fldChar w:fldCharType="separate"/>
      </w:r>
      <w:r>
        <w:rPr>
          <w:rStyle w:val="21"/>
          <w:rFonts w:ascii="黑体" w:hAnsi="宋体" w:eastAsia="黑体" w:cs="黑体"/>
        </w:rPr>
        <w:t>第八章  投标文件格式</w:t>
      </w:r>
      <w:r>
        <w:tab/>
      </w:r>
      <w:r>
        <w:fldChar w:fldCharType="begin"/>
      </w:r>
      <w:r>
        <w:instrText xml:space="preserve"> PAGEREF _Toc256000405 \h </w:instrText>
      </w:r>
      <w:r>
        <w:fldChar w:fldCharType="separate"/>
      </w:r>
      <w:r>
        <w:t>216</w:t>
      </w:r>
      <w:r>
        <w:fldChar w:fldCharType="end"/>
      </w:r>
      <w:r>
        <w:fldChar w:fldCharType="end"/>
      </w:r>
    </w:p>
    <w:p w14:paraId="0AD6B6CA">
      <w:pPr>
        <w:pStyle w:val="14"/>
        <w:tabs>
          <w:tab w:val="right" w:leader="dot" w:pos="8296"/>
        </w:tabs>
        <w:rPr>
          <w:rFonts w:asciiTheme="minorHAnsi" w:hAnsiTheme="minorHAnsi"/>
          <w:sz w:val="22"/>
        </w:rPr>
      </w:pPr>
      <w:r>
        <w:fldChar w:fldCharType="begin"/>
      </w:r>
      <w:r>
        <w:instrText xml:space="preserve"> HYPERLINK \l "_Toc256000406" </w:instrText>
      </w:r>
      <w:r>
        <w:fldChar w:fldCharType="separate"/>
      </w:r>
      <w:r>
        <w:rPr>
          <w:rStyle w:val="21"/>
          <w:rFonts w:hint="eastAsia"/>
        </w:rPr>
        <w:t>目    录</w:t>
      </w:r>
      <w:r>
        <w:tab/>
      </w:r>
      <w:r>
        <w:fldChar w:fldCharType="begin"/>
      </w:r>
      <w:r>
        <w:instrText xml:space="preserve"> PAGEREF _Toc256000406 \h </w:instrText>
      </w:r>
      <w:r>
        <w:fldChar w:fldCharType="separate"/>
      </w:r>
      <w:r>
        <w:t>218</w:t>
      </w:r>
      <w:r>
        <w:fldChar w:fldCharType="end"/>
      </w:r>
      <w:r>
        <w:fldChar w:fldCharType="end"/>
      </w:r>
    </w:p>
    <w:p w14:paraId="5B05F087">
      <w:pPr>
        <w:pStyle w:val="14"/>
        <w:tabs>
          <w:tab w:val="right" w:leader="dot" w:pos="8296"/>
        </w:tabs>
        <w:rPr>
          <w:rFonts w:asciiTheme="minorHAnsi" w:hAnsiTheme="minorHAnsi"/>
          <w:sz w:val="22"/>
        </w:rPr>
      </w:pPr>
      <w:r>
        <w:fldChar w:fldCharType="begin"/>
      </w:r>
      <w:r>
        <w:instrText xml:space="preserve"> HYPERLINK \l "_Toc256000407" </w:instrText>
      </w:r>
      <w:r>
        <w:fldChar w:fldCharType="separate"/>
      </w:r>
      <w:r>
        <w:rPr>
          <w:rStyle w:val="21"/>
          <w:rFonts w:ascii="黑体" w:hAnsi="宋体" w:cs="黑体"/>
        </w:rPr>
        <w:t>一</w:t>
      </w:r>
      <w:r>
        <w:rPr>
          <w:rStyle w:val="21"/>
          <w:rFonts w:hint="eastAsia" w:ascii="黑体" w:hAnsi="宋体" w:cs="黑体"/>
        </w:rPr>
        <w:t>、投标函及投标函附录等</w:t>
      </w:r>
      <w:r>
        <w:tab/>
      </w:r>
      <w:r>
        <w:fldChar w:fldCharType="begin"/>
      </w:r>
      <w:r>
        <w:instrText xml:space="preserve"> PAGEREF _Toc256000407 \h </w:instrText>
      </w:r>
      <w:r>
        <w:fldChar w:fldCharType="separate"/>
      </w:r>
      <w:r>
        <w:t>219</w:t>
      </w:r>
      <w:r>
        <w:fldChar w:fldCharType="end"/>
      </w:r>
      <w:r>
        <w:fldChar w:fldCharType="end"/>
      </w:r>
    </w:p>
    <w:p w14:paraId="5D57ACC1">
      <w:pPr>
        <w:pStyle w:val="9"/>
        <w:tabs>
          <w:tab w:val="right" w:leader="dot" w:pos="8296"/>
        </w:tabs>
        <w:rPr>
          <w:rFonts w:asciiTheme="minorHAnsi" w:hAnsiTheme="minorHAnsi"/>
          <w:sz w:val="22"/>
        </w:rPr>
      </w:pPr>
      <w:r>
        <w:fldChar w:fldCharType="begin"/>
      </w:r>
      <w:r>
        <w:instrText xml:space="preserve"> HYPERLINK \l "_Toc256000408" </w:instrText>
      </w:r>
      <w:r>
        <w:fldChar w:fldCharType="separate"/>
      </w:r>
      <w:r>
        <w:rPr>
          <w:rStyle w:val="21"/>
          <w:rFonts w:hint="eastAsia"/>
        </w:rPr>
        <w:t>（</w:t>
      </w:r>
      <w:r>
        <w:rPr>
          <w:rStyle w:val="21"/>
        </w:rPr>
        <w:t>一</w:t>
      </w:r>
      <w:r>
        <w:rPr>
          <w:rStyle w:val="21"/>
          <w:rFonts w:hint="eastAsia"/>
        </w:rPr>
        <w:t>）投标函</w:t>
      </w:r>
      <w:r>
        <w:tab/>
      </w:r>
      <w:r>
        <w:fldChar w:fldCharType="begin"/>
      </w:r>
      <w:r>
        <w:instrText xml:space="preserve"> PAGEREF _Toc256000408 \h </w:instrText>
      </w:r>
      <w:r>
        <w:fldChar w:fldCharType="separate"/>
      </w:r>
      <w:r>
        <w:t>220</w:t>
      </w:r>
      <w:r>
        <w:fldChar w:fldCharType="end"/>
      </w:r>
      <w:r>
        <w:fldChar w:fldCharType="end"/>
      </w:r>
    </w:p>
    <w:p w14:paraId="72DD7D78">
      <w:pPr>
        <w:pStyle w:val="9"/>
        <w:tabs>
          <w:tab w:val="right" w:leader="dot" w:pos="8296"/>
        </w:tabs>
        <w:rPr>
          <w:rFonts w:asciiTheme="minorHAnsi" w:hAnsiTheme="minorHAnsi"/>
          <w:sz w:val="22"/>
        </w:rPr>
      </w:pPr>
      <w:r>
        <w:fldChar w:fldCharType="begin"/>
      </w:r>
      <w:r>
        <w:instrText xml:space="preserve"> HYPERLINK \l "_Toc256000409" </w:instrText>
      </w:r>
      <w:r>
        <w:fldChar w:fldCharType="separate"/>
      </w:r>
      <w:r>
        <w:rPr>
          <w:rStyle w:val="21"/>
          <w:rFonts w:hint="eastAsia"/>
        </w:rPr>
        <w:t>（</w:t>
      </w:r>
      <w:r>
        <w:rPr>
          <w:rStyle w:val="21"/>
        </w:rPr>
        <w:t>二</w:t>
      </w:r>
      <w:r>
        <w:rPr>
          <w:rStyle w:val="21"/>
          <w:rFonts w:hint="eastAsia"/>
        </w:rPr>
        <w:t>）告知承诺函</w:t>
      </w:r>
      <w:r>
        <w:tab/>
      </w:r>
      <w:r>
        <w:fldChar w:fldCharType="begin"/>
      </w:r>
      <w:r>
        <w:instrText xml:space="preserve"> PAGEREF _Toc256000409 \h </w:instrText>
      </w:r>
      <w:r>
        <w:fldChar w:fldCharType="separate"/>
      </w:r>
      <w:r>
        <w:t>221</w:t>
      </w:r>
      <w:r>
        <w:fldChar w:fldCharType="end"/>
      </w:r>
      <w:r>
        <w:fldChar w:fldCharType="end"/>
      </w:r>
    </w:p>
    <w:p w14:paraId="4DBD9EC8">
      <w:pPr>
        <w:pStyle w:val="9"/>
        <w:tabs>
          <w:tab w:val="right" w:leader="dot" w:pos="8296"/>
        </w:tabs>
        <w:rPr>
          <w:rFonts w:asciiTheme="minorHAnsi" w:hAnsiTheme="minorHAnsi"/>
          <w:sz w:val="22"/>
        </w:rPr>
      </w:pPr>
      <w:r>
        <w:fldChar w:fldCharType="begin"/>
      </w:r>
      <w:r>
        <w:instrText xml:space="preserve"> HYPERLINK \l "_Toc256000410" </w:instrText>
      </w:r>
      <w:r>
        <w:fldChar w:fldCharType="separate"/>
      </w:r>
      <w:r>
        <w:rPr>
          <w:rStyle w:val="21"/>
          <w:rFonts w:hint="eastAsia"/>
        </w:rPr>
        <w:t>（三）声明函</w:t>
      </w:r>
      <w:r>
        <w:tab/>
      </w:r>
      <w:r>
        <w:fldChar w:fldCharType="begin"/>
      </w:r>
      <w:r>
        <w:instrText xml:space="preserve"> PAGEREF _Toc256000410 \h </w:instrText>
      </w:r>
      <w:r>
        <w:fldChar w:fldCharType="separate"/>
      </w:r>
      <w:r>
        <w:t>223</w:t>
      </w:r>
      <w:r>
        <w:fldChar w:fldCharType="end"/>
      </w:r>
      <w:r>
        <w:fldChar w:fldCharType="end"/>
      </w:r>
    </w:p>
    <w:p w14:paraId="67A38EF1">
      <w:pPr>
        <w:pStyle w:val="14"/>
        <w:tabs>
          <w:tab w:val="right" w:leader="dot" w:pos="8296"/>
        </w:tabs>
        <w:rPr>
          <w:rFonts w:asciiTheme="minorHAnsi" w:hAnsiTheme="minorHAnsi"/>
          <w:sz w:val="22"/>
        </w:rPr>
      </w:pPr>
      <w:r>
        <w:fldChar w:fldCharType="begin"/>
      </w:r>
      <w:r>
        <w:instrText xml:space="preserve"> HYPERLINK \l "_Toc256000411" </w:instrText>
      </w:r>
      <w:r>
        <w:fldChar w:fldCharType="separate"/>
      </w:r>
      <w:r>
        <w:rPr>
          <w:rStyle w:val="21"/>
          <w:rFonts w:ascii="黑体" w:hAnsi="宋体" w:cs="黑体"/>
        </w:rPr>
        <w:t>二</w:t>
      </w:r>
      <w:r>
        <w:rPr>
          <w:rStyle w:val="21"/>
          <w:rFonts w:hint="eastAsia" w:ascii="黑体" w:hAnsi="宋体" w:cs="黑体"/>
        </w:rPr>
        <w:t>、法定代表人身份证明或授权委托书</w:t>
      </w:r>
      <w:r>
        <w:tab/>
      </w:r>
      <w:r>
        <w:fldChar w:fldCharType="begin"/>
      </w:r>
      <w:r>
        <w:instrText xml:space="preserve"> PAGEREF _Toc256000411 \h </w:instrText>
      </w:r>
      <w:r>
        <w:fldChar w:fldCharType="separate"/>
      </w:r>
      <w:r>
        <w:t>224</w:t>
      </w:r>
      <w:r>
        <w:fldChar w:fldCharType="end"/>
      </w:r>
      <w:r>
        <w:fldChar w:fldCharType="end"/>
      </w:r>
    </w:p>
    <w:p w14:paraId="4C64593B">
      <w:pPr>
        <w:pStyle w:val="9"/>
        <w:tabs>
          <w:tab w:val="right" w:leader="dot" w:pos="8296"/>
        </w:tabs>
        <w:rPr>
          <w:rFonts w:asciiTheme="minorHAnsi" w:hAnsiTheme="minorHAnsi"/>
          <w:sz w:val="22"/>
        </w:rPr>
      </w:pPr>
      <w:r>
        <w:fldChar w:fldCharType="begin"/>
      </w:r>
      <w:r>
        <w:instrText xml:space="preserve"> HYPERLINK \l "_Toc256000412" </w:instrText>
      </w:r>
      <w:r>
        <w:fldChar w:fldCharType="separate"/>
      </w:r>
      <w:r>
        <w:rPr>
          <w:rStyle w:val="21"/>
          <w:rFonts w:hint="eastAsia"/>
        </w:rPr>
        <w:t>（</w:t>
      </w:r>
      <w:r>
        <w:rPr>
          <w:rStyle w:val="21"/>
        </w:rPr>
        <w:t>一</w:t>
      </w:r>
      <w:r>
        <w:rPr>
          <w:rStyle w:val="21"/>
          <w:rFonts w:hint="eastAsia"/>
        </w:rPr>
        <w:t>）法定代表人身份证明</w:t>
      </w:r>
      <w:r>
        <w:tab/>
      </w:r>
      <w:r>
        <w:fldChar w:fldCharType="begin"/>
      </w:r>
      <w:r>
        <w:instrText xml:space="preserve"> PAGEREF _Toc256000412 \h </w:instrText>
      </w:r>
      <w:r>
        <w:fldChar w:fldCharType="separate"/>
      </w:r>
      <w:r>
        <w:t>225</w:t>
      </w:r>
      <w:r>
        <w:fldChar w:fldCharType="end"/>
      </w:r>
      <w:r>
        <w:fldChar w:fldCharType="end"/>
      </w:r>
    </w:p>
    <w:p w14:paraId="1BC8E0FA">
      <w:pPr>
        <w:pStyle w:val="9"/>
        <w:tabs>
          <w:tab w:val="right" w:leader="dot" w:pos="8296"/>
        </w:tabs>
        <w:rPr>
          <w:rFonts w:asciiTheme="minorHAnsi" w:hAnsiTheme="minorHAnsi"/>
          <w:sz w:val="22"/>
        </w:rPr>
      </w:pPr>
      <w:r>
        <w:fldChar w:fldCharType="begin"/>
      </w:r>
      <w:r>
        <w:instrText xml:space="preserve"> HYPERLINK \l "_Toc256000413" </w:instrText>
      </w:r>
      <w:r>
        <w:fldChar w:fldCharType="separate"/>
      </w:r>
      <w:r>
        <w:rPr>
          <w:rStyle w:val="21"/>
          <w:rFonts w:hint="eastAsia"/>
        </w:rPr>
        <w:t>（</w:t>
      </w:r>
      <w:r>
        <w:rPr>
          <w:rStyle w:val="21"/>
        </w:rPr>
        <w:t>二</w:t>
      </w:r>
      <w:r>
        <w:rPr>
          <w:rStyle w:val="21"/>
          <w:rFonts w:hint="eastAsia"/>
        </w:rPr>
        <w:t>）授权委托书</w:t>
      </w:r>
      <w:r>
        <w:tab/>
      </w:r>
      <w:r>
        <w:fldChar w:fldCharType="begin"/>
      </w:r>
      <w:r>
        <w:instrText xml:space="preserve"> PAGEREF _Toc256000413 \h </w:instrText>
      </w:r>
      <w:r>
        <w:fldChar w:fldCharType="separate"/>
      </w:r>
      <w:r>
        <w:t>226</w:t>
      </w:r>
      <w:r>
        <w:fldChar w:fldCharType="end"/>
      </w:r>
      <w:r>
        <w:fldChar w:fldCharType="end"/>
      </w:r>
    </w:p>
    <w:p w14:paraId="3A2A8EDB">
      <w:pPr>
        <w:pStyle w:val="14"/>
        <w:tabs>
          <w:tab w:val="right" w:leader="dot" w:pos="8296"/>
        </w:tabs>
        <w:rPr>
          <w:rFonts w:asciiTheme="minorHAnsi" w:hAnsiTheme="minorHAnsi"/>
          <w:sz w:val="22"/>
        </w:rPr>
      </w:pPr>
      <w:r>
        <w:fldChar w:fldCharType="begin"/>
      </w:r>
      <w:r>
        <w:instrText xml:space="preserve"> HYPERLINK \l "_Toc256000414" </w:instrText>
      </w:r>
      <w:r>
        <w:fldChar w:fldCharType="separate"/>
      </w:r>
      <w:r>
        <w:rPr>
          <w:rStyle w:val="21"/>
        </w:rPr>
        <w:t>三</w:t>
      </w:r>
      <w:r>
        <w:rPr>
          <w:rStyle w:val="21"/>
          <w:rFonts w:hint="eastAsia"/>
        </w:rPr>
        <w:t>、投标保证金</w:t>
      </w:r>
      <w:r>
        <w:tab/>
      </w:r>
      <w:r>
        <w:fldChar w:fldCharType="begin"/>
      </w:r>
      <w:r>
        <w:instrText xml:space="preserve"> PAGEREF _Toc256000414 \h </w:instrText>
      </w:r>
      <w:r>
        <w:fldChar w:fldCharType="separate"/>
      </w:r>
      <w:r>
        <w:t>227</w:t>
      </w:r>
      <w:r>
        <w:fldChar w:fldCharType="end"/>
      </w:r>
      <w:r>
        <w:fldChar w:fldCharType="end"/>
      </w:r>
    </w:p>
    <w:p w14:paraId="77A90AB6">
      <w:pPr>
        <w:pStyle w:val="14"/>
        <w:tabs>
          <w:tab w:val="right" w:leader="dot" w:pos="8296"/>
        </w:tabs>
        <w:rPr>
          <w:rFonts w:asciiTheme="minorHAnsi" w:hAnsiTheme="minorHAnsi"/>
          <w:sz w:val="22"/>
        </w:rPr>
      </w:pPr>
      <w:r>
        <w:fldChar w:fldCharType="begin"/>
      </w:r>
      <w:r>
        <w:instrText xml:space="preserve"> HYPERLINK \l "_Toc256000415" </w:instrText>
      </w:r>
      <w:r>
        <w:fldChar w:fldCharType="separate"/>
      </w:r>
      <w:r>
        <w:rPr>
          <w:rStyle w:val="21"/>
        </w:rPr>
        <w:t>四</w:t>
      </w:r>
      <w:r>
        <w:rPr>
          <w:rStyle w:val="21"/>
          <w:rFonts w:hint="eastAsia"/>
        </w:rPr>
        <w:t>、项目管理机构</w:t>
      </w:r>
      <w:r>
        <w:tab/>
      </w:r>
      <w:r>
        <w:fldChar w:fldCharType="begin"/>
      </w:r>
      <w:r>
        <w:instrText xml:space="preserve"> PAGEREF _Toc256000415 \h </w:instrText>
      </w:r>
      <w:r>
        <w:fldChar w:fldCharType="separate"/>
      </w:r>
      <w:r>
        <w:t>228</w:t>
      </w:r>
      <w:r>
        <w:fldChar w:fldCharType="end"/>
      </w:r>
      <w:r>
        <w:fldChar w:fldCharType="end"/>
      </w:r>
    </w:p>
    <w:p w14:paraId="3C1498D6">
      <w:pPr>
        <w:pStyle w:val="9"/>
        <w:tabs>
          <w:tab w:val="right" w:leader="dot" w:pos="8296"/>
        </w:tabs>
        <w:rPr>
          <w:rFonts w:asciiTheme="minorHAnsi" w:hAnsiTheme="minorHAnsi"/>
          <w:sz w:val="22"/>
        </w:rPr>
      </w:pPr>
      <w:r>
        <w:fldChar w:fldCharType="begin"/>
      </w:r>
      <w:r>
        <w:instrText xml:space="preserve"> HYPERLINK \l "_Toc256000416" </w:instrText>
      </w:r>
      <w:r>
        <w:fldChar w:fldCharType="separate"/>
      </w:r>
      <w:r>
        <w:rPr>
          <w:rStyle w:val="21"/>
          <w:rFonts w:hint="eastAsia"/>
        </w:rPr>
        <w:t>（</w:t>
      </w:r>
      <w:r>
        <w:rPr>
          <w:rStyle w:val="21"/>
        </w:rPr>
        <w:t>一</w:t>
      </w:r>
      <w:r>
        <w:rPr>
          <w:rStyle w:val="21"/>
          <w:rFonts w:hint="eastAsia"/>
        </w:rPr>
        <w:t>）项目管理机构主要人员表</w:t>
      </w:r>
      <w:r>
        <w:tab/>
      </w:r>
      <w:r>
        <w:fldChar w:fldCharType="begin"/>
      </w:r>
      <w:r>
        <w:instrText xml:space="preserve"> PAGEREF _Toc256000416 \h </w:instrText>
      </w:r>
      <w:r>
        <w:fldChar w:fldCharType="separate"/>
      </w:r>
      <w:r>
        <w:t>229</w:t>
      </w:r>
      <w:r>
        <w:fldChar w:fldCharType="end"/>
      </w:r>
      <w:r>
        <w:fldChar w:fldCharType="end"/>
      </w:r>
    </w:p>
    <w:p w14:paraId="6EC20260">
      <w:pPr>
        <w:pStyle w:val="9"/>
        <w:tabs>
          <w:tab w:val="right" w:leader="dot" w:pos="8296"/>
        </w:tabs>
        <w:rPr>
          <w:rFonts w:asciiTheme="minorHAnsi" w:hAnsiTheme="minorHAnsi"/>
          <w:sz w:val="22"/>
        </w:rPr>
      </w:pPr>
      <w:r>
        <w:fldChar w:fldCharType="begin"/>
      </w:r>
      <w:r>
        <w:instrText xml:space="preserve"> HYPERLINK \l "_Toc256000417" </w:instrText>
      </w:r>
      <w:r>
        <w:fldChar w:fldCharType="separate"/>
      </w:r>
      <w:r>
        <w:rPr>
          <w:rStyle w:val="21"/>
          <w:rFonts w:hint="eastAsia"/>
        </w:rPr>
        <w:t>（</w:t>
      </w:r>
      <w:r>
        <w:rPr>
          <w:rStyle w:val="21"/>
        </w:rPr>
        <w:t>二</w:t>
      </w:r>
      <w:r>
        <w:rPr>
          <w:rStyle w:val="21"/>
          <w:rFonts w:hint="eastAsia"/>
        </w:rPr>
        <w:t>）项目经理简历表</w:t>
      </w:r>
      <w:r>
        <w:tab/>
      </w:r>
      <w:r>
        <w:fldChar w:fldCharType="begin"/>
      </w:r>
      <w:r>
        <w:instrText xml:space="preserve"> PAGEREF _Toc256000417 \h </w:instrText>
      </w:r>
      <w:r>
        <w:fldChar w:fldCharType="separate"/>
      </w:r>
      <w:r>
        <w:t>230</w:t>
      </w:r>
      <w:r>
        <w:fldChar w:fldCharType="end"/>
      </w:r>
      <w:r>
        <w:fldChar w:fldCharType="end"/>
      </w:r>
    </w:p>
    <w:p w14:paraId="72A8FD62">
      <w:pPr>
        <w:pStyle w:val="9"/>
        <w:tabs>
          <w:tab w:val="right" w:leader="dot" w:pos="8296"/>
        </w:tabs>
        <w:rPr>
          <w:rFonts w:asciiTheme="minorHAnsi" w:hAnsiTheme="minorHAnsi"/>
          <w:sz w:val="22"/>
        </w:rPr>
      </w:pPr>
      <w:r>
        <w:fldChar w:fldCharType="begin"/>
      </w:r>
      <w:r>
        <w:instrText xml:space="preserve"> HYPERLINK \l "_Toc256000418" </w:instrText>
      </w:r>
      <w:r>
        <w:fldChar w:fldCharType="separate"/>
      </w:r>
      <w:r>
        <w:rPr>
          <w:rStyle w:val="21"/>
          <w:rFonts w:hint="eastAsia"/>
        </w:rPr>
        <w:t>（</w:t>
      </w:r>
      <w:r>
        <w:rPr>
          <w:rStyle w:val="21"/>
        </w:rPr>
        <w:t>三</w:t>
      </w:r>
      <w:r>
        <w:rPr>
          <w:rStyle w:val="21"/>
          <w:rFonts w:hint="eastAsia"/>
        </w:rPr>
        <w:t>）承诺书</w:t>
      </w:r>
      <w:r>
        <w:tab/>
      </w:r>
      <w:r>
        <w:fldChar w:fldCharType="begin"/>
      </w:r>
      <w:r>
        <w:instrText xml:space="preserve"> PAGEREF _Toc256000418 \h </w:instrText>
      </w:r>
      <w:r>
        <w:fldChar w:fldCharType="separate"/>
      </w:r>
      <w:r>
        <w:t>231</w:t>
      </w:r>
      <w:r>
        <w:fldChar w:fldCharType="end"/>
      </w:r>
      <w:r>
        <w:fldChar w:fldCharType="end"/>
      </w:r>
    </w:p>
    <w:p w14:paraId="2DE0E298">
      <w:pPr>
        <w:pStyle w:val="9"/>
        <w:tabs>
          <w:tab w:val="right" w:leader="dot" w:pos="8296"/>
        </w:tabs>
        <w:rPr>
          <w:rFonts w:asciiTheme="minorHAnsi" w:hAnsiTheme="minorHAnsi"/>
          <w:sz w:val="22"/>
        </w:rPr>
      </w:pPr>
      <w:r>
        <w:fldChar w:fldCharType="begin"/>
      </w:r>
      <w:r>
        <w:instrText xml:space="preserve"> HYPERLINK \l "_Toc256000419" </w:instrText>
      </w:r>
      <w:r>
        <w:fldChar w:fldCharType="separate"/>
      </w:r>
      <w:r>
        <w:rPr>
          <w:rStyle w:val="21"/>
          <w:rFonts w:hint="eastAsia"/>
        </w:rPr>
        <w:t>（</w:t>
      </w:r>
      <w:r>
        <w:rPr>
          <w:rStyle w:val="21"/>
        </w:rPr>
        <w:t>四</w:t>
      </w:r>
      <w:r>
        <w:rPr>
          <w:rStyle w:val="21"/>
          <w:rFonts w:hint="eastAsia"/>
        </w:rPr>
        <w:t>）其他主要项目管理人员简历表</w:t>
      </w:r>
      <w:r>
        <w:tab/>
      </w:r>
      <w:r>
        <w:fldChar w:fldCharType="begin"/>
      </w:r>
      <w:r>
        <w:instrText xml:space="preserve"> PAGEREF _Toc256000419 \h </w:instrText>
      </w:r>
      <w:r>
        <w:fldChar w:fldCharType="separate"/>
      </w:r>
      <w:r>
        <w:t>232</w:t>
      </w:r>
      <w:r>
        <w:fldChar w:fldCharType="end"/>
      </w:r>
      <w:r>
        <w:fldChar w:fldCharType="end"/>
      </w:r>
    </w:p>
    <w:p w14:paraId="7CC99414">
      <w:pPr>
        <w:pStyle w:val="14"/>
        <w:tabs>
          <w:tab w:val="right" w:leader="dot" w:pos="8296"/>
        </w:tabs>
        <w:rPr>
          <w:rFonts w:asciiTheme="minorHAnsi" w:hAnsiTheme="minorHAnsi"/>
          <w:sz w:val="22"/>
        </w:rPr>
      </w:pPr>
      <w:r>
        <w:fldChar w:fldCharType="begin"/>
      </w:r>
      <w:r>
        <w:instrText xml:space="preserve"> HYPERLINK \l "_Toc256000420" </w:instrText>
      </w:r>
      <w:r>
        <w:fldChar w:fldCharType="separate"/>
      </w:r>
      <w:r>
        <w:rPr>
          <w:rStyle w:val="21"/>
        </w:rPr>
        <w:t>五</w:t>
      </w:r>
      <w:r>
        <w:rPr>
          <w:rStyle w:val="21"/>
          <w:rFonts w:hint="eastAsia"/>
        </w:rPr>
        <w:t>、资格审查资料</w:t>
      </w:r>
      <w:r>
        <w:tab/>
      </w:r>
      <w:r>
        <w:fldChar w:fldCharType="begin"/>
      </w:r>
      <w:r>
        <w:instrText xml:space="preserve"> PAGEREF _Toc256000420 \h </w:instrText>
      </w:r>
      <w:r>
        <w:fldChar w:fldCharType="separate"/>
      </w:r>
      <w:r>
        <w:t>233</w:t>
      </w:r>
      <w:r>
        <w:fldChar w:fldCharType="end"/>
      </w:r>
      <w:r>
        <w:fldChar w:fldCharType="end"/>
      </w:r>
    </w:p>
    <w:p w14:paraId="030A3E9C">
      <w:pPr>
        <w:pStyle w:val="9"/>
        <w:tabs>
          <w:tab w:val="right" w:leader="dot" w:pos="8296"/>
        </w:tabs>
        <w:rPr>
          <w:rFonts w:asciiTheme="minorHAnsi" w:hAnsiTheme="minorHAnsi"/>
          <w:sz w:val="22"/>
        </w:rPr>
      </w:pPr>
      <w:r>
        <w:fldChar w:fldCharType="begin"/>
      </w:r>
      <w:r>
        <w:instrText xml:space="preserve"> HYPERLINK \l "_Toc256000421" </w:instrText>
      </w:r>
      <w:r>
        <w:fldChar w:fldCharType="separate"/>
      </w:r>
      <w:r>
        <w:rPr>
          <w:rStyle w:val="21"/>
          <w:rFonts w:hint="eastAsia"/>
        </w:rPr>
        <w:t>（</w:t>
      </w:r>
      <w:r>
        <w:rPr>
          <w:rStyle w:val="21"/>
        </w:rPr>
        <w:t>一</w:t>
      </w:r>
      <w:r>
        <w:rPr>
          <w:rStyle w:val="21"/>
          <w:rFonts w:hint="eastAsia"/>
        </w:rPr>
        <w:t>）投标人基本情况</w:t>
      </w:r>
      <w:r>
        <w:tab/>
      </w:r>
      <w:r>
        <w:fldChar w:fldCharType="begin"/>
      </w:r>
      <w:r>
        <w:instrText xml:space="preserve"> PAGEREF _Toc256000421 \h </w:instrText>
      </w:r>
      <w:r>
        <w:fldChar w:fldCharType="separate"/>
      </w:r>
      <w:r>
        <w:t>234</w:t>
      </w:r>
      <w:r>
        <w:fldChar w:fldCharType="end"/>
      </w:r>
      <w:r>
        <w:fldChar w:fldCharType="end"/>
      </w:r>
    </w:p>
    <w:p w14:paraId="6171CB56">
      <w:pPr>
        <w:pStyle w:val="9"/>
        <w:tabs>
          <w:tab w:val="right" w:leader="dot" w:pos="8296"/>
        </w:tabs>
        <w:rPr>
          <w:rFonts w:asciiTheme="minorHAnsi" w:hAnsiTheme="minorHAnsi"/>
          <w:sz w:val="22"/>
        </w:rPr>
      </w:pPr>
      <w:r>
        <w:fldChar w:fldCharType="begin"/>
      </w:r>
      <w:r>
        <w:instrText xml:space="preserve"> HYPERLINK \l "_Toc256000422" </w:instrText>
      </w:r>
      <w:r>
        <w:fldChar w:fldCharType="separate"/>
      </w:r>
      <w:r>
        <w:rPr>
          <w:rStyle w:val="21"/>
          <w:rFonts w:hint="eastAsia"/>
        </w:rPr>
        <w:t>1-1 投标人基本情况表</w:t>
      </w:r>
      <w:r>
        <w:tab/>
      </w:r>
      <w:r>
        <w:fldChar w:fldCharType="begin"/>
      </w:r>
      <w:r>
        <w:instrText xml:space="preserve"> PAGEREF _Toc256000422 \h </w:instrText>
      </w:r>
      <w:r>
        <w:fldChar w:fldCharType="separate"/>
      </w:r>
      <w:r>
        <w:t>235</w:t>
      </w:r>
      <w:r>
        <w:fldChar w:fldCharType="end"/>
      </w:r>
      <w:r>
        <w:fldChar w:fldCharType="end"/>
      </w:r>
    </w:p>
    <w:p w14:paraId="4F692BFD">
      <w:pPr>
        <w:pStyle w:val="9"/>
        <w:tabs>
          <w:tab w:val="right" w:leader="dot" w:pos="8296"/>
        </w:tabs>
        <w:rPr>
          <w:rFonts w:asciiTheme="minorHAnsi" w:hAnsiTheme="minorHAnsi"/>
          <w:sz w:val="22"/>
        </w:rPr>
      </w:pPr>
      <w:r>
        <w:fldChar w:fldCharType="begin"/>
      </w:r>
      <w:r>
        <w:instrText xml:space="preserve"> HYPERLINK \l "_Toc256000423" </w:instrText>
      </w:r>
      <w:r>
        <w:fldChar w:fldCharType="separate"/>
      </w:r>
      <w:r>
        <w:rPr>
          <w:rStyle w:val="21"/>
        </w:rPr>
        <w:t>1-2</w:t>
      </w:r>
      <w:r>
        <w:rPr>
          <w:rStyle w:val="21"/>
          <w:rFonts w:hint="eastAsia"/>
        </w:rPr>
        <w:t xml:space="preserve"> 关联单位情况说明</w:t>
      </w:r>
      <w:r>
        <w:tab/>
      </w:r>
      <w:r>
        <w:fldChar w:fldCharType="begin"/>
      </w:r>
      <w:r>
        <w:instrText xml:space="preserve"> PAGEREF _Toc256000423 \h </w:instrText>
      </w:r>
      <w:r>
        <w:fldChar w:fldCharType="separate"/>
      </w:r>
      <w:r>
        <w:t>236</w:t>
      </w:r>
      <w:r>
        <w:fldChar w:fldCharType="end"/>
      </w:r>
      <w:r>
        <w:fldChar w:fldCharType="end"/>
      </w:r>
    </w:p>
    <w:p w14:paraId="3B5A5B4B">
      <w:pPr>
        <w:pStyle w:val="9"/>
        <w:tabs>
          <w:tab w:val="right" w:leader="dot" w:pos="8296"/>
        </w:tabs>
        <w:rPr>
          <w:rFonts w:asciiTheme="minorHAnsi" w:hAnsiTheme="minorHAnsi"/>
          <w:sz w:val="22"/>
        </w:rPr>
      </w:pPr>
      <w:r>
        <w:fldChar w:fldCharType="begin"/>
      </w:r>
      <w:r>
        <w:instrText xml:space="preserve"> HYPERLINK \l "_Toc256000424" </w:instrText>
      </w:r>
      <w:r>
        <w:fldChar w:fldCharType="separate"/>
      </w:r>
      <w:r>
        <w:rPr>
          <w:rStyle w:val="21"/>
          <w:rFonts w:hint="eastAsia"/>
        </w:rPr>
        <w:t>1-3 企业在辽基本信息登记单</w:t>
      </w:r>
      <w:r>
        <w:tab/>
      </w:r>
      <w:r>
        <w:fldChar w:fldCharType="begin"/>
      </w:r>
      <w:r>
        <w:instrText xml:space="preserve"> PAGEREF _Toc256000424 \h </w:instrText>
      </w:r>
      <w:r>
        <w:fldChar w:fldCharType="separate"/>
      </w:r>
      <w:r>
        <w:t>237</w:t>
      </w:r>
      <w:r>
        <w:fldChar w:fldCharType="end"/>
      </w:r>
      <w:r>
        <w:fldChar w:fldCharType="end"/>
      </w:r>
    </w:p>
    <w:p w14:paraId="642C72D0">
      <w:pPr>
        <w:pStyle w:val="9"/>
        <w:tabs>
          <w:tab w:val="right" w:leader="dot" w:pos="8296"/>
        </w:tabs>
        <w:rPr>
          <w:rFonts w:asciiTheme="minorHAnsi" w:hAnsiTheme="minorHAnsi"/>
          <w:sz w:val="22"/>
        </w:rPr>
      </w:pPr>
      <w:r>
        <w:fldChar w:fldCharType="begin"/>
      </w:r>
      <w:r>
        <w:instrText xml:space="preserve"> HYPERLINK \l "_Toc256000425" </w:instrText>
      </w:r>
      <w:r>
        <w:fldChar w:fldCharType="separate"/>
      </w:r>
      <w:r>
        <w:rPr>
          <w:rStyle w:val="21"/>
        </w:rPr>
        <w:t>1-4</w:t>
      </w:r>
      <w:r>
        <w:rPr>
          <w:rStyle w:val="21"/>
          <w:rFonts w:hint="eastAsia"/>
        </w:rPr>
        <w:t xml:space="preserve"> </w:t>
      </w:r>
      <w:r>
        <w:rPr>
          <w:rStyle w:val="21"/>
          <w:rFonts w:hint="eastAsia" w:ascii="宋体" w:hAnsi="宋体"/>
        </w:rPr>
        <w:t>项目管理机构主要人员及简历表</w:t>
      </w:r>
      <w:r>
        <w:tab/>
      </w:r>
      <w:r>
        <w:fldChar w:fldCharType="begin"/>
      </w:r>
      <w:r>
        <w:instrText xml:space="preserve"> PAGEREF _Toc256000425 \h </w:instrText>
      </w:r>
      <w:r>
        <w:fldChar w:fldCharType="separate"/>
      </w:r>
      <w:r>
        <w:t>238</w:t>
      </w:r>
      <w:r>
        <w:fldChar w:fldCharType="end"/>
      </w:r>
      <w:r>
        <w:fldChar w:fldCharType="end"/>
      </w:r>
    </w:p>
    <w:p w14:paraId="624A9576">
      <w:pPr>
        <w:pStyle w:val="9"/>
        <w:tabs>
          <w:tab w:val="right" w:leader="dot" w:pos="8296"/>
        </w:tabs>
        <w:rPr>
          <w:rFonts w:asciiTheme="minorHAnsi" w:hAnsiTheme="minorHAnsi"/>
          <w:sz w:val="22"/>
        </w:rPr>
      </w:pPr>
      <w:r>
        <w:fldChar w:fldCharType="begin"/>
      </w:r>
      <w:r>
        <w:instrText xml:space="preserve"> HYPERLINK \l "_Toc256000426" </w:instrText>
      </w:r>
      <w:r>
        <w:fldChar w:fldCharType="separate"/>
      </w:r>
      <w:r>
        <w:rPr>
          <w:rStyle w:val="21"/>
        </w:rPr>
        <w:t>1-5</w:t>
      </w:r>
      <w:r>
        <w:rPr>
          <w:rStyle w:val="21"/>
          <w:rFonts w:hint="eastAsia"/>
        </w:rPr>
        <w:t xml:space="preserve"> 拟投入主要施工机械设备情况表</w:t>
      </w:r>
      <w:r>
        <w:tab/>
      </w:r>
      <w:r>
        <w:fldChar w:fldCharType="begin"/>
      </w:r>
      <w:r>
        <w:instrText xml:space="preserve"> PAGEREF _Toc256000426 \h </w:instrText>
      </w:r>
      <w:r>
        <w:fldChar w:fldCharType="separate"/>
      </w:r>
      <w:r>
        <w:t>239</w:t>
      </w:r>
      <w:r>
        <w:fldChar w:fldCharType="end"/>
      </w:r>
      <w:r>
        <w:fldChar w:fldCharType="end"/>
      </w:r>
    </w:p>
    <w:p w14:paraId="6FB5C87F">
      <w:pPr>
        <w:pStyle w:val="9"/>
        <w:tabs>
          <w:tab w:val="right" w:leader="dot" w:pos="8296"/>
        </w:tabs>
        <w:rPr>
          <w:rFonts w:asciiTheme="minorHAnsi" w:hAnsiTheme="minorHAnsi"/>
          <w:sz w:val="22"/>
        </w:rPr>
      </w:pPr>
      <w:r>
        <w:fldChar w:fldCharType="begin"/>
      </w:r>
      <w:r>
        <w:instrText xml:space="preserve"> HYPERLINK \l "_Toc256000427" </w:instrText>
      </w:r>
      <w:r>
        <w:fldChar w:fldCharType="separate"/>
      </w:r>
      <w:r>
        <w:rPr>
          <w:rStyle w:val="21"/>
          <w:rFonts w:hint="eastAsia"/>
        </w:rPr>
        <w:t>（</w:t>
      </w:r>
      <w:r>
        <w:rPr>
          <w:rStyle w:val="21"/>
        </w:rPr>
        <w:t>二</w:t>
      </w:r>
      <w:r>
        <w:rPr>
          <w:rStyle w:val="21"/>
          <w:rFonts w:hint="eastAsia"/>
        </w:rPr>
        <w:t>）近年财务状况表</w:t>
      </w:r>
      <w:r>
        <w:tab/>
      </w:r>
      <w:r>
        <w:fldChar w:fldCharType="begin"/>
      </w:r>
      <w:r>
        <w:instrText xml:space="preserve"> PAGEREF _Toc256000427 \h </w:instrText>
      </w:r>
      <w:r>
        <w:fldChar w:fldCharType="separate"/>
      </w:r>
      <w:r>
        <w:t>240</w:t>
      </w:r>
      <w:r>
        <w:fldChar w:fldCharType="end"/>
      </w:r>
      <w:r>
        <w:fldChar w:fldCharType="end"/>
      </w:r>
    </w:p>
    <w:p w14:paraId="5E47FCC8">
      <w:pPr>
        <w:pStyle w:val="9"/>
        <w:tabs>
          <w:tab w:val="right" w:leader="dot" w:pos="8296"/>
        </w:tabs>
        <w:rPr>
          <w:rFonts w:asciiTheme="minorHAnsi" w:hAnsiTheme="minorHAnsi"/>
          <w:sz w:val="22"/>
        </w:rPr>
      </w:pPr>
      <w:r>
        <w:fldChar w:fldCharType="begin"/>
      </w:r>
      <w:r>
        <w:instrText xml:space="preserve"> HYPERLINK \l "_Toc256000428" </w:instrText>
      </w:r>
      <w:r>
        <w:fldChar w:fldCharType="separate"/>
      </w:r>
      <w:r>
        <w:rPr>
          <w:rStyle w:val="21"/>
          <w:rFonts w:hint="eastAsia"/>
        </w:rPr>
        <w:t>（</w:t>
      </w:r>
      <w:r>
        <w:rPr>
          <w:rStyle w:val="21"/>
        </w:rPr>
        <w:t>三</w:t>
      </w:r>
      <w:r>
        <w:rPr>
          <w:rStyle w:val="21"/>
          <w:rFonts w:hint="eastAsia"/>
        </w:rPr>
        <w:t>）近年完成的类似项目情况</w:t>
      </w:r>
      <w:r>
        <w:tab/>
      </w:r>
      <w:r>
        <w:fldChar w:fldCharType="begin"/>
      </w:r>
      <w:r>
        <w:instrText xml:space="preserve"> PAGEREF _Toc256000428 \h </w:instrText>
      </w:r>
      <w:r>
        <w:fldChar w:fldCharType="separate"/>
      </w:r>
      <w:r>
        <w:t>241</w:t>
      </w:r>
      <w:r>
        <w:fldChar w:fldCharType="end"/>
      </w:r>
      <w:r>
        <w:fldChar w:fldCharType="end"/>
      </w:r>
    </w:p>
    <w:p w14:paraId="32590F39">
      <w:pPr>
        <w:pStyle w:val="9"/>
        <w:tabs>
          <w:tab w:val="right" w:leader="dot" w:pos="8296"/>
        </w:tabs>
        <w:rPr>
          <w:rFonts w:asciiTheme="minorHAnsi" w:hAnsiTheme="minorHAnsi"/>
          <w:sz w:val="22"/>
        </w:rPr>
      </w:pPr>
      <w:r>
        <w:fldChar w:fldCharType="begin"/>
      </w:r>
      <w:r>
        <w:instrText xml:space="preserve"> HYPERLINK \l "_Toc256000429" </w:instrText>
      </w:r>
      <w:r>
        <w:fldChar w:fldCharType="separate"/>
      </w:r>
      <w:r>
        <w:rPr>
          <w:rStyle w:val="21"/>
          <w:rFonts w:hint="eastAsia"/>
        </w:rPr>
        <w:t>（</w:t>
      </w:r>
      <w:r>
        <w:rPr>
          <w:rStyle w:val="21"/>
        </w:rPr>
        <w:t>四</w:t>
      </w:r>
      <w:r>
        <w:rPr>
          <w:rStyle w:val="21"/>
          <w:rFonts w:hint="eastAsia"/>
        </w:rPr>
        <w:t>）正在施工的和新承接的项目情况</w:t>
      </w:r>
      <w:r>
        <w:tab/>
      </w:r>
      <w:r>
        <w:fldChar w:fldCharType="begin"/>
      </w:r>
      <w:r>
        <w:instrText xml:space="preserve"> PAGEREF _Toc256000429 \h </w:instrText>
      </w:r>
      <w:r>
        <w:fldChar w:fldCharType="separate"/>
      </w:r>
      <w:r>
        <w:t>243</w:t>
      </w:r>
      <w:r>
        <w:fldChar w:fldCharType="end"/>
      </w:r>
      <w:r>
        <w:fldChar w:fldCharType="end"/>
      </w:r>
    </w:p>
    <w:p w14:paraId="6044C8DE">
      <w:pPr>
        <w:pStyle w:val="9"/>
        <w:tabs>
          <w:tab w:val="right" w:leader="dot" w:pos="8296"/>
        </w:tabs>
        <w:rPr>
          <w:rFonts w:asciiTheme="minorHAnsi" w:hAnsiTheme="minorHAnsi"/>
          <w:sz w:val="22"/>
        </w:rPr>
      </w:pPr>
      <w:r>
        <w:fldChar w:fldCharType="begin"/>
      </w:r>
      <w:r>
        <w:instrText xml:space="preserve"> HYPERLINK \l "_Toc256000430" </w:instrText>
      </w:r>
      <w:r>
        <w:fldChar w:fldCharType="separate"/>
      </w:r>
      <w:r>
        <w:rPr>
          <w:rStyle w:val="21"/>
          <w:rFonts w:hint="eastAsia"/>
        </w:rPr>
        <w:t>（</w:t>
      </w:r>
      <w:r>
        <w:rPr>
          <w:rStyle w:val="21"/>
        </w:rPr>
        <w:t>五</w:t>
      </w:r>
      <w:r>
        <w:rPr>
          <w:rStyle w:val="21"/>
          <w:rFonts w:hint="eastAsia"/>
        </w:rPr>
        <w:t>）企业信誉情况</w:t>
      </w:r>
      <w:r>
        <w:tab/>
      </w:r>
      <w:r>
        <w:fldChar w:fldCharType="begin"/>
      </w:r>
      <w:r>
        <w:instrText xml:space="preserve"> PAGEREF _Toc256000430 \h </w:instrText>
      </w:r>
      <w:r>
        <w:fldChar w:fldCharType="separate"/>
      </w:r>
      <w:r>
        <w:t>245</w:t>
      </w:r>
      <w:r>
        <w:fldChar w:fldCharType="end"/>
      </w:r>
      <w:r>
        <w:fldChar w:fldCharType="end"/>
      </w:r>
    </w:p>
    <w:p w14:paraId="38400FB9">
      <w:pPr>
        <w:pStyle w:val="9"/>
        <w:tabs>
          <w:tab w:val="right" w:leader="dot" w:pos="8296"/>
        </w:tabs>
        <w:rPr>
          <w:rFonts w:asciiTheme="minorHAnsi" w:hAnsiTheme="minorHAnsi"/>
          <w:sz w:val="22"/>
        </w:rPr>
      </w:pPr>
      <w:r>
        <w:fldChar w:fldCharType="begin"/>
      </w:r>
      <w:r>
        <w:instrText xml:space="preserve"> HYPERLINK \l "_Toc256000431" </w:instrText>
      </w:r>
      <w:r>
        <w:fldChar w:fldCharType="separate"/>
      </w:r>
      <w:r>
        <w:rPr>
          <w:rStyle w:val="21"/>
          <w:rFonts w:hint="eastAsia" w:ascii="黑体" w:hAnsi="黑体" w:cs="黑体"/>
        </w:rPr>
        <w:t xml:space="preserve">5-1 </w:t>
      </w:r>
      <w:r>
        <w:rPr>
          <w:rStyle w:val="21"/>
          <w:rFonts w:hint="eastAsia" w:ascii="宋体" w:hAnsi="宋体"/>
        </w:rPr>
        <w:t>企业信誉声明</w:t>
      </w:r>
      <w:r>
        <w:tab/>
      </w:r>
      <w:r>
        <w:fldChar w:fldCharType="begin"/>
      </w:r>
      <w:r>
        <w:instrText xml:space="preserve"> PAGEREF _Toc256000431 \h </w:instrText>
      </w:r>
      <w:r>
        <w:fldChar w:fldCharType="separate"/>
      </w:r>
      <w:r>
        <w:t>246</w:t>
      </w:r>
      <w:r>
        <w:fldChar w:fldCharType="end"/>
      </w:r>
      <w:r>
        <w:fldChar w:fldCharType="end"/>
      </w:r>
    </w:p>
    <w:p w14:paraId="234F6983">
      <w:pPr>
        <w:pStyle w:val="9"/>
        <w:tabs>
          <w:tab w:val="right" w:leader="dot" w:pos="8296"/>
        </w:tabs>
        <w:rPr>
          <w:rFonts w:asciiTheme="minorHAnsi" w:hAnsiTheme="minorHAnsi"/>
          <w:sz w:val="22"/>
        </w:rPr>
      </w:pPr>
      <w:r>
        <w:fldChar w:fldCharType="begin"/>
      </w:r>
      <w:r>
        <w:instrText xml:space="preserve"> HYPERLINK \l "_Toc256000432" </w:instrText>
      </w:r>
      <w:r>
        <w:fldChar w:fldCharType="separate"/>
      </w:r>
      <w:r>
        <w:rPr>
          <w:rStyle w:val="21"/>
        </w:rPr>
        <w:t>5-2</w:t>
      </w:r>
      <w:r>
        <w:rPr>
          <w:rStyle w:val="21"/>
          <w:rFonts w:hint="eastAsia"/>
        </w:rPr>
        <w:t xml:space="preserve"> 近年发生的诉讼和仲裁情况</w:t>
      </w:r>
      <w:r>
        <w:tab/>
      </w:r>
      <w:r>
        <w:fldChar w:fldCharType="begin"/>
      </w:r>
      <w:r>
        <w:instrText xml:space="preserve"> PAGEREF _Toc256000432 \h </w:instrText>
      </w:r>
      <w:r>
        <w:fldChar w:fldCharType="separate"/>
      </w:r>
      <w:r>
        <w:t>247</w:t>
      </w:r>
      <w:r>
        <w:fldChar w:fldCharType="end"/>
      </w:r>
      <w:r>
        <w:fldChar w:fldCharType="end"/>
      </w:r>
    </w:p>
    <w:p w14:paraId="65B6A49A">
      <w:pPr>
        <w:pStyle w:val="9"/>
        <w:tabs>
          <w:tab w:val="right" w:leader="dot" w:pos="8296"/>
        </w:tabs>
        <w:rPr>
          <w:rFonts w:asciiTheme="minorHAnsi" w:hAnsiTheme="minorHAnsi"/>
          <w:sz w:val="22"/>
        </w:rPr>
      </w:pPr>
      <w:r>
        <w:fldChar w:fldCharType="begin"/>
      </w:r>
      <w:r>
        <w:instrText xml:space="preserve"> HYPERLINK \l "_Toc256000433" </w:instrText>
      </w:r>
      <w:r>
        <w:fldChar w:fldCharType="separate"/>
      </w:r>
      <w:r>
        <w:rPr>
          <w:rStyle w:val="21"/>
        </w:rPr>
        <w:t>5-3</w:t>
      </w:r>
      <w:r>
        <w:rPr>
          <w:rStyle w:val="21"/>
          <w:rFonts w:hint="eastAsia"/>
        </w:rPr>
        <w:t xml:space="preserve"> 近年投标人工程获奖</w:t>
      </w:r>
      <w:r>
        <w:rPr>
          <w:rStyle w:val="21"/>
        </w:rPr>
        <w:t>情况表</w:t>
      </w:r>
      <w:r>
        <w:tab/>
      </w:r>
      <w:r>
        <w:fldChar w:fldCharType="begin"/>
      </w:r>
      <w:r>
        <w:instrText xml:space="preserve"> PAGEREF _Toc256000433 \h </w:instrText>
      </w:r>
      <w:r>
        <w:fldChar w:fldCharType="separate"/>
      </w:r>
      <w:r>
        <w:t>248</w:t>
      </w:r>
      <w:r>
        <w:fldChar w:fldCharType="end"/>
      </w:r>
      <w:r>
        <w:fldChar w:fldCharType="end"/>
      </w:r>
    </w:p>
    <w:p w14:paraId="57D7604E">
      <w:pPr>
        <w:pStyle w:val="9"/>
        <w:tabs>
          <w:tab w:val="right" w:leader="dot" w:pos="8296"/>
        </w:tabs>
        <w:rPr>
          <w:rFonts w:asciiTheme="minorHAnsi" w:hAnsiTheme="minorHAnsi"/>
          <w:sz w:val="22"/>
        </w:rPr>
      </w:pPr>
      <w:r>
        <w:fldChar w:fldCharType="begin"/>
      </w:r>
      <w:r>
        <w:instrText xml:space="preserve"> HYPERLINK \l "_Toc256000434" </w:instrText>
      </w:r>
      <w:r>
        <w:fldChar w:fldCharType="separate"/>
      </w:r>
      <w:r>
        <w:rPr>
          <w:rStyle w:val="21"/>
        </w:rPr>
        <w:t>5-4</w:t>
      </w:r>
      <w:r>
        <w:rPr>
          <w:rStyle w:val="21"/>
          <w:rFonts w:hint="eastAsia"/>
        </w:rPr>
        <w:t xml:space="preserve"> 近年项目经理工程获奖</w:t>
      </w:r>
      <w:r>
        <w:rPr>
          <w:rStyle w:val="21"/>
        </w:rPr>
        <w:t>情况表</w:t>
      </w:r>
      <w:r>
        <w:tab/>
      </w:r>
      <w:r>
        <w:fldChar w:fldCharType="begin"/>
      </w:r>
      <w:r>
        <w:instrText xml:space="preserve"> PAGEREF _Toc256000434 \h </w:instrText>
      </w:r>
      <w:r>
        <w:fldChar w:fldCharType="separate"/>
      </w:r>
      <w:r>
        <w:t>249</w:t>
      </w:r>
      <w:r>
        <w:fldChar w:fldCharType="end"/>
      </w:r>
      <w:r>
        <w:fldChar w:fldCharType="end"/>
      </w:r>
    </w:p>
    <w:p w14:paraId="66C681B4">
      <w:pPr>
        <w:pStyle w:val="9"/>
        <w:tabs>
          <w:tab w:val="right" w:leader="dot" w:pos="8296"/>
        </w:tabs>
        <w:rPr>
          <w:rFonts w:asciiTheme="minorHAnsi" w:hAnsiTheme="minorHAnsi"/>
          <w:sz w:val="22"/>
        </w:rPr>
      </w:pPr>
      <w:r>
        <w:fldChar w:fldCharType="begin"/>
      </w:r>
      <w:r>
        <w:instrText xml:space="preserve"> HYPERLINK \l "_Toc256000435" </w:instrText>
      </w:r>
      <w:r>
        <w:fldChar w:fldCharType="separate"/>
      </w:r>
      <w:r>
        <w:rPr>
          <w:rStyle w:val="21"/>
        </w:rPr>
        <w:t>5-5</w:t>
      </w:r>
      <w:r>
        <w:rPr>
          <w:rStyle w:val="21"/>
          <w:rFonts w:hint="eastAsia"/>
        </w:rPr>
        <w:t xml:space="preserve"> 近年获表彰</w:t>
      </w:r>
      <w:r>
        <w:rPr>
          <w:rStyle w:val="21"/>
        </w:rPr>
        <w:t>情况表</w:t>
      </w:r>
      <w:r>
        <w:tab/>
      </w:r>
      <w:r>
        <w:fldChar w:fldCharType="begin"/>
      </w:r>
      <w:r>
        <w:instrText xml:space="preserve"> PAGEREF _Toc256000435 \h </w:instrText>
      </w:r>
      <w:r>
        <w:fldChar w:fldCharType="separate"/>
      </w:r>
      <w:r>
        <w:t>250</w:t>
      </w:r>
      <w:r>
        <w:fldChar w:fldCharType="end"/>
      </w:r>
      <w:r>
        <w:fldChar w:fldCharType="end"/>
      </w:r>
    </w:p>
    <w:p w14:paraId="4A97C51F">
      <w:pPr>
        <w:pStyle w:val="14"/>
        <w:tabs>
          <w:tab w:val="right" w:leader="dot" w:pos="8296"/>
        </w:tabs>
        <w:rPr>
          <w:rFonts w:asciiTheme="minorHAnsi" w:hAnsiTheme="minorHAnsi"/>
          <w:sz w:val="22"/>
        </w:rPr>
      </w:pPr>
      <w:r>
        <w:fldChar w:fldCharType="begin"/>
      </w:r>
      <w:r>
        <w:instrText xml:space="preserve"> HYPERLINK \l "_Toc256000436" </w:instrText>
      </w:r>
      <w:r>
        <w:fldChar w:fldCharType="separate"/>
      </w:r>
      <w:r>
        <w:rPr>
          <w:rStyle w:val="21"/>
        </w:rPr>
        <w:t>六</w:t>
      </w:r>
      <w:r>
        <w:rPr>
          <w:rStyle w:val="21"/>
          <w:rFonts w:hint="eastAsia"/>
        </w:rPr>
        <w:t>、已标价工程量清单</w:t>
      </w:r>
      <w:r>
        <w:tab/>
      </w:r>
      <w:r>
        <w:fldChar w:fldCharType="begin"/>
      </w:r>
      <w:r>
        <w:instrText xml:space="preserve"> PAGEREF _Toc256000436 \h </w:instrText>
      </w:r>
      <w:r>
        <w:fldChar w:fldCharType="separate"/>
      </w:r>
      <w:r>
        <w:t>251</w:t>
      </w:r>
      <w:r>
        <w:fldChar w:fldCharType="end"/>
      </w:r>
      <w:r>
        <w:fldChar w:fldCharType="end"/>
      </w:r>
    </w:p>
    <w:p w14:paraId="720863C8">
      <w:pPr>
        <w:pStyle w:val="9"/>
        <w:tabs>
          <w:tab w:val="right" w:leader="dot" w:pos="8296"/>
        </w:tabs>
        <w:rPr>
          <w:rFonts w:asciiTheme="minorHAnsi" w:hAnsiTheme="minorHAnsi"/>
          <w:sz w:val="22"/>
        </w:rPr>
      </w:pPr>
      <w:r>
        <w:fldChar w:fldCharType="begin"/>
      </w:r>
      <w:r>
        <w:instrText xml:space="preserve"> HYPERLINK \l "_Toc256000437" </w:instrText>
      </w:r>
      <w:r>
        <w:fldChar w:fldCharType="separate"/>
      </w:r>
      <w:r>
        <w:rPr>
          <w:rStyle w:val="21"/>
          <w:rFonts w:hint="eastAsia"/>
        </w:rPr>
        <w:t>已标价工程量清单（投标总价）封面</w:t>
      </w:r>
      <w:r>
        <w:tab/>
      </w:r>
      <w:r>
        <w:fldChar w:fldCharType="begin"/>
      </w:r>
      <w:r>
        <w:instrText xml:space="preserve"> PAGEREF _Toc256000437 \h </w:instrText>
      </w:r>
      <w:r>
        <w:fldChar w:fldCharType="separate"/>
      </w:r>
      <w:r>
        <w:t>252</w:t>
      </w:r>
      <w:r>
        <w:fldChar w:fldCharType="end"/>
      </w:r>
      <w:r>
        <w:fldChar w:fldCharType="end"/>
      </w:r>
    </w:p>
    <w:p w14:paraId="03BAE51F">
      <w:pPr>
        <w:pStyle w:val="9"/>
        <w:tabs>
          <w:tab w:val="right" w:leader="dot" w:pos="8296"/>
        </w:tabs>
        <w:rPr>
          <w:rFonts w:asciiTheme="minorHAnsi" w:hAnsiTheme="minorHAnsi"/>
          <w:sz w:val="22"/>
        </w:rPr>
      </w:pPr>
      <w:r>
        <w:fldChar w:fldCharType="begin"/>
      </w:r>
      <w:r>
        <w:instrText xml:space="preserve"> HYPERLINK \l "_Toc256000438" </w:instrText>
      </w:r>
      <w:r>
        <w:fldChar w:fldCharType="separate"/>
      </w:r>
      <w:r>
        <w:rPr>
          <w:rStyle w:val="21"/>
          <w:rFonts w:hint="eastAsia"/>
        </w:rPr>
        <w:t>投标总价扉页</w:t>
      </w:r>
      <w:r>
        <w:tab/>
      </w:r>
      <w:r>
        <w:fldChar w:fldCharType="begin"/>
      </w:r>
      <w:r>
        <w:instrText xml:space="preserve"> PAGEREF _Toc256000438 \h </w:instrText>
      </w:r>
      <w:r>
        <w:fldChar w:fldCharType="separate"/>
      </w:r>
      <w:r>
        <w:t>253</w:t>
      </w:r>
      <w:r>
        <w:fldChar w:fldCharType="end"/>
      </w:r>
      <w:r>
        <w:fldChar w:fldCharType="end"/>
      </w:r>
    </w:p>
    <w:p w14:paraId="676EC215">
      <w:pPr>
        <w:pStyle w:val="14"/>
        <w:tabs>
          <w:tab w:val="right" w:leader="dot" w:pos="8296"/>
        </w:tabs>
        <w:rPr>
          <w:rFonts w:asciiTheme="minorHAnsi" w:hAnsiTheme="minorHAnsi"/>
          <w:sz w:val="22"/>
        </w:rPr>
      </w:pPr>
      <w:r>
        <w:fldChar w:fldCharType="begin"/>
      </w:r>
      <w:r>
        <w:instrText xml:space="preserve"> HYPERLINK \l "_Toc256000439" </w:instrText>
      </w:r>
      <w:r>
        <w:fldChar w:fldCharType="separate"/>
      </w:r>
      <w:r>
        <w:rPr>
          <w:rStyle w:val="21"/>
          <w:rFonts w:hint="eastAsia"/>
        </w:rPr>
        <w:t>七、施工组织设计（暗标）</w:t>
      </w:r>
      <w:r>
        <w:tab/>
      </w:r>
      <w:r>
        <w:fldChar w:fldCharType="begin"/>
      </w:r>
      <w:r>
        <w:instrText xml:space="preserve"> PAGEREF _Toc256000439 \h </w:instrText>
      </w:r>
      <w:r>
        <w:fldChar w:fldCharType="separate"/>
      </w:r>
      <w:r>
        <w:t>254</w:t>
      </w:r>
      <w:r>
        <w:fldChar w:fldCharType="end"/>
      </w:r>
      <w:r>
        <w:fldChar w:fldCharType="end"/>
      </w:r>
    </w:p>
    <w:p w14:paraId="423CD761">
      <w:pPr>
        <w:pStyle w:val="14"/>
        <w:tabs>
          <w:tab w:val="right" w:leader="dot" w:pos="8296"/>
        </w:tabs>
        <w:rPr>
          <w:rFonts w:asciiTheme="minorHAnsi" w:hAnsiTheme="minorHAnsi"/>
          <w:sz w:val="22"/>
        </w:rPr>
      </w:pPr>
      <w:r>
        <w:fldChar w:fldCharType="begin"/>
      </w:r>
      <w:r>
        <w:instrText xml:space="preserve"> HYPERLINK \l "_Toc256000440" </w:instrText>
      </w:r>
      <w:r>
        <w:fldChar w:fldCharType="separate"/>
      </w:r>
      <w:r>
        <w:rPr>
          <w:rStyle w:val="21"/>
        </w:rPr>
        <w:t>八</w:t>
      </w:r>
      <w:r>
        <w:rPr>
          <w:rStyle w:val="21"/>
          <w:rFonts w:hint="eastAsia"/>
        </w:rPr>
        <w:t>、其他材料</w:t>
      </w:r>
      <w:r>
        <w:tab/>
      </w:r>
      <w:r>
        <w:fldChar w:fldCharType="begin"/>
      </w:r>
      <w:r>
        <w:instrText xml:space="preserve"> PAGEREF _Toc256000440 \h </w:instrText>
      </w:r>
      <w:r>
        <w:fldChar w:fldCharType="separate"/>
      </w:r>
      <w:r>
        <w:t>255</w:t>
      </w:r>
      <w:r>
        <w:fldChar w:fldCharType="end"/>
      </w:r>
      <w:r>
        <w:fldChar w:fldCharType="end"/>
      </w:r>
    </w:p>
    <w:p w14:paraId="42049164">
      <w:pPr>
        <w:jc w:val="center"/>
        <w:rPr>
          <w:rFonts w:eastAsia="宋体"/>
          <w:b/>
          <w:sz w:val="44"/>
        </w:rPr>
        <w:sectPr>
          <w:pgSz w:w="11906" w:h="16838"/>
          <w:pgMar w:top="1440" w:right="1800" w:bottom="1440" w:left="1800" w:header="851" w:footer="992" w:gutter="0"/>
          <w:cols w:space="425" w:num="1"/>
          <w:docGrid w:type="lines" w:linePitch="312" w:charSpace="0"/>
        </w:sectPr>
      </w:pPr>
      <w:r>
        <w:rPr>
          <w:rFonts w:eastAsia="宋体"/>
          <w:b/>
          <w:sz w:val="44"/>
        </w:rPr>
        <w:fldChar w:fldCharType="end"/>
      </w:r>
      <w:bookmarkEnd w:id="0"/>
      <w:bookmarkStart w:id="2338" w:name="_GoBack"/>
    </w:p>
    <w:bookmarkEnd w:id="2338"/>
    <w:p w14:paraId="36F6457C">
      <w:pPr>
        <w:ind w:firstLine="435"/>
        <w:jc w:val="center"/>
        <w:rPr>
          <w:rFonts w:hint="eastAsia"/>
        </w:rPr>
      </w:pPr>
    </w:p>
    <w:p w14:paraId="256A76B3">
      <w:pPr>
        <w:ind w:firstLine="435"/>
        <w:jc w:val="center"/>
        <w:rPr>
          <w:rFonts w:hint="eastAsia"/>
        </w:rPr>
      </w:pPr>
    </w:p>
    <w:p w14:paraId="73A7B4DF">
      <w:pPr>
        <w:ind w:firstLine="435"/>
        <w:jc w:val="center"/>
        <w:rPr>
          <w:rFonts w:hint="eastAsia"/>
        </w:rPr>
      </w:pPr>
    </w:p>
    <w:p w14:paraId="3FD26C1A">
      <w:pPr>
        <w:ind w:firstLine="435"/>
        <w:jc w:val="center"/>
      </w:pPr>
    </w:p>
    <w:p w14:paraId="7C4DDBB5">
      <w:pPr>
        <w:ind w:firstLine="435"/>
        <w:jc w:val="center"/>
      </w:pPr>
    </w:p>
    <w:p w14:paraId="78FC2F62">
      <w:pPr>
        <w:ind w:firstLine="435"/>
        <w:jc w:val="center"/>
      </w:pPr>
    </w:p>
    <w:p w14:paraId="1124C20C">
      <w:pPr>
        <w:ind w:firstLine="435"/>
        <w:jc w:val="center"/>
        <w:rPr>
          <w:rFonts w:hint="eastAsia"/>
        </w:rPr>
      </w:pPr>
    </w:p>
    <w:p w14:paraId="2D0473ED">
      <w:pPr>
        <w:ind w:firstLine="435"/>
        <w:jc w:val="center"/>
        <w:rPr>
          <w:rFonts w:hint="eastAsia"/>
        </w:rPr>
      </w:pPr>
    </w:p>
    <w:p w14:paraId="5ACB5746">
      <w:pPr>
        <w:ind w:firstLine="435"/>
        <w:jc w:val="center"/>
        <w:rPr>
          <w:rFonts w:hint="eastAsia"/>
        </w:rPr>
      </w:pPr>
    </w:p>
    <w:p w14:paraId="038682AA">
      <w:pPr>
        <w:ind w:firstLine="435"/>
        <w:jc w:val="center"/>
        <w:rPr>
          <w:rFonts w:hint="eastAsia"/>
        </w:rPr>
      </w:pPr>
    </w:p>
    <w:p w14:paraId="3B08DE08">
      <w:pPr>
        <w:ind w:firstLine="435"/>
        <w:jc w:val="center"/>
        <w:rPr>
          <w:rFonts w:hint="eastAsia"/>
        </w:rPr>
      </w:pPr>
    </w:p>
    <w:p w14:paraId="78D6D36D">
      <w:pPr>
        <w:ind w:firstLine="435"/>
        <w:jc w:val="center"/>
        <w:rPr>
          <w:rFonts w:hint="eastAsia"/>
        </w:rPr>
      </w:pPr>
    </w:p>
    <w:p w14:paraId="372C2941">
      <w:pPr>
        <w:pStyle w:val="2"/>
        <w:spacing w:before="120" w:after="120" w:line="400" w:lineRule="exact"/>
        <w:jc w:val="center"/>
        <w:rPr>
          <w:rFonts w:hint="eastAsia" w:ascii="黑体" w:hAnsi="黑体" w:eastAsia="黑体"/>
          <w:b w:val="0"/>
          <w:bCs w:val="0"/>
          <w:color w:val="auto"/>
          <w:sz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sz w:val="48"/>
          <w:szCs w:val="48"/>
        </w:rPr>
        <w:t>第一卷</w:t>
      </w:r>
      <w:bookmarkEnd w:id="1"/>
      <w:bookmarkEnd w:id="2"/>
    </w:p>
    <w:p w14:paraId="14306533">
      <w:pPr>
        <w:rPr>
          <w:rFonts w:hint="eastAsia"/>
        </w:rPr>
      </w:pPr>
    </w:p>
    <w:p w14:paraId="5BE2AD42">
      <w:pPr>
        <w:rPr>
          <w:rFonts w:hint="eastAsia"/>
        </w:rPr>
      </w:pPr>
    </w:p>
    <w:p w14:paraId="295EFE74">
      <w:pPr>
        <w:rPr>
          <w:rFonts w:hint="eastAsia"/>
        </w:rPr>
      </w:pPr>
    </w:p>
    <w:p w14:paraId="4F99CAF7">
      <w:pPr>
        <w:rPr>
          <w:rFonts w:hint="eastAsia"/>
        </w:rPr>
      </w:pPr>
    </w:p>
    <w:p w14:paraId="49818BAD">
      <w:pPr>
        <w:rPr>
          <w:rFonts w:hint="eastAsia"/>
        </w:rPr>
      </w:pPr>
    </w:p>
    <w:p w14:paraId="6C0EE16C">
      <w:pPr>
        <w:rPr>
          <w:rFonts w:hint="eastAsia"/>
        </w:rPr>
      </w:pPr>
    </w:p>
    <w:p w14:paraId="1CBE52A8">
      <w:pPr>
        <w:rPr>
          <w:rFonts w:hint="eastAsia"/>
        </w:rPr>
      </w:pPr>
    </w:p>
    <w:p w14:paraId="441A0045">
      <w:pPr>
        <w:rPr>
          <w:rFonts w:hint="eastAsia"/>
        </w:rPr>
      </w:pPr>
    </w:p>
    <w:p w14:paraId="49E1B0C1">
      <w:pPr>
        <w:rPr>
          <w:rFonts w:hint="eastAsia"/>
        </w:rPr>
      </w:pPr>
    </w:p>
    <w:p w14:paraId="2F0B657F">
      <w:pPr>
        <w:rPr>
          <w:rFonts w:hint="eastAsia"/>
        </w:rPr>
      </w:pPr>
    </w:p>
    <w:p w14:paraId="45BEB7B9">
      <w:pPr>
        <w:rPr>
          <w:rFonts w:hint="eastAsia"/>
        </w:rPr>
      </w:pPr>
    </w:p>
    <w:p w14:paraId="11975A4F">
      <w:pPr>
        <w:rPr>
          <w:rFonts w:hint="eastAsia"/>
        </w:rPr>
      </w:pPr>
    </w:p>
    <w:p w14:paraId="01C49F33">
      <w:pPr>
        <w:rPr>
          <w:rFonts w:hint="eastAsia"/>
        </w:rPr>
      </w:pPr>
    </w:p>
    <w:p w14:paraId="7F2B22CD">
      <w:pPr>
        <w:rPr>
          <w:rFonts w:hint="eastAsia"/>
        </w:rPr>
      </w:pPr>
    </w:p>
    <w:p w14:paraId="0EEDF907">
      <w:pPr>
        <w:rPr>
          <w:rFonts w:hint="eastAsia"/>
        </w:rPr>
      </w:pPr>
    </w:p>
    <w:p w14:paraId="0649C206">
      <w:pPr>
        <w:pStyle w:val="2"/>
        <w:spacing w:before="120" w:after="120" w:line="400" w:lineRule="exact"/>
        <w:jc w:val="center"/>
        <w:rPr>
          <w:rFonts w:hint="eastAsia" w:ascii="黑体" w:hAnsi="黑体" w:eastAsia="黑体"/>
          <w:b w:val="0"/>
          <w:bCs w:val="0"/>
          <w:color w:val="auto"/>
          <w:sz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rPr>
        <w:t xml:space="preserve">第一章  </w:t>
      </w:r>
      <w:bookmarkEnd w:id="3"/>
      <w:r>
        <w:rPr>
          <w:rFonts w:hint="eastAsia" w:ascii="黑体" w:hAnsi="黑体" w:eastAsia="黑体"/>
          <w:b w:val="0"/>
          <w:bCs w:val="0"/>
          <w:color w:val="auto"/>
          <w:sz w:val="32"/>
        </w:rPr>
        <w:t>招标公告</w:t>
      </w:r>
      <w:bookmarkEnd w:id="4"/>
    </w:p>
    <w:p w14:paraId="579304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9"/>
        <w:rPr>
          <w:rFonts w:hint="eastAsia" w:ascii="黑体" w:hAnsi="黑体" w:eastAsia="黑体" w:cs="黑体"/>
          <w:sz w:val="28"/>
          <w:szCs w:val="28"/>
          <w:u w:val="none" w:color="auto"/>
        </w:rPr>
      </w:pPr>
      <w:r>
        <w:rPr>
          <w:rStyle w:val="19"/>
          <w:rFonts w:hint="eastAsia" w:ascii="宋体" w:hAnsi="宋体" w:cs="宋体"/>
          <w:b/>
          <w:bCs/>
          <w:i w:val="0"/>
          <w:iCs w:val="0"/>
          <w:smallCaps w:val="0"/>
          <w:kern w:val="0"/>
          <w:sz w:val="27"/>
          <w:szCs w:val="27"/>
          <w:highlight w:val="none"/>
          <w:lang w:eastAsia="zh-CN"/>
        </w:rPr>
        <w:t>营口市老边区滨洲佳园小区保障性住房棚改项目(经济适用房)项目收尾工程施工</w:t>
      </w:r>
      <w:r>
        <w:rPr>
          <w:rStyle w:val="19"/>
          <w:rFonts w:hint="eastAsia" w:ascii="宋体" w:hAnsi="宋体" w:cs="宋体"/>
          <w:b/>
          <w:bCs/>
          <w:i w:val="0"/>
          <w:iCs w:val="0"/>
          <w:smallCaps w:val="0"/>
          <w:kern w:val="0"/>
          <w:sz w:val="27"/>
          <w:szCs w:val="27"/>
        </w:rPr>
        <w:t>招标公告</w:t>
      </w:r>
    </w:p>
    <w:p w14:paraId="7F777E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1"/>
          <w:szCs w:val="21"/>
        </w:rPr>
      </w:pPr>
      <w:r>
        <w:rPr>
          <w:rFonts w:hint="eastAsia" w:ascii="宋体" w:hAnsi="宋体" w:eastAsia="宋体" w:cs="宋体"/>
          <w:b/>
          <w:bCs/>
          <w:spacing w:val="11"/>
          <w:sz w:val="21"/>
          <w:szCs w:val="21"/>
        </w:rPr>
        <w:t>1.</w:t>
      </w:r>
      <w:r>
        <w:rPr>
          <w:rFonts w:hint="eastAsia" w:ascii="宋体" w:hAnsi="宋体" w:eastAsia="宋体" w:cs="宋体"/>
          <w:spacing w:val="-47"/>
          <w:sz w:val="21"/>
          <w:szCs w:val="21"/>
        </w:rPr>
        <w:t xml:space="preserve"> </w:t>
      </w:r>
      <w:r>
        <w:rPr>
          <w:rFonts w:hint="eastAsia" w:ascii="宋体" w:hAnsi="宋体" w:eastAsia="宋体" w:cs="宋体"/>
          <w:b/>
          <w:bCs/>
          <w:spacing w:val="11"/>
          <w:sz w:val="21"/>
          <w:szCs w:val="21"/>
        </w:rPr>
        <w:t>招标条件</w:t>
      </w:r>
    </w:p>
    <w:p w14:paraId="40D517E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本招标项目</w:t>
      </w:r>
      <w:r>
        <w:rPr>
          <w:rFonts w:hint="eastAsia" w:ascii="宋体" w:hAnsi="宋体" w:eastAsia="宋体" w:cs="宋体"/>
          <w:color w:val="FF0000"/>
          <w:spacing w:val="5"/>
          <w:sz w:val="21"/>
          <w:szCs w:val="21"/>
          <w:highlight w:val="none"/>
          <w:u w:val="single"/>
          <w:lang w:eastAsia="zh-CN"/>
        </w:rPr>
        <w:t>营口市老边区滨洲佳园小区保障性住房棚改项目(经济适用房)项目</w:t>
      </w:r>
      <w:r>
        <w:rPr>
          <w:rFonts w:hint="eastAsia" w:ascii="宋体" w:hAnsi="宋体" w:eastAsia="宋体" w:cs="宋体"/>
          <w:spacing w:val="5"/>
          <w:sz w:val="21"/>
          <w:szCs w:val="21"/>
          <w:highlight w:val="none"/>
          <w:u w:val="none" w:color="auto"/>
        </w:rPr>
        <w:t>已由</w:t>
      </w:r>
      <w:r>
        <w:rPr>
          <w:rFonts w:hint="eastAsia" w:ascii="宋体" w:hAnsi="宋体" w:cs="宋体"/>
          <w:spacing w:val="5"/>
          <w:sz w:val="21"/>
          <w:szCs w:val="21"/>
          <w:highlight w:val="none"/>
          <w:u w:val="single" w:color="auto"/>
          <w:lang w:val="en-US" w:eastAsia="zh-CN"/>
        </w:rPr>
        <w:t>营口市老边</w:t>
      </w:r>
      <w:r>
        <w:rPr>
          <w:rFonts w:hint="eastAsia" w:ascii="宋体" w:hAnsi="宋体" w:eastAsia="宋体" w:cs="宋体"/>
          <w:spacing w:val="5"/>
          <w:sz w:val="21"/>
          <w:szCs w:val="21"/>
          <w:highlight w:val="none"/>
          <w:u w:val="single" w:color="auto"/>
          <w:lang w:val="en-US" w:eastAsia="zh-CN"/>
        </w:rPr>
        <w:t>区发展和改革局</w:t>
      </w:r>
      <w:r>
        <w:rPr>
          <w:rFonts w:hint="eastAsia" w:ascii="宋体" w:hAnsi="宋体" w:eastAsia="宋体" w:cs="宋体"/>
          <w:spacing w:val="4"/>
          <w:sz w:val="21"/>
          <w:szCs w:val="21"/>
          <w:highlight w:val="none"/>
          <w:u w:val="none" w:color="auto"/>
        </w:rPr>
        <w:t>以</w:t>
      </w:r>
      <w:r>
        <w:rPr>
          <w:rFonts w:hint="eastAsia" w:ascii="宋体" w:hAnsi="宋体" w:eastAsia="宋体" w:cs="宋体"/>
          <w:spacing w:val="4"/>
          <w:sz w:val="21"/>
          <w:szCs w:val="21"/>
          <w:highlight w:val="none"/>
          <w:u w:val="single" w:color="auto"/>
          <w:lang w:val="en-US" w:eastAsia="zh-CN"/>
        </w:rPr>
        <w:t>营边发改发[2012]60号</w:t>
      </w:r>
      <w:r>
        <w:rPr>
          <w:rFonts w:hint="eastAsia" w:ascii="宋体" w:hAnsi="宋体" w:eastAsia="宋体" w:cs="宋体"/>
          <w:sz w:val="21"/>
          <w:szCs w:val="21"/>
          <w:highlight w:val="none"/>
        </w:rPr>
        <w:t xml:space="preserve"> 批准建设，建设资金来</w:t>
      </w:r>
      <w:r>
        <w:rPr>
          <w:rFonts w:hint="eastAsia" w:ascii="宋体" w:hAnsi="宋体" w:eastAsia="宋体" w:cs="宋体"/>
          <w:spacing w:val="-55"/>
          <w:sz w:val="21"/>
          <w:szCs w:val="21"/>
          <w:highlight w:val="none"/>
        </w:rPr>
        <w:t xml:space="preserve"> </w:t>
      </w:r>
      <w:r>
        <w:rPr>
          <w:rFonts w:hint="eastAsia" w:ascii="宋体" w:hAnsi="宋体" w:eastAsia="宋体" w:cs="宋体"/>
          <w:sz w:val="21"/>
          <w:szCs w:val="21"/>
          <w:highlight w:val="none"/>
        </w:rPr>
        <w:t>自</w:t>
      </w:r>
      <w:r>
        <w:rPr>
          <w:rFonts w:hint="eastAsia" w:ascii="宋体" w:hAnsi="宋体" w:eastAsia="宋体" w:cs="宋体"/>
          <w:sz w:val="21"/>
          <w:szCs w:val="21"/>
          <w:highlight w:val="none"/>
          <w:u w:val="single"/>
          <w:lang w:val="en-US" w:eastAsia="zh-CN"/>
        </w:rPr>
        <w:t>企业自筹</w:t>
      </w:r>
      <w:r>
        <w:rPr>
          <w:rFonts w:hint="eastAsia" w:ascii="宋体" w:hAnsi="宋体" w:eastAsia="宋体" w:cs="宋体"/>
          <w:sz w:val="21"/>
          <w:szCs w:val="21"/>
          <w:highlight w:val="none"/>
        </w:rPr>
        <w:t>，项目出资比例为</w:t>
      </w:r>
      <w:r>
        <w:rPr>
          <w:rFonts w:hint="eastAsia" w:ascii="宋体" w:hAnsi="宋体" w:eastAsia="宋体" w:cs="宋体"/>
          <w:sz w:val="21"/>
          <w:szCs w:val="21"/>
          <w:highlight w:val="none"/>
          <w:u w:val="single" w:color="auto"/>
        </w:rPr>
        <w:t>100%</w:t>
      </w:r>
      <w:r>
        <w:rPr>
          <w:rFonts w:hint="eastAsia" w:ascii="宋体" w:hAnsi="宋体" w:eastAsia="宋体" w:cs="宋体"/>
          <w:sz w:val="21"/>
          <w:szCs w:val="21"/>
          <w:highlight w:val="none"/>
        </w:rPr>
        <w:t>,招标人为</w:t>
      </w:r>
      <w:r>
        <w:rPr>
          <w:rFonts w:hint="eastAsia" w:ascii="宋体" w:hAnsi="宋体" w:cs="宋体"/>
          <w:spacing w:val="5"/>
          <w:sz w:val="21"/>
          <w:szCs w:val="21"/>
          <w:highlight w:val="none"/>
          <w:u w:val="single"/>
          <w:lang w:eastAsia="zh-CN"/>
        </w:rPr>
        <w:t>营口市老边区城市建设投资发展有限公司</w:t>
      </w:r>
      <w:r>
        <w:rPr>
          <w:rFonts w:hint="eastAsia" w:ascii="宋体" w:hAnsi="宋体" w:eastAsia="宋体" w:cs="宋体"/>
          <w:sz w:val="21"/>
          <w:szCs w:val="21"/>
          <w:highlight w:val="none"/>
        </w:rPr>
        <w:t>，招标代理机构</w:t>
      </w:r>
      <w:r>
        <w:rPr>
          <w:rFonts w:hint="eastAsia" w:ascii="宋体" w:hAnsi="宋体" w:eastAsia="宋体" w:cs="宋体"/>
          <w:spacing w:val="-2"/>
          <w:sz w:val="21"/>
          <w:szCs w:val="21"/>
          <w:highlight w:val="none"/>
        </w:rPr>
        <w:t>为</w:t>
      </w:r>
      <w:r>
        <w:rPr>
          <w:rFonts w:hint="eastAsia" w:ascii="宋体" w:hAnsi="宋体" w:cs="宋体"/>
          <w:spacing w:val="-2"/>
          <w:sz w:val="21"/>
          <w:szCs w:val="21"/>
          <w:highlight w:val="none"/>
          <w:u w:val="single" w:color="auto"/>
          <w:lang w:eastAsia="zh-CN"/>
        </w:rPr>
        <w:t>乔泰工程管理集团有限公司</w:t>
      </w:r>
      <w:r>
        <w:rPr>
          <w:rFonts w:hint="eastAsia" w:ascii="宋体" w:hAnsi="宋体" w:eastAsia="宋体" w:cs="宋体"/>
          <w:spacing w:val="-2"/>
          <w:sz w:val="21"/>
          <w:szCs w:val="21"/>
          <w:highlight w:val="none"/>
        </w:rPr>
        <w:t>。项目已具备招标条件，现对该项目进行公开招标。</w:t>
      </w:r>
    </w:p>
    <w:p w14:paraId="0B1F5E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jc w:val="both"/>
        <w:textAlignment w:val="baseline"/>
        <w:outlineLvl w:val="9"/>
        <w:rPr>
          <w:rFonts w:hint="eastAsia" w:ascii="宋体" w:hAnsi="宋体" w:eastAsia="宋体" w:cs="宋体"/>
          <w:sz w:val="21"/>
          <w:szCs w:val="21"/>
        </w:rPr>
      </w:pPr>
      <w:r>
        <w:rPr>
          <w:rFonts w:hint="eastAsia" w:ascii="宋体" w:hAnsi="宋体" w:eastAsia="宋体" w:cs="宋体"/>
          <w:b/>
          <w:bCs/>
          <w:spacing w:val="19"/>
          <w:sz w:val="21"/>
          <w:szCs w:val="21"/>
        </w:rPr>
        <w:t>2.</w:t>
      </w:r>
      <w:r>
        <w:rPr>
          <w:rFonts w:hint="eastAsia" w:ascii="宋体" w:hAnsi="宋体" w:eastAsia="宋体" w:cs="宋体"/>
          <w:spacing w:val="-51"/>
          <w:sz w:val="21"/>
          <w:szCs w:val="21"/>
        </w:rPr>
        <w:t xml:space="preserve"> </w:t>
      </w:r>
      <w:r>
        <w:rPr>
          <w:rFonts w:hint="eastAsia" w:ascii="宋体" w:hAnsi="宋体" w:eastAsia="宋体" w:cs="宋体"/>
          <w:b/>
          <w:bCs/>
          <w:spacing w:val="19"/>
          <w:sz w:val="21"/>
          <w:szCs w:val="21"/>
        </w:rPr>
        <w:t>项目概况与招标范围</w:t>
      </w:r>
    </w:p>
    <w:p w14:paraId="002A1EB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rPr>
        <w:t>2.1 项目概况</w:t>
      </w:r>
    </w:p>
    <w:p w14:paraId="54AE40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rPr>
        <w:t>建设地点：</w:t>
      </w:r>
      <w:r>
        <w:rPr>
          <w:rFonts w:hint="eastAsia" w:ascii="宋体" w:hAnsi="宋体" w:cs="宋体"/>
          <w:spacing w:val="4"/>
          <w:sz w:val="21"/>
          <w:szCs w:val="21"/>
          <w:u w:val="single"/>
          <w:lang w:eastAsia="zh-CN"/>
        </w:rPr>
        <w:t>项目位于营口市老边区文化路以南、规划路以</w:t>
      </w:r>
      <w:r>
        <w:rPr>
          <w:rFonts w:hint="eastAsia" w:ascii="宋体" w:hAnsi="宋体" w:cs="宋体"/>
          <w:spacing w:val="4"/>
          <w:sz w:val="21"/>
          <w:szCs w:val="21"/>
          <w:u w:val="single"/>
          <w:lang w:val="en-US" w:eastAsia="zh-CN"/>
        </w:rPr>
        <w:t>西、</w:t>
      </w:r>
      <w:r>
        <w:rPr>
          <w:rFonts w:hint="eastAsia" w:ascii="宋体" w:hAnsi="宋体" w:cs="宋体"/>
          <w:spacing w:val="4"/>
          <w:sz w:val="21"/>
          <w:szCs w:val="21"/>
          <w:u w:val="single"/>
          <w:lang w:eastAsia="zh-CN"/>
        </w:rPr>
        <w:t>北营路以东、繁荣路以南、老边河以北。</w:t>
      </w:r>
    </w:p>
    <w:p w14:paraId="609B9E7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cs="宋体"/>
          <w:spacing w:val="8"/>
          <w:sz w:val="21"/>
          <w:szCs w:val="21"/>
          <w:u w:val="single"/>
          <w:lang w:val="en-US" w:eastAsia="zh-CN"/>
        </w:rPr>
      </w:pPr>
      <w:r>
        <w:rPr>
          <w:rFonts w:hint="eastAsia" w:ascii="宋体" w:hAnsi="宋体" w:eastAsia="宋体" w:cs="宋体"/>
          <w:spacing w:val="8"/>
          <w:sz w:val="21"/>
          <w:szCs w:val="21"/>
        </w:rPr>
        <w:t>建设规模：</w:t>
      </w:r>
      <w:r>
        <w:rPr>
          <w:rFonts w:hint="eastAsia" w:ascii="宋体" w:hAnsi="宋体" w:cs="宋体"/>
          <w:spacing w:val="8"/>
          <w:sz w:val="21"/>
          <w:szCs w:val="21"/>
          <w:u w:val="single"/>
          <w:lang w:val="en-US" w:eastAsia="zh-CN"/>
        </w:rPr>
        <w:t>项目总占地面积185492.6平方米，总建筑面积414651平方米，其中住宅建筑面积388889平方米、公建建筑面积25762平方米。项目综合容积率为2.235,建筑密度为26.2%,绿地率为37.6%。套型按国办发[2006]37号文执行。</w:t>
      </w:r>
    </w:p>
    <w:p w14:paraId="6618C54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1"/>
          <w:sz w:val="21"/>
          <w:szCs w:val="21"/>
        </w:rPr>
        <w:t>2.2招标范围</w:t>
      </w:r>
    </w:p>
    <w:p w14:paraId="4E9DB1B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标段划分：共划分</w:t>
      </w:r>
      <w:r>
        <w:rPr>
          <w:rFonts w:hint="eastAsia" w:ascii="宋体" w:hAnsi="宋体" w:cs="宋体"/>
          <w:spacing w:val="2"/>
          <w:sz w:val="21"/>
          <w:szCs w:val="21"/>
          <w:u w:val="single"/>
          <w:lang w:val="en-US" w:eastAsia="zh-CN"/>
        </w:rPr>
        <w:t xml:space="preserve"> 1 </w:t>
      </w:r>
      <w:r>
        <w:rPr>
          <w:rFonts w:hint="eastAsia" w:ascii="宋体" w:hAnsi="宋体" w:eastAsia="宋体" w:cs="宋体"/>
          <w:spacing w:val="2"/>
          <w:sz w:val="21"/>
          <w:szCs w:val="21"/>
        </w:rPr>
        <w:t>个标段；是否兼投：</w:t>
      </w:r>
      <w:r>
        <w:rPr>
          <w:rFonts w:hint="eastAsia" w:ascii="宋体" w:hAnsi="宋体" w:eastAsia="宋体" w:cs="宋体"/>
          <w:spacing w:val="2"/>
          <w:sz w:val="21"/>
          <w:szCs w:val="21"/>
          <w:u w:val="single"/>
        </w:rPr>
        <w:t>否</w:t>
      </w:r>
      <w:r>
        <w:rPr>
          <w:rFonts w:hint="eastAsia" w:ascii="宋体" w:hAnsi="宋体" w:eastAsia="宋体" w:cs="宋体"/>
          <w:spacing w:val="2"/>
          <w:sz w:val="21"/>
          <w:szCs w:val="21"/>
        </w:rPr>
        <w:t>；是否兼中：</w:t>
      </w:r>
      <w:r>
        <w:rPr>
          <w:rFonts w:hint="eastAsia" w:ascii="宋体" w:hAnsi="宋体" w:eastAsia="宋体" w:cs="宋体"/>
          <w:spacing w:val="2"/>
          <w:sz w:val="21"/>
          <w:szCs w:val="21"/>
          <w:u w:val="single"/>
        </w:rPr>
        <w:t>否</w:t>
      </w:r>
      <w:r>
        <w:rPr>
          <w:rFonts w:hint="eastAsia" w:ascii="宋体" w:hAnsi="宋体" w:eastAsia="宋体" w:cs="宋体"/>
          <w:spacing w:val="2"/>
          <w:sz w:val="21"/>
          <w:szCs w:val="21"/>
        </w:rPr>
        <w:t>。</w:t>
      </w:r>
    </w:p>
    <w:p w14:paraId="647E90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计划工期/服务期限/供货期限：</w:t>
      </w:r>
      <w:r>
        <w:rPr>
          <w:rFonts w:hint="eastAsia" w:ascii="宋体" w:hAnsi="宋体" w:eastAsia="宋体" w:cs="宋体"/>
          <w:color w:val="FF0000"/>
          <w:spacing w:val="-2"/>
          <w:sz w:val="21"/>
          <w:szCs w:val="21"/>
          <w:highlight w:val="none"/>
        </w:rPr>
        <w:t xml:space="preserve"> </w:t>
      </w:r>
      <w:r>
        <w:rPr>
          <w:rFonts w:hint="eastAsia" w:ascii="宋体" w:hAnsi="宋体" w:cs="宋体"/>
          <w:color w:val="FF0000"/>
          <w:spacing w:val="-11"/>
          <w:sz w:val="21"/>
          <w:szCs w:val="21"/>
          <w:highlight w:val="none"/>
          <w:u w:val="single" w:color="auto"/>
          <w:lang w:val="en-US" w:eastAsia="zh-CN"/>
        </w:rPr>
        <w:t>168</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日历天</w:t>
      </w:r>
    </w:p>
    <w:p w14:paraId="21E6FC9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计划开工/服务开始/供货开始日期</w:t>
      </w:r>
      <w:r>
        <w:rPr>
          <w:rFonts w:hint="eastAsia" w:ascii="宋体" w:hAnsi="宋体" w:eastAsia="宋体" w:cs="宋体"/>
          <w:color w:val="FF0000"/>
          <w:spacing w:val="3"/>
          <w:sz w:val="21"/>
          <w:szCs w:val="21"/>
          <w:highlight w:val="none"/>
          <w:u w:val="single" w:color="auto"/>
        </w:rPr>
        <w:t>202</w:t>
      </w:r>
      <w:r>
        <w:rPr>
          <w:rFonts w:hint="eastAsia" w:ascii="宋体" w:hAnsi="宋体" w:cs="宋体"/>
          <w:color w:val="FF0000"/>
          <w:spacing w:val="3"/>
          <w:sz w:val="21"/>
          <w:szCs w:val="21"/>
          <w:highlight w:val="none"/>
          <w:u w:val="single" w:color="auto"/>
          <w:lang w:val="en-US" w:eastAsia="zh-CN"/>
        </w:rPr>
        <w:t>6</w:t>
      </w:r>
      <w:r>
        <w:rPr>
          <w:rFonts w:hint="eastAsia" w:ascii="宋体" w:hAnsi="宋体" w:eastAsia="宋体" w:cs="宋体"/>
          <w:color w:val="FF0000"/>
          <w:spacing w:val="3"/>
          <w:sz w:val="21"/>
          <w:szCs w:val="21"/>
          <w:highlight w:val="none"/>
          <w:u w:val="single" w:color="auto"/>
        </w:rPr>
        <w:t>年</w:t>
      </w:r>
      <w:r>
        <w:rPr>
          <w:rFonts w:hint="eastAsia" w:ascii="宋体" w:hAnsi="宋体" w:cs="宋体"/>
          <w:color w:val="FF0000"/>
          <w:spacing w:val="3"/>
          <w:sz w:val="21"/>
          <w:szCs w:val="21"/>
          <w:highlight w:val="none"/>
          <w:u w:val="single" w:color="auto"/>
          <w:lang w:val="en-US" w:eastAsia="zh-CN"/>
        </w:rPr>
        <w:t>05</w:t>
      </w:r>
      <w:r>
        <w:rPr>
          <w:rFonts w:hint="eastAsia" w:ascii="宋体" w:hAnsi="宋体" w:eastAsia="宋体" w:cs="宋体"/>
          <w:color w:val="FF0000"/>
          <w:spacing w:val="3"/>
          <w:sz w:val="21"/>
          <w:szCs w:val="21"/>
          <w:highlight w:val="none"/>
          <w:u w:val="single" w:color="auto"/>
        </w:rPr>
        <w:t>月</w:t>
      </w:r>
      <w:r>
        <w:rPr>
          <w:rFonts w:hint="eastAsia" w:ascii="宋体" w:hAnsi="宋体" w:cs="宋体"/>
          <w:color w:val="FF0000"/>
          <w:spacing w:val="3"/>
          <w:sz w:val="21"/>
          <w:szCs w:val="21"/>
          <w:highlight w:val="none"/>
          <w:u w:val="single" w:color="auto"/>
          <w:lang w:val="en-US" w:eastAsia="zh-CN"/>
        </w:rPr>
        <w:t>15</w:t>
      </w:r>
      <w:r>
        <w:rPr>
          <w:rFonts w:hint="eastAsia" w:ascii="宋体" w:hAnsi="宋体" w:eastAsia="宋体" w:cs="宋体"/>
          <w:color w:val="FF0000"/>
          <w:spacing w:val="3"/>
          <w:sz w:val="21"/>
          <w:szCs w:val="21"/>
          <w:highlight w:val="none"/>
          <w:u w:val="single" w:color="auto"/>
        </w:rPr>
        <w:t>日</w:t>
      </w:r>
      <w:r>
        <w:rPr>
          <w:rFonts w:hint="eastAsia" w:ascii="宋体" w:hAnsi="宋体" w:eastAsia="宋体" w:cs="宋体"/>
          <w:spacing w:val="3"/>
          <w:sz w:val="21"/>
          <w:szCs w:val="21"/>
          <w:highlight w:val="none"/>
        </w:rPr>
        <w:t>；计划竣工/服务结束/供货</w:t>
      </w:r>
      <w:r>
        <w:rPr>
          <w:rFonts w:hint="eastAsia" w:ascii="宋体" w:hAnsi="宋体" w:eastAsia="宋体" w:cs="宋体"/>
          <w:spacing w:val="2"/>
          <w:sz w:val="21"/>
          <w:szCs w:val="21"/>
          <w:highlight w:val="none"/>
        </w:rPr>
        <w:t xml:space="preserve">结束日期 </w:t>
      </w:r>
      <w:r>
        <w:rPr>
          <w:rFonts w:hint="eastAsia" w:ascii="宋体" w:hAnsi="宋体" w:eastAsia="宋体" w:cs="宋体"/>
          <w:color w:val="FF0000"/>
          <w:spacing w:val="2"/>
          <w:sz w:val="21"/>
          <w:szCs w:val="21"/>
          <w:highlight w:val="none"/>
          <w:u w:val="single" w:color="auto"/>
        </w:rPr>
        <w:t>202</w:t>
      </w:r>
      <w:r>
        <w:rPr>
          <w:rFonts w:hint="eastAsia" w:ascii="宋体" w:hAnsi="宋体" w:cs="宋体"/>
          <w:color w:val="FF0000"/>
          <w:spacing w:val="2"/>
          <w:sz w:val="21"/>
          <w:szCs w:val="21"/>
          <w:highlight w:val="none"/>
          <w:u w:val="single" w:color="auto"/>
          <w:lang w:val="en-US" w:eastAsia="zh-CN"/>
        </w:rPr>
        <w:t>6</w:t>
      </w:r>
      <w:r>
        <w:rPr>
          <w:rFonts w:hint="eastAsia" w:ascii="宋体" w:hAnsi="宋体" w:eastAsia="宋体" w:cs="宋体"/>
          <w:color w:val="FF0000"/>
          <w:spacing w:val="2"/>
          <w:sz w:val="21"/>
          <w:szCs w:val="21"/>
          <w:highlight w:val="none"/>
          <w:u w:val="single" w:color="auto"/>
        </w:rPr>
        <w:t>年</w:t>
      </w:r>
      <w:r>
        <w:rPr>
          <w:rFonts w:hint="eastAsia" w:ascii="宋体" w:hAnsi="宋体" w:cs="宋体"/>
          <w:color w:val="FF0000"/>
          <w:spacing w:val="2"/>
          <w:sz w:val="21"/>
          <w:szCs w:val="21"/>
          <w:highlight w:val="none"/>
          <w:u w:val="single" w:color="auto"/>
          <w:lang w:val="en-US" w:eastAsia="zh-CN"/>
        </w:rPr>
        <w:t>10月30日</w:t>
      </w:r>
      <w:r>
        <w:rPr>
          <w:rFonts w:hint="eastAsia" w:ascii="宋体" w:hAnsi="宋体" w:eastAsia="宋体" w:cs="宋体"/>
          <w:spacing w:val="2"/>
          <w:sz w:val="21"/>
          <w:szCs w:val="21"/>
          <w:highlight w:val="none"/>
        </w:rPr>
        <w:t>；</w:t>
      </w:r>
    </w:p>
    <w:p w14:paraId="566A81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hint="eastAsia" w:ascii="宋体" w:hAnsi="宋体" w:cs="宋体"/>
          <w:color w:val="FF0000"/>
          <w:spacing w:val="4"/>
          <w:sz w:val="21"/>
          <w:szCs w:val="21"/>
          <w:highlight w:val="none"/>
          <w:u w:val="single"/>
          <w:lang w:eastAsia="zh-CN"/>
        </w:rPr>
      </w:pPr>
      <w:r>
        <w:rPr>
          <w:rFonts w:hint="eastAsia" w:ascii="宋体" w:hAnsi="宋体" w:eastAsia="宋体" w:cs="宋体"/>
          <w:spacing w:val="4"/>
          <w:sz w:val="21"/>
          <w:szCs w:val="21"/>
          <w:highlight w:val="none"/>
        </w:rPr>
        <w:t>标段名称：</w:t>
      </w:r>
      <w:r>
        <w:rPr>
          <w:rFonts w:hint="eastAsia" w:ascii="宋体" w:hAnsi="宋体" w:cs="宋体"/>
          <w:color w:val="FF0000"/>
          <w:spacing w:val="4"/>
          <w:sz w:val="21"/>
          <w:szCs w:val="21"/>
          <w:highlight w:val="none"/>
          <w:u w:val="single"/>
          <w:lang w:eastAsia="zh-CN"/>
        </w:rPr>
        <w:t>营口市老边区滨洲佳园小区保障性住房棚改项目(经济适用房)项目收尾工程施工</w:t>
      </w:r>
    </w:p>
    <w:p w14:paraId="4EAD2B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pacing w:val="-1"/>
          <w:sz w:val="21"/>
          <w:szCs w:val="21"/>
          <w:highlight w:val="none"/>
        </w:rPr>
        <w:t>标段编号：</w:t>
      </w:r>
      <w:r>
        <w:rPr>
          <w:rFonts w:hint="eastAsia" w:ascii="宋体" w:hAnsi="宋体" w:cs="宋体"/>
          <w:color w:val="FF0000"/>
          <w:spacing w:val="-1"/>
          <w:sz w:val="21"/>
          <w:szCs w:val="21"/>
          <w:highlight w:val="none"/>
          <w:u w:val="single" w:color="auto"/>
          <w:lang w:val="en-US" w:eastAsia="zh-CN"/>
        </w:rPr>
        <w:t xml:space="preserve">                           </w:t>
      </w:r>
    </w:p>
    <w:p w14:paraId="1634837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hint="eastAsia" w:ascii="宋体" w:hAnsi="宋体" w:eastAsia="宋体" w:cs="宋体"/>
          <w:color w:val="FF0000"/>
          <w:spacing w:val="8"/>
          <w:sz w:val="21"/>
          <w:szCs w:val="21"/>
          <w:highlight w:val="none"/>
          <w:u w:val="none" w:color="auto"/>
        </w:rPr>
      </w:pPr>
      <w:r>
        <w:rPr>
          <w:rFonts w:hint="eastAsia" w:ascii="宋体" w:hAnsi="宋体" w:eastAsia="宋体" w:cs="宋体"/>
          <w:spacing w:val="2"/>
          <w:sz w:val="21"/>
          <w:szCs w:val="21"/>
          <w:highlight w:val="none"/>
        </w:rPr>
        <w:t>标段招标范围：</w:t>
      </w:r>
      <w:r>
        <w:rPr>
          <w:rFonts w:hint="eastAsia" w:ascii="宋体" w:hAnsi="宋体" w:cs="宋体"/>
          <w:color w:val="FF0000"/>
          <w:spacing w:val="2"/>
          <w:sz w:val="21"/>
          <w:szCs w:val="21"/>
          <w:highlight w:val="none"/>
          <w:u w:val="single"/>
          <w:lang w:val="en-US" w:eastAsia="zh-CN"/>
        </w:rPr>
        <w:t>3#、4#、6#-11#单体楼剩余工程量、针对单体楼破损位置进行维修及老边区滨州佳园小区一标段收尾工程</w:t>
      </w:r>
      <w:r>
        <w:rPr>
          <w:rFonts w:hint="eastAsia" w:ascii="宋体" w:hAnsi="宋体" w:eastAsia="宋体" w:cs="宋体"/>
          <w:color w:val="FF0000"/>
          <w:spacing w:val="2"/>
          <w:sz w:val="21"/>
          <w:szCs w:val="21"/>
          <w:highlight w:val="none"/>
          <w:u w:val="single"/>
          <w:lang w:eastAsia="zh-CN"/>
        </w:rPr>
        <w:t>具体详见工程量清单</w:t>
      </w:r>
      <w:r>
        <w:rPr>
          <w:rFonts w:hint="eastAsia" w:ascii="宋体" w:hAnsi="宋体" w:eastAsia="宋体" w:cs="宋体"/>
          <w:color w:val="FF0000"/>
          <w:spacing w:val="2"/>
          <w:sz w:val="21"/>
          <w:szCs w:val="21"/>
          <w:highlight w:val="none"/>
          <w:u w:val="none" w:color="auto"/>
        </w:rPr>
        <w:t>。</w:t>
      </w:r>
      <w:r>
        <w:rPr>
          <w:rFonts w:hint="eastAsia" w:ascii="宋体" w:hAnsi="宋体" w:eastAsia="宋体" w:cs="宋体"/>
          <w:color w:val="FF0000"/>
          <w:spacing w:val="8"/>
          <w:sz w:val="21"/>
          <w:szCs w:val="21"/>
          <w:highlight w:val="none"/>
          <w:u w:val="none" w:color="auto"/>
        </w:rPr>
        <w:t xml:space="preserve">  </w:t>
      </w:r>
    </w:p>
    <w:p w14:paraId="75A512D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标段类别：</w:t>
      </w:r>
      <w:r>
        <w:rPr>
          <w:rFonts w:hint="eastAsia" w:ascii="宋体" w:hAnsi="宋体" w:eastAsia="宋体" w:cs="宋体"/>
          <w:spacing w:val="-3"/>
          <w:sz w:val="21"/>
          <w:szCs w:val="21"/>
          <w:highlight w:val="none"/>
          <w:u w:val="single" w:color="auto"/>
        </w:rPr>
        <w:t>施工类-施工</w:t>
      </w:r>
      <w:r>
        <w:rPr>
          <w:rFonts w:hint="eastAsia" w:ascii="宋体" w:hAnsi="宋体" w:eastAsia="宋体" w:cs="宋体"/>
          <w:spacing w:val="-3"/>
          <w:sz w:val="21"/>
          <w:szCs w:val="21"/>
          <w:highlight w:val="none"/>
        </w:rPr>
        <w:t>；标段合同估算价：</w:t>
      </w:r>
      <w:r>
        <w:rPr>
          <w:rFonts w:hint="eastAsia" w:ascii="宋体" w:hAnsi="宋体" w:cs="宋体"/>
          <w:color w:val="FF0000"/>
          <w:spacing w:val="-3"/>
          <w:sz w:val="21"/>
          <w:szCs w:val="21"/>
          <w:highlight w:val="none"/>
          <w:u w:val="single" w:color="auto"/>
          <w:lang w:val="en-US" w:eastAsia="zh-CN"/>
        </w:rPr>
        <w:t>3453.845774</w:t>
      </w:r>
      <w:r>
        <w:rPr>
          <w:rFonts w:hint="eastAsia" w:ascii="宋体" w:hAnsi="宋体" w:eastAsia="宋体" w:cs="宋体"/>
          <w:color w:val="FF0000"/>
          <w:spacing w:val="-3"/>
          <w:sz w:val="21"/>
          <w:szCs w:val="21"/>
          <w:highlight w:val="none"/>
        </w:rPr>
        <w:t>万元。</w:t>
      </w:r>
    </w:p>
    <w:p w14:paraId="0A9D68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sz w:val="21"/>
          <w:szCs w:val="21"/>
          <w:highlight w:val="none"/>
        </w:rPr>
        <w:t>投标保证金金额：</w:t>
      </w:r>
      <w:r>
        <w:rPr>
          <w:rFonts w:hint="eastAsia" w:ascii="宋体" w:hAnsi="宋体" w:cs="宋体"/>
          <w:sz w:val="21"/>
          <w:szCs w:val="21"/>
          <w:highlight w:val="none"/>
          <w:u w:val="single" w:color="auto"/>
          <w:lang w:val="en-US" w:eastAsia="zh-CN"/>
        </w:rPr>
        <w:t>30万</w:t>
      </w:r>
      <w:r>
        <w:rPr>
          <w:rFonts w:hint="eastAsia" w:ascii="宋体" w:hAnsi="宋体" w:eastAsia="宋体" w:cs="宋体"/>
          <w:sz w:val="21"/>
          <w:szCs w:val="21"/>
          <w:highlight w:val="none"/>
        </w:rPr>
        <w:t>元；缴纳方式：</w:t>
      </w:r>
      <w:r>
        <w:rPr>
          <w:rFonts w:hint="eastAsia" w:ascii="宋体" w:hAnsi="宋体" w:eastAsia="宋体" w:cs="宋体"/>
          <w:sz w:val="21"/>
          <w:szCs w:val="21"/>
          <w:highlight w:val="none"/>
          <w:u w:val="single" w:color="auto"/>
        </w:rPr>
        <w:t>现金(指电汇、支票);保函(保险)。</w:t>
      </w:r>
    </w:p>
    <w:p w14:paraId="16D4A88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6"/>
          <w:sz w:val="21"/>
          <w:szCs w:val="21"/>
        </w:rPr>
        <w:t>2.3 其他：</w:t>
      </w:r>
      <w:r>
        <w:rPr>
          <w:rFonts w:hint="eastAsia" w:ascii="宋体" w:hAnsi="宋体" w:eastAsia="宋体" w:cs="宋体"/>
          <w:spacing w:val="10"/>
          <w:position w:val="3"/>
          <w:sz w:val="21"/>
          <w:szCs w:val="21"/>
          <w:u w:val="single" w:color="auto"/>
        </w:rPr>
        <w:t xml:space="preserve">   </w:t>
      </w:r>
      <w:r>
        <w:rPr>
          <w:rFonts w:hint="eastAsia" w:ascii="宋体" w:hAnsi="宋体" w:eastAsia="宋体" w:cs="宋体"/>
          <w:spacing w:val="-6"/>
          <w:position w:val="3"/>
          <w:sz w:val="21"/>
          <w:szCs w:val="21"/>
          <w:u w:val="single" w:color="auto"/>
        </w:rPr>
        <w:t>/</w:t>
      </w:r>
      <w:r>
        <w:rPr>
          <w:rFonts w:hint="eastAsia" w:ascii="宋体" w:hAnsi="宋体" w:eastAsia="宋体" w:cs="宋体"/>
          <w:position w:val="3"/>
          <w:sz w:val="21"/>
          <w:szCs w:val="21"/>
          <w:u w:val="single" w:color="auto"/>
        </w:rPr>
        <w:t xml:space="preserve">    </w:t>
      </w:r>
    </w:p>
    <w:p w14:paraId="3D05820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both"/>
        <w:textAlignment w:val="baseline"/>
        <w:outlineLvl w:val="9"/>
        <w:rPr>
          <w:rFonts w:hint="eastAsia" w:ascii="宋体" w:hAnsi="宋体" w:eastAsia="宋体" w:cs="宋体"/>
          <w:sz w:val="21"/>
          <w:szCs w:val="21"/>
        </w:rPr>
      </w:pPr>
      <w:r>
        <w:rPr>
          <w:rFonts w:hint="eastAsia" w:ascii="宋体" w:hAnsi="宋体" w:eastAsia="宋体" w:cs="宋体"/>
          <w:b/>
          <w:bCs/>
          <w:spacing w:val="18"/>
          <w:sz w:val="21"/>
          <w:szCs w:val="21"/>
        </w:rPr>
        <w:t>3.</w:t>
      </w:r>
      <w:r>
        <w:rPr>
          <w:rFonts w:hint="eastAsia" w:ascii="宋体" w:hAnsi="宋体" w:eastAsia="宋体" w:cs="宋体"/>
          <w:spacing w:val="-49"/>
          <w:sz w:val="21"/>
          <w:szCs w:val="21"/>
        </w:rPr>
        <w:t xml:space="preserve"> </w:t>
      </w:r>
      <w:r>
        <w:rPr>
          <w:rFonts w:hint="eastAsia" w:ascii="宋体" w:hAnsi="宋体" w:eastAsia="宋体" w:cs="宋体"/>
          <w:b/>
          <w:bCs/>
          <w:spacing w:val="18"/>
          <w:sz w:val="21"/>
          <w:szCs w:val="21"/>
        </w:rPr>
        <w:t>投标人资格要求</w:t>
      </w:r>
    </w:p>
    <w:p w14:paraId="3A01B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3.1 本次招标要求</w:t>
      </w:r>
      <w:r>
        <w:rPr>
          <w:rFonts w:hint="eastAsia" w:ascii="宋体" w:hAnsi="宋体" w:cs="宋体"/>
          <w:highlight w:val="none"/>
          <w:lang w:val="en-US" w:eastAsia="zh-CN"/>
        </w:rPr>
        <w:t>投标人</w:t>
      </w:r>
      <w:r>
        <w:rPr>
          <w:rFonts w:hint="eastAsia" w:ascii="宋体" w:hAnsi="宋体" w:eastAsia="宋体" w:cs="宋体"/>
          <w:highlight w:val="none"/>
        </w:rPr>
        <w:t>须具备</w:t>
      </w:r>
      <w:r>
        <w:rPr>
          <w:rFonts w:hint="eastAsia" w:ascii="宋体" w:hAnsi="宋体" w:eastAsia="宋体" w:cs="宋体"/>
          <w:color w:val="FF0000"/>
          <w:highlight w:val="none"/>
          <w:u w:val="single"/>
        </w:rPr>
        <w:t>[施工总承包·建筑工程·建筑工程</w:t>
      </w:r>
      <w:r>
        <w:rPr>
          <w:rFonts w:hint="eastAsia" w:ascii="宋体" w:hAnsi="宋体" w:cs="宋体"/>
          <w:color w:val="FF0000"/>
          <w:highlight w:val="none"/>
          <w:u w:val="single"/>
          <w:lang w:val="en-US" w:eastAsia="zh-CN"/>
        </w:rPr>
        <w:t>三</w:t>
      </w:r>
      <w:r>
        <w:rPr>
          <w:rFonts w:hint="eastAsia" w:ascii="宋体" w:hAnsi="宋体" w:eastAsia="宋体" w:cs="宋体"/>
          <w:color w:val="FF0000"/>
          <w:highlight w:val="none"/>
          <w:u w:val="single"/>
        </w:rPr>
        <w:t>级](含)以上</w:t>
      </w:r>
      <w:r>
        <w:rPr>
          <w:rFonts w:hint="eastAsia" w:ascii="宋体" w:hAnsi="宋体" w:eastAsia="宋体" w:cs="宋体"/>
          <w:color w:val="FF0000"/>
          <w:highlight w:val="none"/>
          <w:u w:val="none"/>
        </w:rPr>
        <w:t>资质</w:t>
      </w:r>
      <w:r>
        <w:rPr>
          <w:rFonts w:hint="eastAsia" w:ascii="宋体" w:hAnsi="宋体" w:eastAsia="宋体" w:cs="宋体"/>
          <w:highlight w:val="none"/>
          <w:u w:val="none"/>
        </w:rPr>
        <w:t>，并在人员、设备、资金等方面具有相应的施工能力，其中，投标人拟派项目经理须具备</w:t>
      </w:r>
      <w:r>
        <w:rPr>
          <w:rFonts w:hint="eastAsia" w:ascii="宋体" w:hAnsi="宋体" w:eastAsia="宋体" w:cs="宋体"/>
          <w:color w:val="FF0000"/>
          <w:highlight w:val="none"/>
          <w:u w:val="single"/>
        </w:rPr>
        <w:t>[注册</w:t>
      </w:r>
      <w:r>
        <w:rPr>
          <w:rFonts w:hint="eastAsia" w:ascii="宋体" w:hAnsi="宋体" w:cs="宋体"/>
          <w:color w:val="FF0000"/>
          <w:highlight w:val="none"/>
          <w:u w:val="single"/>
          <w:lang w:val="en-US" w:eastAsia="zh-CN"/>
        </w:rPr>
        <w:t>二</w:t>
      </w:r>
      <w:r>
        <w:rPr>
          <w:rFonts w:hint="eastAsia" w:ascii="宋体" w:hAnsi="宋体" w:eastAsia="宋体" w:cs="宋体"/>
          <w:color w:val="FF0000"/>
          <w:highlight w:val="none"/>
          <w:u w:val="single"/>
        </w:rPr>
        <w:t>级建造师·建筑工程](含)以</w:t>
      </w:r>
      <w:r>
        <w:rPr>
          <w:rFonts w:hint="eastAsia" w:ascii="宋体" w:hAnsi="宋体" w:eastAsia="宋体" w:cs="宋体"/>
          <w:highlight w:val="none"/>
          <w:u w:val="single"/>
        </w:rPr>
        <w:t>上</w:t>
      </w:r>
      <w:r>
        <w:rPr>
          <w:rFonts w:hint="eastAsia" w:ascii="宋体" w:hAnsi="宋体" w:eastAsia="宋体" w:cs="宋体"/>
          <w:highlight w:val="none"/>
          <w:u w:val="none"/>
        </w:rPr>
        <w:t>执业资格</w:t>
      </w:r>
      <w:r>
        <w:rPr>
          <w:rFonts w:hint="eastAsia" w:ascii="宋体" w:hAnsi="宋体" w:cs="宋体"/>
          <w:highlight w:val="none"/>
          <w:u w:val="none"/>
          <w:lang w:eastAsia="zh-CN"/>
        </w:rPr>
        <w:t>，</w:t>
      </w:r>
      <w:r>
        <w:rPr>
          <w:rFonts w:hint="eastAsia" w:ascii="宋体" w:hAnsi="宋体" w:eastAsia="宋体" w:cs="宋体"/>
          <w:highlight w:val="none"/>
          <w:u w:val="none"/>
        </w:rPr>
        <w:t>具备有效的安全生产考核合格证书(B证),且未担任其他在施建设工程项目的项目经理。</w:t>
      </w:r>
    </w:p>
    <w:p w14:paraId="52C8A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3.2本次招标</w:t>
      </w:r>
      <w:r>
        <w:rPr>
          <w:rFonts w:hint="eastAsia" w:ascii="宋体" w:hAnsi="宋体" w:cs="宋体"/>
          <w:highlight w:val="none"/>
          <w:u w:val="single"/>
          <w:lang w:val="en-US" w:eastAsia="zh-CN"/>
        </w:rPr>
        <w:t>不</w:t>
      </w:r>
      <w:r>
        <w:rPr>
          <w:rFonts w:hint="eastAsia" w:ascii="宋体" w:hAnsi="宋体" w:eastAsia="宋体" w:cs="宋体"/>
          <w:highlight w:val="none"/>
          <w:u w:val="single"/>
        </w:rPr>
        <w:t>接受</w:t>
      </w:r>
      <w:r>
        <w:rPr>
          <w:rFonts w:hint="eastAsia" w:ascii="宋体" w:hAnsi="宋体" w:eastAsia="宋体" w:cs="宋体"/>
          <w:highlight w:val="none"/>
        </w:rPr>
        <w:t>联合体投标。联合体投标的，应满足下列要求：</w:t>
      </w:r>
      <w:r>
        <w:rPr>
          <w:rFonts w:hint="eastAsia" w:ascii="宋体" w:hAnsi="宋体" w:cs="宋体"/>
          <w:highlight w:val="none"/>
          <w:u w:val="single"/>
          <w:lang w:val="en-US" w:eastAsia="zh-CN"/>
        </w:rPr>
        <w:t>/</w:t>
      </w:r>
    </w:p>
    <w:p w14:paraId="05F3CE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3.3其他要求：</w:t>
      </w:r>
      <w:r>
        <w:rPr>
          <w:rFonts w:hint="eastAsia" w:ascii="宋体" w:hAnsi="宋体" w:cs="宋体"/>
          <w:color w:val="FF0000"/>
          <w:highlight w:val="none"/>
          <w:u w:val="single"/>
          <w:lang w:val="en-US" w:eastAsia="zh-CN"/>
        </w:rPr>
        <w:t>1.</w:t>
      </w:r>
      <w:r>
        <w:rPr>
          <w:rFonts w:hint="eastAsia" w:ascii="宋体" w:hAnsi="宋体" w:eastAsia="宋体" w:cs="宋体"/>
          <w:color w:val="FF0000"/>
          <w:highlight w:val="none"/>
          <w:u w:val="single"/>
        </w:rPr>
        <w:t>企业要求：具备有效的安全生产许可证</w:t>
      </w:r>
      <w:r>
        <w:rPr>
          <w:rFonts w:hint="eastAsia" w:ascii="宋体" w:hAnsi="宋体" w:cs="宋体"/>
          <w:color w:val="FF0000"/>
          <w:highlight w:val="none"/>
          <w:u w:val="single"/>
          <w:lang w:val="en-US" w:eastAsia="zh-CN"/>
        </w:rPr>
        <w:t>2.</w:t>
      </w:r>
      <w:r>
        <w:rPr>
          <w:rFonts w:hint="eastAsia"/>
          <w:color w:val="FF0000"/>
          <w:highlight w:val="none"/>
          <w:u w:val="single"/>
        </w:rPr>
        <w:t>具有有效的企业在辽基本信息登记单（外省企业）</w:t>
      </w:r>
      <w:r>
        <w:rPr>
          <w:rFonts w:hint="eastAsia" w:ascii="宋体" w:hAnsi="宋体" w:eastAsia="宋体" w:cs="宋体"/>
          <w:color w:val="FF0000"/>
          <w:highlight w:val="none"/>
          <w:u w:val="single"/>
        </w:rPr>
        <w:t>。</w:t>
      </w:r>
    </w:p>
    <w:p w14:paraId="6EBDC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3.4 是否允许互夸专业承接同等级业务：</w:t>
      </w:r>
      <w:r>
        <w:rPr>
          <w:rFonts w:hint="eastAsia" w:ascii="宋体" w:hAnsi="宋体" w:cs="宋体"/>
          <w:highlight w:val="none"/>
          <w:u w:val="single"/>
          <w:lang w:val="en-US" w:eastAsia="zh-CN"/>
        </w:rPr>
        <w:t xml:space="preserve"> 否 </w:t>
      </w:r>
      <w:r>
        <w:rPr>
          <w:rFonts w:hint="eastAsia" w:ascii="宋体" w:hAnsi="宋体" w:cs="宋体"/>
          <w:highlight w:val="none"/>
          <w:u w:val="none"/>
          <w:lang w:val="en-US" w:eastAsia="zh-CN"/>
        </w:rPr>
        <w:t>。</w:t>
      </w:r>
    </w:p>
    <w:p w14:paraId="4A3DEB8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4.招标文件的获取</w:t>
      </w:r>
    </w:p>
    <w:p w14:paraId="1624046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5"/>
          <w:sz w:val="21"/>
          <w:szCs w:val="21"/>
        </w:rPr>
        <w:t>4.1</w:t>
      </w:r>
      <w:r>
        <w:rPr>
          <w:rFonts w:hint="eastAsia" w:ascii="宋体" w:hAnsi="宋体" w:eastAsia="宋体" w:cs="宋体"/>
          <w:spacing w:val="46"/>
          <w:sz w:val="21"/>
          <w:szCs w:val="21"/>
        </w:rPr>
        <w:t xml:space="preserve"> </w:t>
      </w:r>
      <w:r>
        <w:rPr>
          <w:rFonts w:hint="eastAsia" w:ascii="宋体" w:hAnsi="宋体" w:eastAsia="宋体" w:cs="宋体"/>
          <w:spacing w:val="15"/>
          <w:sz w:val="21"/>
          <w:szCs w:val="21"/>
        </w:rPr>
        <w:t>凡有意参加投标者(若为联合体投标，指联合体所有成员),应当在主体信息库(辽宁省工程建设项目主</w:t>
      </w:r>
      <w:r>
        <w:rPr>
          <w:rFonts w:hint="eastAsia" w:ascii="宋体" w:hAnsi="宋体" w:eastAsia="宋体" w:cs="宋体"/>
          <w:spacing w:val="14"/>
          <w:sz w:val="21"/>
          <w:szCs w:val="21"/>
        </w:rPr>
        <w:t>体云库)进</w:t>
      </w:r>
      <w:r>
        <w:rPr>
          <w:rFonts w:hint="eastAsia" w:ascii="宋体" w:hAnsi="宋体" w:eastAsia="宋体" w:cs="宋体"/>
          <w:sz w:val="21"/>
          <w:szCs w:val="21"/>
        </w:rPr>
        <w:t xml:space="preserve"> </w:t>
      </w:r>
      <w:r>
        <w:rPr>
          <w:rFonts w:hint="eastAsia" w:ascii="宋体" w:hAnsi="宋体" w:eastAsia="宋体" w:cs="宋体"/>
          <w:spacing w:val="12"/>
          <w:sz w:val="21"/>
          <w:szCs w:val="21"/>
        </w:rPr>
        <w:t>行注册登记(具体参见主体云库注册</w:t>
      </w:r>
      <w:r>
        <w:rPr>
          <w:rFonts w:hint="eastAsia" w:ascii="宋体" w:hAnsi="宋体" w:eastAsia="宋体" w:cs="宋体"/>
          <w:spacing w:val="12"/>
          <w:sz w:val="21"/>
          <w:szCs w:val="21"/>
          <w:highlight w:val="none"/>
        </w:rPr>
        <w:t>操作指南)。</w:t>
      </w:r>
    </w:p>
    <w:p w14:paraId="50C160D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4.2完成注册登记后，请于</w:t>
      </w:r>
      <w:r>
        <w:rPr>
          <w:rFonts w:hint="eastAsia" w:ascii="宋体" w:hAnsi="宋体" w:eastAsia="宋体" w:cs="宋体"/>
          <w:color w:val="0000FF"/>
          <w:spacing w:val="-16"/>
          <w:sz w:val="21"/>
          <w:szCs w:val="21"/>
          <w:highlight w:val="none"/>
        </w:rPr>
        <w:t xml:space="preserve"> </w:t>
      </w:r>
      <w:r>
        <w:rPr>
          <w:rFonts w:hint="eastAsia" w:ascii="宋体" w:hAnsi="宋体" w:eastAsia="宋体" w:cs="宋体"/>
          <w:color w:val="0000FF"/>
          <w:spacing w:val="13"/>
          <w:sz w:val="21"/>
          <w:szCs w:val="21"/>
          <w:highlight w:val="none"/>
          <w:u w:val="single" w:color="auto"/>
        </w:rPr>
        <w:t>202</w:t>
      </w:r>
      <w:r>
        <w:rPr>
          <w:rFonts w:hint="eastAsia" w:ascii="宋体" w:hAnsi="宋体" w:cs="宋体"/>
          <w:color w:val="0000FF"/>
          <w:spacing w:val="13"/>
          <w:sz w:val="21"/>
          <w:szCs w:val="21"/>
          <w:highlight w:val="none"/>
          <w:u w:val="single" w:color="auto"/>
          <w:lang w:val="en-US" w:eastAsia="zh-CN"/>
        </w:rPr>
        <w:t>6</w:t>
      </w:r>
      <w:r>
        <w:rPr>
          <w:rFonts w:hint="eastAsia" w:ascii="宋体" w:hAnsi="宋体" w:eastAsia="宋体" w:cs="宋体"/>
          <w:color w:val="0000FF"/>
          <w:spacing w:val="13"/>
          <w:sz w:val="21"/>
          <w:szCs w:val="21"/>
          <w:highlight w:val="none"/>
          <w:u w:val="single" w:color="auto"/>
        </w:rPr>
        <w:t>年</w:t>
      </w:r>
      <w:r>
        <w:rPr>
          <w:rFonts w:hint="eastAsia" w:ascii="宋体" w:hAnsi="宋体" w:cs="宋体"/>
          <w:color w:val="0000FF"/>
          <w:spacing w:val="13"/>
          <w:sz w:val="21"/>
          <w:szCs w:val="21"/>
          <w:highlight w:val="none"/>
          <w:u w:val="single" w:color="auto"/>
          <w:lang w:val="en-US" w:eastAsia="zh-CN"/>
        </w:rPr>
        <w:t>04</w:t>
      </w:r>
      <w:r>
        <w:rPr>
          <w:rFonts w:hint="eastAsia" w:ascii="宋体" w:hAnsi="宋体" w:eastAsia="宋体" w:cs="宋体"/>
          <w:color w:val="0000FF"/>
          <w:spacing w:val="13"/>
          <w:sz w:val="21"/>
          <w:szCs w:val="21"/>
          <w:highlight w:val="none"/>
          <w:u w:val="single" w:color="auto"/>
        </w:rPr>
        <w:t>月</w:t>
      </w:r>
      <w:r>
        <w:rPr>
          <w:rFonts w:hint="eastAsia" w:ascii="宋体" w:hAnsi="宋体" w:cs="宋体"/>
          <w:color w:val="0000FF"/>
          <w:spacing w:val="13"/>
          <w:sz w:val="21"/>
          <w:szCs w:val="21"/>
          <w:highlight w:val="none"/>
          <w:u w:val="single" w:color="auto"/>
          <w:lang w:val="en-US" w:eastAsia="zh-CN"/>
        </w:rPr>
        <w:t>16</w:t>
      </w:r>
      <w:r>
        <w:rPr>
          <w:rFonts w:hint="eastAsia" w:ascii="宋体" w:hAnsi="宋体" w:eastAsia="宋体" w:cs="宋体"/>
          <w:color w:val="0000FF"/>
          <w:spacing w:val="13"/>
          <w:sz w:val="21"/>
          <w:szCs w:val="21"/>
          <w:highlight w:val="none"/>
          <w:u w:val="single" w:color="auto"/>
        </w:rPr>
        <w:t>日08时30分至202</w:t>
      </w:r>
      <w:r>
        <w:rPr>
          <w:rFonts w:hint="eastAsia" w:ascii="宋体" w:hAnsi="宋体" w:cs="宋体"/>
          <w:color w:val="0000FF"/>
          <w:spacing w:val="13"/>
          <w:sz w:val="21"/>
          <w:szCs w:val="21"/>
          <w:highlight w:val="none"/>
          <w:u w:val="single" w:color="auto"/>
          <w:lang w:val="en-US" w:eastAsia="zh-CN"/>
        </w:rPr>
        <w:t>6</w:t>
      </w:r>
      <w:r>
        <w:rPr>
          <w:rFonts w:hint="eastAsia" w:ascii="宋体" w:hAnsi="宋体" w:eastAsia="宋体" w:cs="宋体"/>
          <w:color w:val="0000FF"/>
          <w:spacing w:val="13"/>
          <w:sz w:val="21"/>
          <w:szCs w:val="21"/>
          <w:highlight w:val="none"/>
          <w:u w:val="single" w:color="auto"/>
        </w:rPr>
        <w:t>年</w:t>
      </w:r>
      <w:r>
        <w:rPr>
          <w:rFonts w:hint="eastAsia" w:ascii="宋体" w:hAnsi="宋体" w:cs="宋体"/>
          <w:color w:val="0000FF"/>
          <w:spacing w:val="13"/>
          <w:sz w:val="21"/>
          <w:szCs w:val="21"/>
          <w:highlight w:val="none"/>
          <w:u w:val="single" w:color="auto"/>
          <w:lang w:val="en-US" w:eastAsia="zh-CN"/>
        </w:rPr>
        <w:t>04</w:t>
      </w:r>
      <w:r>
        <w:rPr>
          <w:rFonts w:hint="eastAsia" w:ascii="宋体" w:hAnsi="宋体" w:eastAsia="宋体" w:cs="宋体"/>
          <w:color w:val="0000FF"/>
          <w:spacing w:val="13"/>
          <w:sz w:val="21"/>
          <w:szCs w:val="21"/>
          <w:highlight w:val="none"/>
          <w:u w:val="single" w:color="auto"/>
        </w:rPr>
        <w:t>月</w:t>
      </w:r>
      <w:r>
        <w:rPr>
          <w:rFonts w:hint="eastAsia" w:ascii="宋体" w:hAnsi="宋体" w:cs="宋体"/>
          <w:color w:val="0000FF"/>
          <w:spacing w:val="13"/>
          <w:sz w:val="21"/>
          <w:szCs w:val="21"/>
          <w:highlight w:val="none"/>
          <w:u w:val="single" w:color="auto"/>
          <w:lang w:val="en-US" w:eastAsia="zh-CN"/>
        </w:rPr>
        <w:t>22</w:t>
      </w:r>
      <w:r>
        <w:rPr>
          <w:rFonts w:hint="eastAsia" w:ascii="宋体" w:hAnsi="宋体" w:eastAsia="宋体" w:cs="宋体"/>
          <w:color w:val="0000FF"/>
          <w:spacing w:val="12"/>
          <w:sz w:val="21"/>
          <w:szCs w:val="21"/>
          <w:highlight w:val="none"/>
          <w:u w:val="single" w:color="auto"/>
        </w:rPr>
        <w:t>日16时00分</w:t>
      </w:r>
      <w:r>
        <w:rPr>
          <w:rFonts w:hint="eastAsia" w:ascii="宋体" w:hAnsi="宋体" w:eastAsia="宋体" w:cs="宋体"/>
          <w:spacing w:val="12"/>
          <w:sz w:val="21"/>
          <w:szCs w:val="21"/>
          <w:highlight w:val="none"/>
        </w:rPr>
        <w:t>止</w:t>
      </w:r>
      <w:r>
        <w:rPr>
          <w:rFonts w:hint="eastAsia" w:ascii="宋体" w:hAnsi="宋体" w:eastAsia="宋体" w:cs="宋体"/>
          <w:spacing w:val="-30"/>
          <w:sz w:val="21"/>
          <w:szCs w:val="21"/>
          <w:highlight w:val="none"/>
        </w:rPr>
        <w:t xml:space="preserve"> </w:t>
      </w:r>
      <w:r>
        <w:rPr>
          <w:rFonts w:hint="eastAsia" w:ascii="宋体" w:hAnsi="宋体" w:eastAsia="宋体" w:cs="宋体"/>
          <w:spacing w:val="12"/>
          <w:sz w:val="21"/>
          <w:szCs w:val="21"/>
          <w:highlight w:val="none"/>
        </w:rPr>
        <w:t>(北京时间、下同),通过</w:t>
      </w:r>
      <w:r>
        <w:rPr>
          <w:rFonts w:hint="eastAsia" w:ascii="宋体" w:hAnsi="宋体" w:eastAsia="宋体" w:cs="宋体"/>
          <w:highlight w:val="none"/>
          <w:u w:val="single"/>
        </w:rPr>
        <w:t>广联达电子交易平台(投标盲盒工具https://nxbox.Inzb.com:8888/#/</w:t>
      </w:r>
      <w:r>
        <w:rPr>
          <w:rFonts w:hint="eastAsia" w:ascii="宋体" w:hAnsi="宋体" w:cs="宋体"/>
          <w:highlight w:val="none"/>
          <w:u w:val="single"/>
          <w:lang w:val="en-US" w:eastAsia="zh-CN"/>
        </w:rPr>
        <w:t>l</w:t>
      </w:r>
      <w:r>
        <w:rPr>
          <w:rFonts w:hint="eastAsia" w:ascii="宋体" w:hAnsi="宋体" w:eastAsia="宋体" w:cs="宋体"/>
          <w:highlight w:val="none"/>
          <w:u w:val="single"/>
        </w:rPr>
        <w:t xml:space="preserve">ogin) </w:t>
      </w:r>
      <w:r>
        <w:rPr>
          <w:rFonts w:hint="eastAsia" w:ascii="宋体" w:hAnsi="宋体" w:eastAsia="宋体" w:cs="宋体"/>
          <w:spacing w:val="17"/>
          <w:sz w:val="21"/>
          <w:szCs w:val="21"/>
          <w:highlight w:val="none"/>
        </w:rPr>
        <w:t xml:space="preserve"> ,</w:t>
      </w:r>
      <w:r>
        <w:rPr>
          <w:rFonts w:hint="eastAsia" w:ascii="宋体" w:hAnsi="宋体" w:eastAsia="宋体" w:cs="宋体"/>
          <w:spacing w:val="-10"/>
          <w:sz w:val="21"/>
          <w:szCs w:val="21"/>
          <w:highlight w:val="none"/>
        </w:rPr>
        <w:t xml:space="preserve"> </w:t>
      </w:r>
      <w:r>
        <w:rPr>
          <w:rFonts w:hint="eastAsia" w:ascii="宋体" w:hAnsi="宋体" w:eastAsia="宋体" w:cs="宋体"/>
          <w:spacing w:val="17"/>
          <w:sz w:val="21"/>
          <w:szCs w:val="21"/>
          <w:highlight w:val="none"/>
        </w:rPr>
        <w:t>在所投标段进</w:t>
      </w:r>
      <w:r>
        <w:rPr>
          <w:rFonts w:hint="eastAsia" w:ascii="宋体" w:hAnsi="宋体" w:eastAsia="宋体" w:cs="宋体"/>
          <w:spacing w:val="16"/>
          <w:sz w:val="21"/>
          <w:szCs w:val="21"/>
          <w:highlight w:val="none"/>
        </w:rPr>
        <w:t>行资格确认并下载招标文件。联</w:t>
      </w:r>
      <w:r>
        <w:rPr>
          <w:rFonts w:hint="eastAsia" w:ascii="宋体" w:hAnsi="宋体" w:eastAsia="宋体" w:cs="宋体"/>
          <w:spacing w:val="3"/>
          <w:sz w:val="21"/>
          <w:szCs w:val="21"/>
          <w:highlight w:val="none"/>
        </w:rPr>
        <w:t>合体投标的，由联合体牵头人下载招标文件。</w:t>
      </w:r>
    </w:p>
    <w:p w14:paraId="6DE983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5.投标文件的递交</w:t>
      </w:r>
    </w:p>
    <w:p w14:paraId="1CDB816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5.1 投标文件递交截止时间为：</w:t>
      </w:r>
      <w:r>
        <w:rPr>
          <w:rFonts w:hint="eastAsia" w:ascii="宋体" w:hAnsi="宋体" w:eastAsia="宋体" w:cs="宋体"/>
          <w:spacing w:val="-27"/>
          <w:sz w:val="21"/>
          <w:szCs w:val="21"/>
          <w:highlight w:val="none"/>
        </w:rPr>
        <w:t xml:space="preserve"> </w:t>
      </w:r>
      <w:r>
        <w:rPr>
          <w:rFonts w:hint="eastAsia" w:ascii="宋体" w:hAnsi="宋体" w:eastAsia="宋体" w:cs="宋体"/>
          <w:color w:val="0000FF"/>
          <w:spacing w:val="5"/>
          <w:sz w:val="21"/>
          <w:szCs w:val="21"/>
          <w:highlight w:val="none"/>
          <w:u w:val="single" w:color="auto"/>
        </w:rPr>
        <w:t>202</w:t>
      </w:r>
      <w:r>
        <w:rPr>
          <w:rFonts w:hint="eastAsia" w:ascii="宋体" w:hAnsi="宋体" w:cs="宋体"/>
          <w:color w:val="0000FF"/>
          <w:spacing w:val="5"/>
          <w:sz w:val="21"/>
          <w:szCs w:val="21"/>
          <w:highlight w:val="none"/>
          <w:u w:val="single" w:color="auto"/>
          <w:lang w:val="en-US" w:eastAsia="zh-CN"/>
        </w:rPr>
        <w:t>6</w:t>
      </w:r>
      <w:r>
        <w:rPr>
          <w:rFonts w:hint="eastAsia" w:ascii="宋体" w:hAnsi="宋体" w:eastAsia="宋体" w:cs="宋体"/>
          <w:color w:val="0000FF"/>
          <w:spacing w:val="5"/>
          <w:sz w:val="21"/>
          <w:szCs w:val="21"/>
          <w:highlight w:val="none"/>
          <w:u w:val="single" w:color="auto"/>
        </w:rPr>
        <w:t>年</w:t>
      </w:r>
      <w:r>
        <w:rPr>
          <w:rFonts w:hint="eastAsia" w:ascii="宋体" w:hAnsi="宋体" w:cs="宋体"/>
          <w:color w:val="0000FF"/>
          <w:spacing w:val="5"/>
          <w:sz w:val="21"/>
          <w:szCs w:val="21"/>
          <w:highlight w:val="none"/>
          <w:u w:val="single" w:color="auto"/>
          <w:lang w:val="en-US" w:eastAsia="zh-CN"/>
        </w:rPr>
        <w:t>05</w:t>
      </w:r>
      <w:r>
        <w:rPr>
          <w:rFonts w:hint="eastAsia" w:ascii="宋体" w:hAnsi="宋体" w:eastAsia="宋体" w:cs="宋体"/>
          <w:color w:val="0000FF"/>
          <w:spacing w:val="5"/>
          <w:sz w:val="21"/>
          <w:szCs w:val="21"/>
          <w:highlight w:val="none"/>
          <w:u w:val="single" w:color="auto"/>
        </w:rPr>
        <w:t>月</w:t>
      </w:r>
      <w:r>
        <w:rPr>
          <w:rFonts w:hint="eastAsia" w:ascii="宋体" w:hAnsi="宋体" w:cs="宋体"/>
          <w:color w:val="0000FF"/>
          <w:spacing w:val="5"/>
          <w:sz w:val="21"/>
          <w:szCs w:val="21"/>
          <w:highlight w:val="none"/>
          <w:u w:val="single" w:color="auto"/>
          <w:lang w:val="en-US" w:eastAsia="zh-CN"/>
        </w:rPr>
        <w:t>07</w:t>
      </w:r>
      <w:r>
        <w:rPr>
          <w:rFonts w:hint="eastAsia" w:ascii="宋体" w:hAnsi="宋体" w:eastAsia="宋体" w:cs="宋体"/>
          <w:color w:val="0000FF"/>
          <w:spacing w:val="5"/>
          <w:sz w:val="21"/>
          <w:szCs w:val="21"/>
          <w:highlight w:val="none"/>
          <w:u w:val="single" w:color="auto"/>
        </w:rPr>
        <w:t>日</w:t>
      </w:r>
      <w:r>
        <w:rPr>
          <w:rFonts w:hint="eastAsia" w:ascii="宋体" w:hAnsi="宋体" w:cs="宋体"/>
          <w:color w:val="0000FF"/>
          <w:spacing w:val="5"/>
          <w:sz w:val="21"/>
          <w:szCs w:val="21"/>
          <w:highlight w:val="none"/>
          <w:u w:val="single" w:color="auto"/>
          <w:lang w:val="en-US" w:eastAsia="zh-CN"/>
        </w:rPr>
        <w:t>09</w:t>
      </w:r>
      <w:r>
        <w:rPr>
          <w:rFonts w:hint="eastAsia" w:ascii="宋体" w:hAnsi="宋体" w:eastAsia="宋体" w:cs="宋体"/>
          <w:color w:val="0000FF"/>
          <w:spacing w:val="5"/>
          <w:sz w:val="21"/>
          <w:szCs w:val="21"/>
          <w:highlight w:val="none"/>
          <w:u w:val="single" w:color="auto"/>
        </w:rPr>
        <w:t>:</w:t>
      </w:r>
      <w:r>
        <w:rPr>
          <w:rFonts w:hint="eastAsia" w:ascii="宋体" w:hAnsi="宋体" w:cs="宋体"/>
          <w:color w:val="0000FF"/>
          <w:spacing w:val="5"/>
          <w:sz w:val="21"/>
          <w:szCs w:val="21"/>
          <w:highlight w:val="none"/>
          <w:u w:val="single" w:color="auto"/>
          <w:lang w:val="en-US" w:eastAsia="zh-CN"/>
        </w:rPr>
        <w:t>30</w:t>
      </w:r>
      <w:r>
        <w:rPr>
          <w:rFonts w:hint="eastAsia" w:ascii="宋体" w:hAnsi="宋体" w:eastAsia="宋体" w:cs="宋体"/>
          <w:spacing w:val="5"/>
          <w:sz w:val="21"/>
          <w:szCs w:val="21"/>
          <w:highlight w:val="none"/>
        </w:rPr>
        <w:t>。</w:t>
      </w:r>
    </w:p>
    <w:p w14:paraId="1A21E67C">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5.2投标人应当在投标截止时间前，通过</w:t>
      </w:r>
      <w:r>
        <w:rPr>
          <w:rFonts w:hint="eastAsia" w:ascii="宋体" w:hAnsi="宋体" w:eastAsia="宋体" w:cs="宋体"/>
          <w:highlight w:val="none"/>
          <w:u w:val="single"/>
        </w:rPr>
        <w:t>广联达电子交易平台(投标盲盒工具https://nxbox.Inzb.com:8888/#/</w:t>
      </w:r>
      <w:r>
        <w:rPr>
          <w:rFonts w:hint="eastAsia" w:ascii="宋体" w:hAnsi="宋体" w:cs="宋体"/>
          <w:highlight w:val="none"/>
          <w:u w:val="single"/>
          <w:lang w:val="en-US" w:eastAsia="zh-CN"/>
        </w:rPr>
        <w:t>l</w:t>
      </w:r>
      <w:r>
        <w:rPr>
          <w:rFonts w:hint="eastAsia" w:ascii="宋体" w:hAnsi="宋体" w:eastAsia="宋体" w:cs="宋体"/>
          <w:highlight w:val="none"/>
          <w:u w:val="single"/>
        </w:rPr>
        <w:t xml:space="preserve">ogin) </w:t>
      </w: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选择所投标段将加密的电子投标文件上传。投标人完成投标文件上传后，电子交易系统向投标人发出电子签收凭证，</w:t>
      </w:r>
      <w:r>
        <w:rPr>
          <w:rFonts w:hint="eastAsia" w:ascii="宋体" w:hAnsi="宋体" w:eastAsia="宋体" w:cs="宋体"/>
          <w:spacing w:val="8"/>
          <w:sz w:val="21"/>
          <w:szCs w:val="21"/>
          <w:highlight w:val="none"/>
        </w:rPr>
        <w:t>递交时间以电子签收凭证载明的时间为准。逾期未完成上传或未加密的电子投标文件，招标人(电子交易系统)将拒收其投标</w:t>
      </w:r>
      <w:r>
        <w:rPr>
          <w:rFonts w:hint="eastAsia" w:ascii="宋体" w:hAnsi="宋体" w:eastAsia="宋体" w:cs="宋体"/>
          <w:spacing w:val="-4"/>
          <w:sz w:val="21"/>
          <w:szCs w:val="21"/>
          <w:highlight w:val="none"/>
        </w:rPr>
        <w:t>文件。</w:t>
      </w:r>
    </w:p>
    <w:p w14:paraId="697B832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hint="eastAsia" w:ascii="宋体" w:hAnsi="宋体" w:eastAsia="宋体" w:cs="宋体"/>
          <w:color w:val="FF0000"/>
          <w:sz w:val="21"/>
          <w:szCs w:val="21"/>
          <w:highlight w:val="none"/>
        </w:rPr>
      </w:pPr>
      <w:r>
        <w:rPr>
          <w:rFonts w:hint="eastAsia" w:ascii="宋体" w:hAnsi="宋体" w:eastAsia="宋体" w:cs="宋体"/>
          <w:spacing w:val="25"/>
          <w:sz w:val="21"/>
          <w:szCs w:val="21"/>
          <w:highlight w:val="none"/>
        </w:rPr>
        <w:t>5.3开标地点</w:t>
      </w:r>
      <w:r>
        <w:rPr>
          <w:rFonts w:hint="eastAsia" w:ascii="宋体" w:hAnsi="宋体" w:eastAsia="宋体" w:cs="宋体"/>
          <w:spacing w:val="25"/>
          <w:sz w:val="21"/>
          <w:szCs w:val="21"/>
          <w:highlight w:val="none"/>
          <w:u w:val="single"/>
        </w:rPr>
        <w:t>：</w:t>
      </w:r>
      <w:r>
        <w:rPr>
          <w:rFonts w:hint="eastAsia" w:ascii="宋体" w:hAnsi="宋体" w:eastAsia="宋体" w:cs="宋体"/>
          <w:color w:val="FF0000"/>
          <w:spacing w:val="25"/>
          <w:sz w:val="21"/>
          <w:szCs w:val="21"/>
          <w:highlight w:val="none"/>
          <w:u w:val="single"/>
        </w:rPr>
        <w:t>营口市营商环境建设中心（营口市公共资源交易中心）(营口市西市区民生路 28 号)。</w:t>
      </w:r>
    </w:p>
    <w:p w14:paraId="4121CF1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"https://dts.lnzb.com:8888/zjt-bid/)。5.4" </w:instrText>
      </w:r>
      <w:r>
        <w:rPr>
          <w:rFonts w:hint="eastAsia" w:ascii="宋体" w:hAnsi="宋体" w:eastAsia="宋体" w:cs="宋体"/>
          <w:sz w:val="21"/>
          <w:szCs w:val="21"/>
          <w:highlight w:val="none"/>
        </w:rPr>
        <w:fldChar w:fldCharType="separate"/>
      </w:r>
      <w:r>
        <w:rPr>
          <w:rFonts w:hint="eastAsia" w:ascii="宋体" w:hAnsi="宋体" w:eastAsia="宋体" w:cs="宋体"/>
          <w:spacing w:val="7"/>
          <w:sz w:val="21"/>
          <w:szCs w:val="21"/>
          <w:highlight w:val="none"/>
        </w:rPr>
        <w:t>5.4</w:t>
      </w:r>
      <w:r>
        <w:rPr>
          <w:rFonts w:hint="eastAsia" w:ascii="宋体" w:hAnsi="宋体" w:eastAsia="宋体" w:cs="宋体"/>
          <w:spacing w:val="7"/>
          <w:sz w:val="21"/>
          <w:szCs w:val="21"/>
          <w:highlight w:val="none"/>
        </w:rPr>
        <w:fldChar w:fldCharType="end"/>
      </w:r>
      <w:r>
        <w:rPr>
          <w:rFonts w:hint="eastAsia" w:ascii="宋体" w:hAnsi="宋体" w:eastAsia="宋体" w:cs="宋体"/>
          <w:spacing w:val="7"/>
          <w:sz w:val="21"/>
          <w:szCs w:val="21"/>
          <w:highlight w:val="none"/>
        </w:rPr>
        <w:t>开标方式：</w:t>
      </w:r>
      <w:r>
        <w:rPr>
          <w:rFonts w:hint="eastAsia" w:ascii="宋体" w:hAnsi="宋体" w:eastAsia="宋体" w:cs="宋体"/>
          <w:spacing w:val="7"/>
          <w:sz w:val="21"/>
          <w:szCs w:val="21"/>
          <w:highlight w:val="none"/>
          <w:u w:val="single"/>
        </w:rPr>
        <w:t>远程不见面（请按招标文件规定时间登录“辽宁省工程建设项目数字化开标评标系统（https://dts.lnzb.com:8888/zjt-bid/）” 进行解密）。</w:t>
      </w:r>
    </w:p>
    <w:p w14:paraId="071991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6.投标相关事宜</w:t>
      </w:r>
    </w:p>
    <w:p w14:paraId="633E722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u w:val="single" w:color="auto"/>
        </w:rPr>
        <w:t>/</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spacing w:val="-4"/>
          <w:position w:val="3"/>
          <w:sz w:val="21"/>
          <w:szCs w:val="21"/>
          <w:highlight w:val="none"/>
        </w:rPr>
        <w:t>o</w:t>
      </w:r>
    </w:p>
    <w:p w14:paraId="57F7767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7.评标办法</w:t>
      </w:r>
    </w:p>
    <w:p w14:paraId="13ADBE5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本次招标评标办法采用</w:t>
      </w:r>
      <w:r>
        <w:rPr>
          <w:rFonts w:hint="eastAsia" w:ascii="宋体" w:hAnsi="宋体" w:eastAsia="宋体" w:cs="宋体"/>
          <w:spacing w:val="4"/>
          <w:sz w:val="21"/>
          <w:szCs w:val="21"/>
          <w:highlight w:val="none"/>
          <w:u w:val="single" w:color="auto"/>
        </w:rPr>
        <w:t>综合评估法</w:t>
      </w:r>
      <w:r>
        <w:rPr>
          <w:rFonts w:hint="eastAsia" w:ascii="宋体" w:hAnsi="宋体" w:eastAsia="宋体" w:cs="宋体"/>
          <w:spacing w:val="-26"/>
          <w:sz w:val="21"/>
          <w:szCs w:val="21"/>
          <w:highlight w:val="none"/>
        </w:rPr>
        <w:t xml:space="preserve"> </w:t>
      </w:r>
      <w:r>
        <w:rPr>
          <w:rFonts w:hint="eastAsia" w:ascii="宋体" w:hAnsi="宋体" w:eastAsia="宋体" w:cs="宋体"/>
          <w:spacing w:val="4"/>
          <w:sz w:val="21"/>
          <w:szCs w:val="21"/>
          <w:highlight w:val="none"/>
        </w:rPr>
        <w:t>。</w:t>
      </w:r>
    </w:p>
    <w:p w14:paraId="05FDA5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8.发布公告的媒介</w:t>
      </w:r>
    </w:p>
    <w:p w14:paraId="3DE343E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FF0000"/>
          <w:sz w:val="21"/>
          <w:szCs w:val="21"/>
          <w:highlight w:val="none"/>
          <w:lang w:eastAsia="zh-CN"/>
        </w:rPr>
      </w:pPr>
      <w:r>
        <w:rPr>
          <w:rFonts w:hint="eastAsia" w:ascii="宋体" w:hAnsi="宋体" w:eastAsia="宋体" w:cs="宋体"/>
          <w:spacing w:val="5"/>
          <w:sz w:val="21"/>
          <w:szCs w:val="21"/>
          <w:highlight w:val="none"/>
          <w:u w:val="single" w:color="auto"/>
        </w:rPr>
        <w:t>辽宁省招标投标监管网</w:t>
      </w:r>
      <w:r>
        <w:rPr>
          <w:rFonts w:hint="eastAsia" w:ascii="宋体" w:hAnsi="宋体" w:cs="宋体"/>
          <w:spacing w:val="5"/>
          <w:sz w:val="21"/>
          <w:szCs w:val="21"/>
          <w:highlight w:val="none"/>
          <w:u w:val="single" w:color="auto"/>
          <w:lang w:eastAsia="zh-CN"/>
        </w:rPr>
        <w:t>、</w:t>
      </w:r>
      <w:r>
        <w:rPr>
          <w:rFonts w:hint="eastAsia" w:ascii="宋体" w:hAnsi="宋体" w:eastAsia="宋体" w:cs="宋体"/>
          <w:spacing w:val="5"/>
          <w:sz w:val="21"/>
          <w:szCs w:val="21"/>
          <w:highlight w:val="none"/>
          <w:u w:val="single" w:color="auto"/>
        </w:rPr>
        <w:t>辽宁建设工程信息网</w:t>
      </w:r>
      <w:r>
        <w:rPr>
          <w:rFonts w:hint="eastAsia" w:ascii="宋体" w:hAnsi="宋体" w:cs="宋体"/>
          <w:spacing w:val="5"/>
          <w:sz w:val="21"/>
          <w:szCs w:val="21"/>
          <w:highlight w:val="none"/>
          <w:u w:val="single" w:color="auto"/>
          <w:lang w:eastAsia="zh-CN"/>
        </w:rPr>
        <w:t>、</w:t>
      </w:r>
      <w:r>
        <w:rPr>
          <w:rFonts w:hint="eastAsia" w:ascii="宋体" w:hAnsi="宋体" w:eastAsia="宋体" w:cs="宋体"/>
          <w:color w:val="FF0000"/>
          <w:spacing w:val="5"/>
          <w:sz w:val="21"/>
          <w:szCs w:val="21"/>
          <w:highlight w:val="none"/>
          <w:u w:val="single" w:color="auto"/>
        </w:rPr>
        <w:t>全国公共资源交易平台（辽宁省·营口市）</w:t>
      </w:r>
      <w:r>
        <w:rPr>
          <w:rFonts w:hint="eastAsia" w:ascii="宋体" w:hAnsi="宋体" w:eastAsia="宋体" w:cs="宋体"/>
          <w:color w:val="FF0000"/>
          <w:spacing w:val="5"/>
          <w:sz w:val="21"/>
          <w:szCs w:val="21"/>
          <w:highlight w:val="none"/>
          <w:u w:val="none" w:color="auto"/>
        </w:rPr>
        <w:t>上发布</w:t>
      </w:r>
      <w:r>
        <w:rPr>
          <w:rFonts w:hint="eastAsia" w:ascii="宋体" w:hAnsi="宋体" w:cs="宋体"/>
          <w:color w:val="FF0000"/>
          <w:spacing w:val="5"/>
          <w:sz w:val="21"/>
          <w:szCs w:val="21"/>
          <w:highlight w:val="none"/>
          <w:u w:val="none" w:color="auto"/>
          <w:lang w:eastAsia="zh-CN"/>
        </w:rPr>
        <w:t>。</w:t>
      </w:r>
    </w:p>
    <w:p w14:paraId="428BAD5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2" w:firstLineChars="200"/>
        <w:jc w:val="both"/>
        <w:textAlignment w:val="baseline"/>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9.</w:t>
      </w:r>
      <w:r>
        <w:rPr>
          <w:rFonts w:hint="eastAsia" w:ascii="宋体" w:hAnsi="宋体" w:eastAsia="宋体" w:cs="宋体"/>
          <w:spacing w:val="-66"/>
          <w:sz w:val="21"/>
          <w:szCs w:val="21"/>
          <w:highlight w:val="none"/>
        </w:rPr>
        <w:t xml:space="preserve"> </w:t>
      </w:r>
      <w:r>
        <w:rPr>
          <w:rFonts w:hint="eastAsia" w:ascii="宋体" w:hAnsi="宋体" w:eastAsia="宋体" w:cs="宋体"/>
          <w:b/>
          <w:bCs/>
          <w:spacing w:val="-10"/>
          <w:sz w:val="21"/>
          <w:szCs w:val="21"/>
          <w:highlight w:val="none"/>
        </w:rPr>
        <w:t>监督信息</w:t>
      </w:r>
    </w:p>
    <w:p w14:paraId="541D425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cs="宋体"/>
          <w:color w:val="FF0000"/>
          <w:spacing w:val="1"/>
          <w:sz w:val="21"/>
          <w:szCs w:val="21"/>
          <w:highlight w:val="none"/>
          <w:u w:val="single" w:color="auto"/>
          <w:lang w:eastAsia="zh-CN"/>
        </w:rPr>
      </w:pPr>
      <w:r>
        <w:rPr>
          <w:rFonts w:hint="eastAsia" w:ascii="宋体" w:hAnsi="宋体" w:eastAsia="宋体" w:cs="宋体"/>
          <w:spacing w:val="1"/>
          <w:sz w:val="21"/>
          <w:szCs w:val="21"/>
          <w:highlight w:val="none"/>
        </w:rPr>
        <w:t>1.监督部门：</w:t>
      </w:r>
      <w:r>
        <w:rPr>
          <w:rFonts w:hint="eastAsia" w:ascii="宋体" w:hAnsi="宋体" w:cs="宋体"/>
          <w:color w:val="FF0000"/>
          <w:spacing w:val="1"/>
          <w:sz w:val="21"/>
          <w:szCs w:val="21"/>
          <w:highlight w:val="none"/>
          <w:u w:val="single" w:color="auto"/>
          <w:lang w:eastAsia="zh-CN"/>
        </w:rPr>
        <w:t>营口市老边区发展和改革局、营口市老边区建设工程招标投标管理办公</w:t>
      </w:r>
    </w:p>
    <w:p w14:paraId="520DED4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FF0000"/>
          <w:sz w:val="21"/>
          <w:szCs w:val="21"/>
          <w:highlight w:val="none"/>
        </w:rPr>
      </w:pPr>
      <w:r>
        <w:rPr>
          <w:rFonts w:hint="eastAsia" w:ascii="宋体" w:hAnsi="宋体" w:cs="宋体"/>
          <w:color w:val="FF0000"/>
          <w:spacing w:val="1"/>
          <w:sz w:val="21"/>
          <w:szCs w:val="21"/>
          <w:highlight w:val="none"/>
          <w:u w:val="single" w:color="auto"/>
          <w:lang w:eastAsia="zh-CN"/>
        </w:rPr>
        <w:t>室，负责人：孙主任、谷主任，联系方式：0417-3922280。</w:t>
      </w:r>
    </w:p>
    <w:p w14:paraId="40347F3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2.招标负责人：</w:t>
      </w:r>
      <w:r>
        <w:rPr>
          <w:rFonts w:hint="eastAsia" w:ascii="宋体" w:hAnsi="宋体" w:cs="宋体"/>
          <w:spacing w:val="2"/>
          <w:sz w:val="21"/>
          <w:szCs w:val="21"/>
          <w:highlight w:val="none"/>
          <w:u w:val="single"/>
          <w:lang w:eastAsia="zh-CN"/>
        </w:rPr>
        <w:t>刘桂君、王海欧、李聪</w:t>
      </w:r>
      <w:r>
        <w:rPr>
          <w:rFonts w:hint="eastAsia" w:ascii="宋体" w:hAnsi="宋体" w:eastAsia="宋体" w:cs="宋体"/>
          <w:spacing w:val="2"/>
          <w:sz w:val="21"/>
          <w:szCs w:val="21"/>
          <w:highlight w:val="none"/>
        </w:rPr>
        <w:t>，联系方式：</w:t>
      </w:r>
      <w:r>
        <w:rPr>
          <w:rFonts w:hint="eastAsia" w:ascii="宋体" w:hAnsi="宋体" w:cs="宋体"/>
          <w:spacing w:val="2"/>
          <w:sz w:val="21"/>
          <w:szCs w:val="21"/>
          <w:highlight w:val="none"/>
          <w:u w:val="single"/>
          <w:lang w:eastAsia="zh-CN"/>
        </w:rPr>
        <w:t>024-23883380</w:t>
      </w:r>
      <w:r>
        <w:rPr>
          <w:rFonts w:hint="eastAsia" w:ascii="宋体" w:hAnsi="宋体" w:eastAsia="宋体" w:cs="宋体"/>
          <w:spacing w:val="-41"/>
          <w:sz w:val="21"/>
          <w:szCs w:val="21"/>
          <w:highlight w:val="none"/>
          <w:u w:val="single"/>
        </w:rPr>
        <w:t xml:space="preserve"> </w:t>
      </w:r>
      <w:r>
        <w:rPr>
          <w:rFonts w:hint="eastAsia" w:ascii="宋体" w:hAnsi="宋体" w:eastAsia="宋体" w:cs="宋体"/>
          <w:spacing w:val="1"/>
          <w:sz w:val="21"/>
          <w:szCs w:val="21"/>
          <w:highlight w:val="none"/>
        </w:rPr>
        <w:t>。</w:t>
      </w:r>
    </w:p>
    <w:p w14:paraId="18B40C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jc w:val="left"/>
        <w:textAlignment w:val="baseline"/>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10.联系方式</w:t>
      </w:r>
    </w:p>
    <w:p w14:paraId="206E06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15"/>
          <w:sz w:val="21"/>
          <w:szCs w:val="21"/>
          <w:highlight w:val="none"/>
          <w:u w:val="single" w:color="auto"/>
          <w:lang w:eastAsia="zh-CN"/>
        </w:rPr>
      </w:pPr>
      <w:r>
        <w:rPr>
          <w:rFonts w:hint="eastAsia" w:ascii="宋体" w:hAnsi="宋体" w:eastAsia="宋体" w:cs="宋体"/>
          <w:spacing w:val="15"/>
          <w:sz w:val="21"/>
          <w:szCs w:val="21"/>
          <w:highlight w:val="none"/>
        </w:rPr>
        <w:t>招标人</w:t>
      </w:r>
      <w:r>
        <w:rPr>
          <w:rFonts w:hint="eastAsia" w:cs="宋体"/>
          <w:spacing w:val="15"/>
          <w:sz w:val="21"/>
          <w:szCs w:val="21"/>
          <w:highlight w:val="none"/>
          <w:lang w:eastAsia="zh-CN"/>
        </w:rPr>
        <w:t>：</w:t>
      </w:r>
      <w:r>
        <w:rPr>
          <w:rFonts w:hint="eastAsia" w:ascii="宋体" w:hAnsi="宋体" w:cs="宋体"/>
          <w:spacing w:val="15"/>
          <w:sz w:val="21"/>
          <w:szCs w:val="21"/>
          <w:highlight w:val="none"/>
          <w:u w:val="single" w:color="auto"/>
          <w:lang w:eastAsia="zh-CN"/>
        </w:rPr>
        <w:t>营口市老边区城市建设投资发展有限公司</w:t>
      </w:r>
    </w:p>
    <w:p w14:paraId="2792674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left"/>
        <w:textAlignment w:val="baseline"/>
        <w:rPr>
          <w:rFonts w:hint="eastAsia" w:ascii="宋体" w:hAnsi="宋体" w:eastAsia="宋体" w:cs="宋体"/>
          <w:spacing w:val="7"/>
          <w:sz w:val="21"/>
          <w:szCs w:val="21"/>
          <w:highlight w:val="none"/>
        </w:rPr>
      </w:pPr>
      <w:r>
        <w:rPr>
          <w:rFonts w:hint="eastAsia" w:ascii="宋体" w:hAnsi="宋体" w:eastAsia="宋体" w:cs="宋体"/>
          <w:spacing w:val="20"/>
          <w:sz w:val="21"/>
          <w:szCs w:val="21"/>
          <w:highlight w:val="none"/>
        </w:rPr>
        <w:t>地 址</w:t>
      </w:r>
      <w:r>
        <w:rPr>
          <w:rFonts w:hint="eastAsia" w:cs="宋体"/>
          <w:spacing w:val="20"/>
          <w:sz w:val="21"/>
          <w:szCs w:val="21"/>
          <w:highlight w:val="none"/>
          <w:lang w:eastAsia="zh-CN"/>
        </w:rPr>
        <w:t>：</w:t>
      </w:r>
      <w:r>
        <w:rPr>
          <w:rFonts w:hint="eastAsia" w:cs="宋体"/>
          <w:spacing w:val="20"/>
          <w:sz w:val="21"/>
          <w:szCs w:val="21"/>
          <w:highlight w:val="none"/>
          <w:u w:val="single"/>
          <w:lang w:eastAsia="zh-CN"/>
        </w:rPr>
        <w:t>辽宁省营口市老边区新营路北5号</w:t>
      </w:r>
      <w:r>
        <w:rPr>
          <w:rFonts w:hint="eastAsia" w:cs="宋体"/>
          <w:spacing w:val="20"/>
          <w:sz w:val="21"/>
          <w:szCs w:val="21"/>
          <w:highlight w:val="none"/>
          <w:u w:val="single"/>
          <w:lang w:val="en-US" w:eastAsia="zh-CN"/>
        </w:rPr>
        <w:t>-</w:t>
      </w:r>
      <w:r>
        <w:rPr>
          <w:rFonts w:hint="eastAsia" w:cs="宋体"/>
          <w:spacing w:val="20"/>
          <w:sz w:val="21"/>
          <w:szCs w:val="21"/>
          <w:highlight w:val="none"/>
          <w:u w:val="single"/>
          <w:lang w:eastAsia="zh-CN"/>
        </w:rPr>
        <w:t>甲1号、甲2号</w:t>
      </w:r>
    </w:p>
    <w:p w14:paraId="4DC9B9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300"/>
        <w:jc w:val="left"/>
        <w:textAlignment w:val="baseline"/>
        <w:rPr>
          <w:rFonts w:hint="eastAsia" w:ascii="宋体" w:hAnsi="宋体" w:eastAsia="宋体" w:cs="宋体"/>
          <w:spacing w:val="7"/>
          <w:sz w:val="21"/>
          <w:szCs w:val="21"/>
          <w:highlight w:val="none"/>
          <w:u w:val="single" w:color="auto"/>
          <w:lang w:eastAsia="zh-CN"/>
        </w:rPr>
      </w:pPr>
      <w:r>
        <w:rPr>
          <w:rFonts w:hint="eastAsia" w:ascii="宋体" w:hAnsi="宋体" w:eastAsia="宋体" w:cs="宋体"/>
          <w:spacing w:val="-14"/>
          <w:sz w:val="21"/>
          <w:szCs w:val="21"/>
          <w:highlight w:val="none"/>
        </w:rPr>
        <w:t>邮 编</w:t>
      </w:r>
      <w:r>
        <w:rPr>
          <w:rFonts w:hint="eastAsia" w:ascii="宋体" w:hAnsi="宋体" w:eastAsia="宋体" w:cs="宋体"/>
          <w:spacing w:val="12"/>
          <w:sz w:val="21"/>
          <w:szCs w:val="21"/>
          <w:highlight w:val="none"/>
        </w:rPr>
        <w:t xml:space="preserve"> </w:t>
      </w:r>
      <w:r>
        <w:rPr>
          <w:rFonts w:hint="eastAsia" w:ascii="宋体" w:hAnsi="宋体" w:eastAsia="宋体" w:cs="宋体"/>
          <w:spacing w:val="-14"/>
          <w:sz w:val="21"/>
          <w:szCs w:val="21"/>
          <w:highlight w:val="none"/>
        </w:rPr>
        <w:t>：</w:t>
      </w:r>
      <w:r>
        <w:rPr>
          <w:rFonts w:hint="eastAsia" w:ascii="宋体" w:hAnsi="宋体" w:eastAsia="宋体" w:cs="宋体"/>
          <w:spacing w:val="7"/>
          <w:sz w:val="21"/>
          <w:szCs w:val="21"/>
          <w:highlight w:val="none"/>
        </w:rPr>
        <w:t xml:space="preserve"> </w:t>
      </w:r>
      <w:r>
        <w:rPr>
          <w:rFonts w:hint="eastAsia" w:ascii="宋体" w:hAnsi="宋体" w:eastAsia="宋体" w:cs="宋体"/>
          <w:spacing w:val="-88"/>
          <w:sz w:val="21"/>
          <w:szCs w:val="21"/>
          <w:highlight w:val="none"/>
          <w:u w:val="single" w:color="auto"/>
        </w:rPr>
        <w:t xml:space="preserve"> </w:t>
      </w:r>
      <w:r>
        <w:rPr>
          <w:rFonts w:hint="eastAsia" w:ascii="宋体" w:hAnsi="宋体" w:cs="宋体"/>
          <w:kern w:val="0"/>
          <w:szCs w:val="21"/>
          <w:highlight w:val="none"/>
          <w:u w:val="single" w:color="auto"/>
          <w:lang w:val="en-US" w:eastAsia="zh-CN"/>
        </w:rPr>
        <w:t>/</w:t>
      </w:r>
    </w:p>
    <w:p w14:paraId="5EF65266">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jc w:val="left"/>
        <w:textAlignment w:val="baseline"/>
        <w:rPr>
          <w:rFonts w:hint="eastAsia" w:ascii="宋体" w:hAnsi="宋体" w:eastAsia="宋体" w:cs="宋体"/>
          <w:spacing w:val="7"/>
          <w:sz w:val="21"/>
          <w:szCs w:val="21"/>
          <w:highlight w:val="none"/>
          <w:u w:val="single" w:color="auto"/>
        </w:rPr>
      </w:pPr>
      <w:r>
        <w:rPr>
          <w:rFonts w:hint="eastAsia" w:ascii="宋体" w:hAnsi="宋体" w:eastAsia="宋体" w:cs="宋体"/>
          <w:spacing w:val="7"/>
          <w:sz w:val="21"/>
          <w:szCs w:val="21"/>
          <w:highlight w:val="none"/>
        </w:rPr>
        <w:t>联系人：</w:t>
      </w:r>
      <w:r>
        <w:rPr>
          <w:rFonts w:hint="eastAsia" w:ascii="宋体" w:hAnsi="宋体" w:eastAsia="宋体" w:cs="宋体"/>
          <w:spacing w:val="7"/>
          <w:sz w:val="21"/>
          <w:szCs w:val="21"/>
          <w:highlight w:val="none"/>
          <w:u w:val="single" w:color="auto"/>
        </w:rPr>
        <w:t>任福国</w:t>
      </w:r>
    </w:p>
    <w:p w14:paraId="084913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rPr>
        <w:t>电 话 ：</w:t>
      </w:r>
      <w:r>
        <w:rPr>
          <w:rFonts w:hint="eastAsia" w:ascii="宋体" w:hAnsi="宋体" w:cs="宋体"/>
          <w:spacing w:val="-1"/>
          <w:sz w:val="21"/>
          <w:szCs w:val="21"/>
          <w:highlight w:val="none"/>
          <w:u w:val="single"/>
          <w:lang w:eastAsia="zh-CN"/>
        </w:rPr>
        <w:t>0417-3535100</w:t>
      </w:r>
    </w:p>
    <w:p w14:paraId="374D702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8"/>
          <w:position w:val="1"/>
          <w:sz w:val="21"/>
          <w:szCs w:val="21"/>
          <w:highlight w:val="none"/>
        </w:rPr>
        <w:t>传 真</w:t>
      </w:r>
      <w:r>
        <w:rPr>
          <w:rFonts w:hint="eastAsia" w:ascii="宋体" w:hAnsi="宋体" w:eastAsia="宋体" w:cs="宋体"/>
          <w:spacing w:val="20"/>
          <w:position w:val="1"/>
          <w:sz w:val="21"/>
          <w:szCs w:val="21"/>
          <w:highlight w:val="none"/>
        </w:rPr>
        <w:t xml:space="preserve"> </w:t>
      </w:r>
      <w:r>
        <w:rPr>
          <w:rFonts w:hint="eastAsia" w:ascii="宋体" w:hAnsi="宋体" w:eastAsia="宋体" w:cs="宋体"/>
          <w:spacing w:val="-8"/>
          <w:position w:val="1"/>
          <w:sz w:val="21"/>
          <w:szCs w:val="21"/>
          <w:highlight w:val="none"/>
        </w:rPr>
        <w:t xml:space="preserve">： </w:t>
      </w:r>
      <w:r>
        <w:rPr>
          <w:rFonts w:hint="eastAsia" w:ascii="宋体" w:hAnsi="宋体" w:eastAsia="宋体" w:cs="宋体"/>
          <w:spacing w:val="-89"/>
          <w:position w:val="1"/>
          <w:sz w:val="21"/>
          <w:szCs w:val="21"/>
          <w:highlight w:val="none"/>
          <w:u w:val="single" w:color="auto"/>
        </w:rPr>
        <w:t xml:space="preserve"> </w:t>
      </w:r>
      <w:r>
        <w:rPr>
          <w:rFonts w:hint="eastAsia" w:ascii="宋体" w:hAnsi="宋体" w:eastAsia="宋体" w:cs="宋体"/>
          <w:spacing w:val="-8"/>
          <w:position w:val="1"/>
          <w:sz w:val="21"/>
          <w:szCs w:val="21"/>
          <w:highlight w:val="none"/>
          <w:u w:val="single" w:color="auto"/>
        </w:rPr>
        <w:t>/</w:t>
      </w:r>
      <w:r>
        <w:rPr>
          <w:rFonts w:hint="eastAsia" w:ascii="宋体" w:hAnsi="宋体" w:eastAsia="宋体" w:cs="宋体"/>
          <w:spacing w:val="4"/>
          <w:sz w:val="21"/>
          <w:szCs w:val="21"/>
          <w:highlight w:val="none"/>
        </w:rPr>
        <w:t xml:space="preserve">                    </w:t>
      </w:r>
    </w:p>
    <w:p w14:paraId="0C0849A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position w:val="4"/>
          <w:sz w:val="21"/>
          <w:szCs w:val="21"/>
          <w:highlight w:val="none"/>
        </w:rPr>
        <w:t>电子邮件</w:t>
      </w:r>
      <w:r>
        <w:rPr>
          <w:rFonts w:hint="eastAsia" w:cs="宋体"/>
          <w:position w:val="4"/>
          <w:sz w:val="21"/>
          <w:szCs w:val="21"/>
          <w:highlight w:val="none"/>
          <w:lang w:eastAsia="zh-CN"/>
        </w:rPr>
        <w:t>：</w:t>
      </w:r>
      <w:r>
        <w:rPr>
          <w:rFonts w:hint="eastAsia" w:ascii="宋体" w:hAnsi="宋体" w:eastAsia="宋体" w:cs="宋体"/>
          <w:spacing w:val="-87"/>
          <w:position w:val="4"/>
          <w:sz w:val="21"/>
          <w:szCs w:val="21"/>
          <w:highlight w:val="none"/>
          <w:u w:val="single" w:color="auto"/>
        </w:rPr>
        <w:t xml:space="preserve"> </w:t>
      </w:r>
      <w:r>
        <w:rPr>
          <w:rFonts w:hint="eastAsia" w:ascii="宋体" w:hAnsi="宋体" w:eastAsia="宋体" w:cs="宋体"/>
          <w:position w:val="4"/>
          <w:sz w:val="21"/>
          <w:szCs w:val="21"/>
          <w:highlight w:val="none"/>
          <w:u w:val="single" w:color="auto"/>
        </w:rPr>
        <w:t>/</w:t>
      </w:r>
      <w:r>
        <w:rPr>
          <w:rFonts w:hint="eastAsia" w:ascii="宋体" w:hAnsi="宋体" w:eastAsia="宋体" w:cs="宋体"/>
          <w:spacing w:val="2"/>
          <w:sz w:val="21"/>
          <w:szCs w:val="21"/>
          <w:highlight w:val="none"/>
        </w:rPr>
        <w:t xml:space="preserve">                                      </w:t>
      </w:r>
      <w:r>
        <w:rPr>
          <w:rFonts w:hint="eastAsia" w:ascii="宋体" w:hAnsi="宋体" w:eastAsia="宋体" w:cs="宋体"/>
          <w:spacing w:val="1"/>
          <w:sz w:val="21"/>
          <w:szCs w:val="21"/>
          <w:highlight w:val="none"/>
        </w:rPr>
        <w:t xml:space="preserve">       </w:t>
      </w:r>
    </w:p>
    <w:p w14:paraId="1E9AC81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5"/>
          <w:sz w:val="21"/>
          <w:szCs w:val="21"/>
          <w:highlight w:val="none"/>
        </w:rPr>
      </w:pPr>
    </w:p>
    <w:p w14:paraId="3EFBD2D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15"/>
          <w:sz w:val="21"/>
          <w:szCs w:val="21"/>
          <w:highlight w:val="none"/>
          <w:u w:val="single" w:color="auto"/>
          <w:lang w:eastAsia="zh-CN"/>
        </w:rPr>
      </w:pPr>
      <w:r>
        <w:rPr>
          <w:rFonts w:hint="eastAsia" w:ascii="宋体" w:hAnsi="宋体" w:eastAsia="宋体" w:cs="宋体"/>
          <w:spacing w:val="15"/>
          <w:sz w:val="21"/>
          <w:szCs w:val="21"/>
          <w:highlight w:val="none"/>
        </w:rPr>
        <w:t>招标代理机构</w:t>
      </w:r>
      <w:r>
        <w:rPr>
          <w:rFonts w:hint="eastAsia" w:cs="宋体"/>
          <w:spacing w:val="15"/>
          <w:sz w:val="21"/>
          <w:szCs w:val="21"/>
          <w:highlight w:val="none"/>
          <w:lang w:eastAsia="zh-CN"/>
        </w:rPr>
        <w:t>：</w:t>
      </w:r>
      <w:r>
        <w:rPr>
          <w:rFonts w:hint="eastAsia" w:ascii="宋体" w:hAnsi="宋体" w:cs="宋体"/>
          <w:spacing w:val="15"/>
          <w:sz w:val="21"/>
          <w:szCs w:val="21"/>
          <w:highlight w:val="none"/>
          <w:u w:val="single" w:color="auto"/>
          <w:lang w:eastAsia="zh-CN"/>
        </w:rPr>
        <w:t>乔泰工程管理集团有限公司</w:t>
      </w:r>
    </w:p>
    <w:p w14:paraId="2A33713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left"/>
        <w:textAlignment w:val="baseline"/>
        <w:rPr>
          <w:rFonts w:hint="eastAsia" w:ascii="宋体" w:hAnsi="宋体" w:eastAsia="宋体" w:cs="宋体"/>
          <w:spacing w:val="2"/>
          <w:sz w:val="21"/>
          <w:szCs w:val="21"/>
          <w:highlight w:val="none"/>
          <w:lang w:eastAsia="zh-CN"/>
        </w:rPr>
      </w:pPr>
      <w:r>
        <w:rPr>
          <w:rFonts w:hint="eastAsia" w:ascii="宋体" w:hAnsi="宋体" w:eastAsia="宋体" w:cs="宋体"/>
          <w:spacing w:val="20"/>
          <w:position w:val="-1"/>
          <w:sz w:val="21"/>
          <w:szCs w:val="21"/>
          <w:highlight w:val="none"/>
        </w:rPr>
        <w:t xml:space="preserve">地 </w:t>
      </w:r>
      <w:r>
        <w:rPr>
          <w:rFonts w:hint="eastAsia" w:ascii="宋体" w:hAnsi="宋体" w:eastAsia="宋体" w:cs="宋体"/>
          <w:spacing w:val="19"/>
          <w:position w:val="-1"/>
          <w:sz w:val="21"/>
          <w:szCs w:val="21"/>
          <w:highlight w:val="none"/>
        </w:rPr>
        <w:t>址</w:t>
      </w:r>
      <w:r>
        <w:rPr>
          <w:rFonts w:hint="eastAsia" w:cs="宋体"/>
          <w:spacing w:val="19"/>
          <w:position w:val="-1"/>
          <w:sz w:val="21"/>
          <w:szCs w:val="21"/>
          <w:highlight w:val="none"/>
          <w:lang w:eastAsia="zh-CN"/>
        </w:rPr>
        <w:t>：</w:t>
      </w:r>
      <w:r>
        <w:rPr>
          <w:rFonts w:hint="eastAsia" w:ascii="宋体" w:hAnsi="宋体" w:cs="宋体"/>
          <w:spacing w:val="19"/>
          <w:position w:val="-1"/>
          <w:sz w:val="21"/>
          <w:szCs w:val="21"/>
          <w:highlight w:val="none"/>
          <w:u w:val="single" w:color="auto"/>
          <w:lang w:eastAsia="zh-CN"/>
        </w:rPr>
        <w:t>辽宁省沈阳市浑南区高歌路5号</w:t>
      </w:r>
    </w:p>
    <w:p w14:paraId="0AAC99B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jc w:val="left"/>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4"/>
          <w:sz w:val="21"/>
          <w:szCs w:val="21"/>
          <w:highlight w:val="none"/>
        </w:rPr>
        <w:t>邮 编</w:t>
      </w:r>
      <w:r>
        <w:rPr>
          <w:rFonts w:hint="eastAsia" w:ascii="宋体" w:hAnsi="宋体" w:eastAsia="宋体" w:cs="宋体"/>
          <w:spacing w:val="15"/>
          <w:sz w:val="21"/>
          <w:szCs w:val="21"/>
          <w:highlight w:val="none"/>
        </w:rPr>
        <w:t xml:space="preserve"> </w:t>
      </w:r>
      <w:r>
        <w:rPr>
          <w:rFonts w:hint="eastAsia" w:ascii="宋体" w:hAnsi="宋体" w:eastAsia="宋体" w:cs="宋体"/>
          <w:spacing w:val="-14"/>
          <w:sz w:val="21"/>
          <w:szCs w:val="21"/>
          <w:highlight w:val="none"/>
        </w:rPr>
        <w:t>：</w:t>
      </w:r>
      <w:r>
        <w:rPr>
          <w:rFonts w:hint="eastAsia" w:ascii="宋体" w:hAnsi="宋体" w:eastAsia="宋体" w:cs="宋体"/>
          <w:spacing w:val="-63"/>
          <w:sz w:val="21"/>
          <w:szCs w:val="21"/>
          <w:highlight w:val="none"/>
          <w:u w:val="single" w:color="auto"/>
        </w:rPr>
        <w:t xml:space="preserve"> </w:t>
      </w:r>
      <w:r>
        <w:rPr>
          <w:rFonts w:hint="eastAsia" w:ascii="宋体" w:hAnsi="宋体" w:cs="宋体"/>
          <w:kern w:val="0"/>
          <w:szCs w:val="21"/>
          <w:highlight w:val="none"/>
          <w:u w:val="single" w:color="auto"/>
        </w:rPr>
        <w:t>110000</w:t>
      </w:r>
    </w:p>
    <w:p w14:paraId="70B3D1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联系人</w:t>
      </w:r>
      <w:r>
        <w:rPr>
          <w:rFonts w:hint="eastAsia" w:cs="宋体"/>
          <w:spacing w:val="7"/>
          <w:sz w:val="21"/>
          <w:szCs w:val="21"/>
          <w:highlight w:val="none"/>
          <w:lang w:eastAsia="zh-CN"/>
        </w:rPr>
        <w:t>：</w:t>
      </w:r>
      <w:r>
        <w:rPr>
          <w:rFonts w:hint="eastAsia" w:ascii="宋体" w:hAnsi="宋体" w:cs="宋体"/>
          <w:spacing w:val="2"/>
          <w:sz w:val="21"/>
          <w:szCs w:val="21"/>
          <w:highlight w:val="none"/>
          <w:u w:val="single"/>
          <w:lang w:eastAsia="zh-CN"/>
        </w:rPr>
        <w:t>刘桂君、王海欧、李聪</w:t>
      </w:r>
    </w:p>
    <w:p w14:paraId="2ED1CED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rFonts w:hint="default" w:ascii="宋体" w:hAnsi="宋体" w:eastAsia="宋体" w:cs="宋体"/>
          <w:spacing w:val="-2"/>
          <w:sz w:val="21"/>
          <w:szCs w:val="21"/>
          <w:highlight w:val="none"/>
          <w:u w:val="single"/>
          <w:lang w:val="en-US" w:eastAsia="zh-CN"/>
        </w:rPr>
      </w:pPr>
      <w:r>
        <w:rPr>
          <w:rFonts w:hint="eastAsia" w:ascii="宋体" w:hAnsi="宋体" w:eastAsia="宋体" w:cs="宋体"/>
          <w:spacing w:val="-2"/>
          <w:sz w:val="21"/>
          <w:szCs w:val="21"/>
          <w:highlight w:val="none"/>
        </w:rPr>
        <w:t>电 话</w:t>
      </w:r>
      <w:r>
        <w:rPr>
          <w:rFonts w:hint="eastAsia" w:cs="宋体"/>
          <w:spacing w:val="-2"/>
          <w:sz w:val="21"/>
          <w:szCs w:val="21"/>
          <w:highlight w:val="none"/>
          <w:lang w:eastAsia="zh-CN"/>
        </w:rPr>
        <w:t>：</w:t>
      </w:r>
      <w:r>
        <w:rPr>
          <w:rFonts w:hint="eastAsia" w:ascii="宋体" w:hAnsi="宋体" w:cs="宋体"/>
          <w:spacing w:val="2"/>
          <w:sz w:val="21"/>
          <w:szCs w:val="21"/>
          <w:highlight w:val="none"/>
          <w:u w:val="single"/>
          <w:lang w:eastAsia="zh-CN"/>
        </w:rPr>
        <w:t>024-23883380</w:t>
      </w:r>
      <w:r>
        <w:rPr>
          <w:rFonts w:hint="eastAsia" w:ascii="宋体" w:hAnsi="宋体" w:cs="宋体"/>
          <w:spacing w:val="2"/>
          <w:sz w:val="21"/>
          <w:szCs w:val="21"/>
          <w:highlight w:val="none"/>
          <w:u w:val="single"/>
          <w:lang w:val="en-US" w:eastAsia="zh-CN"/>
        </w:rPr>
        <w:t>-8017</w:t>
      </w:r>
    </w:p>
    <w:p w14:paraId="67C7CD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388"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8"/>
          <w:position w:val="-1"/>
          <w:sz w:val="21"/>
          <w:szCs w:val="21"/>
          <w:highlight w:val="none"/>
        </w:rPr>
        <w:t>传 真</w:t>
      </w:r>
      <w:r>
        <w:rPr>
          <w:rFonts w:hint="eastAsia" w:ascii="宋体" w:hAnsi="宋体" w:eastAsia="宋体" w:cs="宋体"/>
          <w:spacing w:val="-17"/>
          <w:position w:val="-1"/>
          <w:sz w:val="21"/>
          <w:szCs w:val="21"/>
          <w:highlight w:val="none"/>
        </w:rPr>
        <w:t xml:space="preserve"> </w:t>
      </w:r>
      <w:r>
        <w:rPr>
          <w:rFonts w:hint="eastAsia" w:ascii="宋体" w:hAnsi="宋体" w:eastAsia="宋体" w:cs="宋体"/>
          <w:spacing w:val="-8"/>
          <w:position w:val="-1"/>
          <w:sz w:val="21"/>
          <w:szCs w:val="21"/>
          <w:highlight w:val="none"/>
        </w:rPr>
        <w:t>：</w:t>
      </w:r>
      <w:r>
        <w:rPr>
          <w:rFonts w:hint="eastAsia" w:ascii="宋体" w:hAnsi="宋体" w:eastAsia="宋体" w:cs="宋体"/>
          <w:spacing w:val="-89"/>
          <w:position w:val="1"/>
          <w:sz w:val="21"/>
          <w:szCs w:val="21"/>
          <w:highlight w:val="none"/>
          <w:u w:val="single" w:color="auto"/>
        </w:rPr>
        <w:t xml:space="preserve"> </w:t>
      </w:r>
      <w:r>
        <w:rPr>
          <w:rFonts w:hint="eastAsia" w:ascii="宋体" w:hAnsi="宋体" w:eastAsia="宋体" w:cs="宋体"/>
          <w:spacing w:val="-8"/>
          <w:position w:val="1"/>
          <w:sz w:val="21"/>
          <w:szCs w:val="21"/>
          <w:highlight w:val="none"/>
          <w:u w:val="single" w:color="auto"/>
        </w:rPr>
        <w:t>/</w:t>
      </w:r>
    </w:p>
    <w:p w14:paraId="4513452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电子邮件</w:t>
      </w:r>
      <w:r>
        <w:rPr>
          <w:rFonts w:hint="eastAsia" w:cs="宋体"/>
          <w:position w:val="-1"/>
          <w:sz w:val="21"/>
          <w:szCs w:val="21"/>
          <w:highlight w:val="none"/>
          <w:lang w:eastAsia="zh-CN"/>
        </w:rPr>
        <w:t>：</w:t>
      </w:r>
      <w:r>
        <w:rPr>
          <w:rFonts w:hint="eastAsia" w:ascii="宋体" w:hAnsi="宋体" w:cs="宋体"/>
          <w:position w:val="-1"/>
          <w:sz w:val="21"/>
          <w:szCs w:val="21"/>
          <w:highlight w:val="none"/>
          <w:u w:val="single"/>
          <w:lang w:eastAsia="zh-CN"/>
        </w:rPr>
        <w:t>lnqt2018@163.com</w:t>
      </w:r>
    </w:p>
    <w:p w14:paraId="27D411C8">
      <w:pPr>
        <w:ind w:firstLine="436" w:firstLineChars="200"/>
        <w:rPr>
          <w:highlight w:val="none"/>
        </w:rPr>
      </w:pPr>
      <w:r>
        <w:rPr>
          <w:rFonts w:hint="eastAsia" w:ascii="宋体" w:hAnsi="宋体" w:eastAsia="宋体" w:cs="宋体"/>
          <w:spacing w:val="4"/>
          <w:sz w:val="21"/>
          <w:szCs w:val="21"/>
          <w:highlight w:val="none"/>
          <w:lang w:val="en-US" w:eastAsia="zh-CN"/>
        </w:rPr>
        <w:t>202</w:t>
      </w:r>
      <w:r>
        <w:rPr>
          <w:rFonts w:hint="eastAsia" w:ascii="宋体" w:hAnsi="宋体" w:cs="宋体"/>
          <w:spacing w:val="4"/>
          <w:sz w:val="21"/>
          <w:szCs w:val="21"/>
          <w:highlight w:val="none"/>
          <w:lang w:val="en-US" w:eastAsia="zh-CN"/>
        </w:rPr>
        <w:t>6</w:t>
      </w:r>
      <w:r>
        <w:rPr>
          <w:rFonts w:hint="eastAsia" w:ascii="宋体" w:hAnsi="宋体" w:eastAsia="宋体" w:cs="宋体"/>
          <w:spacing w:val="4"/>
          <w:sz w:val="21"/>
          <w:szCs w:val="21"/>
          <w:highlight w:val="none"/>
        </w:rPr>
        <w:t>年</w:t>
      </w:r>
      <w:r>
        <w:rPr>
          <w:rFonts w:hint="eastAsia" w:cs="宋体"/>
          <w:spacing w:val="4"/>
          <w:sz w:val="21"/>
          <w:szCs w:val="21"/>
          <w:highlight w:val="none"/>
          <w:lang w:val="en-US" w:eastAsia="zh-CN"/>
        </w:rPr>
        <w:t>04</w:t>
      </w:r>
      <w:r>
        <w:rPr>
          <w:rFonts w:hint="eastAsia" w:ascii="宋体" w:hAnsi="宋体" w:eastAsia="宋体" w:cs="宋体"/>
          <w:spacing w:val="4"/>
          <w:sz w:val="21"/>
          <w:szCs w:val="21"/>
          <w:highlight w:val="none"/>
        </w:rPr>
        <w:t>月</w:t>
      </w:r>
      <w:r>
        <w:rPr>
          <w:rFonts w:hint="eastAsia" w:cs="宋体"/>
          <w:spacing w:val="4"/>
          <w:sz w:val="21"/>
          <w:szCs w:val="21"/>
          <w:highlight w:val="none"/>
          <w:lang w:val="en-US" w:eastAsia="zh-CN"/>
        </w:rPr>
        <w:t>16</w:t>
      </w:r>
      <w:r>
        <w:rPr>
          <w:rFonts w:hint="eastAsia" w:ascii="宋体" w:hAnsi="宋体" w:eastAsia="宋体" w:cs="宋体"/>
          <w:spacing w:val="4"/>
          <w:sz w:val="21"/>
          <w:szCs w:val="21"/>
          <w:highlight w:val="none"/>
        </w:rPr>
        <w:t>日</w:t>
      </w:r>
    </w:p>
    <w:p w14:paraId="0CD0DE2C">
      <w:pPr>
        <w:jc w:val="left"/>
        <w:rPr>
          <w:rFonts w:hint="eastAsia" w:ascii="宋体" w:hAnsi="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B24288">
      <w:pPr>
        <w:bidi w:val="0"/>
      </w:pPr>
      <w:bookmarkStart w:id="5" w:name="_Toc152265814"/>
    </w:p>
    <w:p w14:paraId="1CCAA8FC">
      <w:pPr>
        <w:bidi w:val="0"/>
      </w:pPr>
    </w:p>
    <w:p w14:paraId="66A0A4E8">
      <w:pPr>
        <w:bidi w:val="0"/>
      </w:pPr>
    </w:p>
    <w:p w14:paraId="767EC918">
      <w:pPr>
        <w:bidi w:val="0"/>
      </w:pPr>
    </w:p>
    <w:p w14:paraId="1E4EA780">
      <w:pPr>
        <w:bidi w:val="0"/>
      </w:pPr>
    </w:p>
    <w:p w14:paraId="6546CA26">
      <w:pPr>
        <w:bidi w:val="0"/>
      </w:pPr>
    </w:p>
    <w:p w14:paraId="3F8BB6E1">
      <w:pPr>
        <w:bidi w:val="0"/>
      </w:pPr>
    </w:p>
    <w:p w14:paraId="152F43B1">
      <w:pPr>
        <w:bidi w:val="0"/>
      </w:pPr>
    </w:p>
    <w:p w14:paraId="64EB244D">
      <w:pPr>
        <w:bidi w:val="0"/>
      </w:pPr>
    </w:p>
    <w:p w14:paraId="4CF67101">
      <w:pPr>
        <w:bidi w:val="0"/>
      </w:pPr>
    </w:p>
    <w:p w14:paraId="0EA9935B">
      <w:pPr>
        <w:bidi w:val="0"/>
      </w:pPr>
    </w:p>
    <w:p w14:paraId="30163339">
      <w:pPr>
        <w:bidi w:val="0"/>
      </w:pPr>
    </w:p>
    <w:p w14:paraId="3A483118">
      <w:pPr>
        <w:bidi w:val="0"/>
      </w:pPr>
    </w:p>
    <w:p w14:paraId="6A25C38B">
      <w:pPr>
        <w:bidi w:val="0"/>
      </w:pPr>
    </w:p>
    <w:p w14:paraId="201EC14B">
      <w:pPr>
        <w:bidi w:val="0"/>
      </w:pPr>
    </w:p>
    <w:p w14:paraId="3DD2BE06">
      <w:pPr>
        <w:bidi w:val="0"/>
      </w:pPr>
    </w:p>
    <w:p w14:paraId="45B8ECD7">
      <w:pPr>
        <w:bidi w:val="0"/>
      </w:pPr>
    </w:p>
    <w:p w14:paraId="776439F6">
      <w:pPr>
        <w:bidi w:val="0"/>
      </w:pPr>
    </w:p>
    <w:p w14:paraId="467CB965">
      <w:pPr>
        <w:bidi w:val="0"/>
      </w:pPr>
    </w:p>
    <w:p w14:paraId="49478C62">
      <w:pPr>
        <w:pStyle w:val="2"/>
        <w:spacing w:before="120" w:after="120" w:line="400" w:lineRule="exact"/>
        <w:jc w:val="center"/>
        <w:rPr>
          <w:rFonts w:hint="default" w:eastAsia="黑体"/>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bookmarkStart w:id="6" w:name="_Toc256000002"/>
      <w:r>
        <w:rPr>
          <w:rFonts w:ascii="黑体" w:hAnsi="黑体" w:eastAsia="黑体"/>
          <w:b w:val="0"/>
          <w:bCs w:val="0"/>
          <w:sz w:val="32"/>
        </w:rPr>
        <w:t>第</w:t>
      </w:r>
      <w:r>
        <w:rPr>
          <w:rFonts w:hint="eastAsia" w:ascii="黑体" w:hAnsi="黑体" w:eastAsia="黑体"/>
          <w:b w:val="0"/>
          <w:bCs w:val="0"/>
          <w:sz w:val="32"/>
          <w:lang w:val="en-US" w:eastAsia="zh-CN"/>
        </w:rPr>
        <w:t>二</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5"/>
      <w:r>
        <w:rPr>
          <w:rFonts w:hint="eastAsia" w:ascii="黑体" w:hAnsi="黑体" w:eastAsia="黑体"/>
          <w:b w:val="0"/>
          <w:bCs w:val="0"/>
          <w:sz w:val="32"/>
          <w:lang w:val="en-US" w:eastAsia="zh-CN"/>
        </w:rPr>
        <w:t>投标人须知</w:t>
      </w:r>
      <w:bookmarkEnd w:id="6"/>
    </w:p>
    <w:p w14:paraId="5D6F2B0B">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2B125638">
      <w:pPr>
        <w:pStyle w:val="23"/>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19B3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31F1C3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51CA1BE8">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0E27397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5A5A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622AAA7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0603F1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03E975D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营口市老边区城市建设投资发展有限公司</w:t>
            </w:r>
          </w:p>
          <w:p w14:paraId="6085DB7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辽宁省营口市老边区新营路北5号</w:t>
            </w:r>
            <w:r>
              <w:rPr>
                <w:rFonts w:hint="eastAsia"/>
                <w:color w:val="auto"/>
                <w:highlight w:val="none"/>
                <w:lang w:val="en-US" w:eastAsia="zh-CN"/>
              </w:rPr>
              <w:t>-</w:t>
            </w:r>
            <w:r>
              <w:rPr>
                <w:rFonts w:hint="eastAsia"/>
                <w:color w:val="auto"/>
                <w:highlight w:val="none"/>
                <w:lang w:eastAsia="zh-CN"/>
              </w:rPr>
              <w:t>甲1号、甲2号</w:t>
            </w:r>
          </w:p>
          <w:p w14:paraId="1B4E632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人：任福国</w:t>
            </w:r>
          </w:p>
          <w:p w14:paraId="0E61C6D2">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rPr>
              <w:t>电    话：</w:t>
            </w:r>
            <w:r>
              <w:rPr>
                <w:rFonts w:hint="eastAsia"/>
                <w:color w:val="auto"/>
                <w:highlight w:val="none"/>
                <w:lang w:eastAsia="zh-CN"/>
              </w:rPr>
              <w:t>0417-3535100</w:t>
            </w:r>
          </w:p>
          <w:p w14:paraId="453AE5E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val="en-US" w:eastAsia="zh-CN"/>
              </w:rPr>
              <w:t>/</w:t>
            </w:r>
          </w:p>
          <w:p w14:paraId="5C1E161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443B62AD">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rPr>
              <w:t>姓名：任福国</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0417-3535100</w:t>
            </w:r>
          </w:p>
        </w:tc>
      </w:tr>
      <w:tr w14:paraId="284A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28E78E7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3D1CC3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5497935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乔泰工程管理集团有限公司</w:t>
            </w:r>
          </w:p>
          <w:p w14:paraId="26B878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辽宁省沈阳市浑南区高歌路5号</w:t>
            </w:r>
          </w:p>
          <w:p w14:paraId="134CF5B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刘桂君、王海欧、李聪</w:t>
            </w:r>
          </w:p>
          <w:p w14:paraId="586C45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024-23883380</w:t>
            </w:r>
          </w:p>
          <w:p w14:paraId="60E5431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lnqt2018@163.com</w:t>
            </w:r>
          </w:p>
          <w:p w14:paraId="5F317296">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1C52BBE4">
            <w:pPr>
              <w:keepNext w:val="0"/>
              <w:keepLines w:val="0"/>
              <w:suppressLineNumbers w:val="0"/>
              <w:spacing w:before="0" w:beforeAutospacing="0" w:after="0" w:afterAutospacing="0" w:line="320" w:lineRule="exact"/>
              <w:ind w:left="0" w:right="0"/>
              <w:jc w:val="left"/>
              <w:rPr>
                <w:rFonts w:hint="default" w:eastAsia="宋体"/>
                <w:color w:val="auto"/>
                <w:highlight w:val="none"/>
                <w:lang w:val="en-US" w:eastAsia="zh-CN"/>
              </w:rPr>
            </w:pPr>
            <w:r>
              <w:rPr>
                <w:rFonts w:hint="eastAsia"/>
                <w:color w:val="auto"/>
                <w:highlight w:val="none"/>
              </w:rPr>
              <w:t>姓名：</w:t>
            </w:r>
            <w:r>
              <w:rPr>
                <w:rFonts w:hint="eastAsia"/>
                <w:color w:val="auto"/>
                <w:highlight w:val="none"/>
                <w:lang w:eastAsia="zh-CN"/>
              </w:rPr>
              <w:t>刘桂君、王海欧、李聪</w:t>
            </w:r>
            <w:r>
              <w:rPr>
                <w:rFonts w:hint="eastAsia"/>
                <w:color w:val="auto"/>
                <w:highlight w:val="none"/>
              </w:rPr>
              <w:t xml:space="preserve">   电话：</w:t>
            </w:r>
            <w:r>
              <w:rPr>
                <w:rFonts w:hint="eastAsia"/>
                <w:color w:val="auto"/>
                <w:highlight w:val="none"/>
                <w:lang w:eastAsia="zh-CN"/>
              </w:rPr>
              <w:t>024-23883380</w:t>
            </w:r>
            <w:r>
              <w:rPr>
                <w:rFonts w:hint="eastAsia"/>
                <w:color w:val="auto"/>
                <w:highlight w:val="none"/>
                <w:lang w:val="en-US" w:eastAsia="zh-CN"/>
              </w:rPr>
              <w:t>-8017</w:t>
            </w:r>
          </w:p>
        </w:tc>
      </w:tr>
      <w:tr w14:paraId="72E1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00736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295ED438">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4D4E921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宋体" w:hAnsi="宋体" w:cs="宋体"/>
                <w:color w:val="FF0000"/>
                <w:spacing w:val="4"/>
                <w:sz w:val="21"/>
                <w:szCs w:val="21"/>
                <w:highlight w:val="none"/>
                <w:u w:val="single"/>
                <w:lang w:eastAsia="zh-CN"/>
              </w:rPr>
              <w:t>营口市老边区滨洲佳园小区保障性住房棚改项目(经济适用房)项目收尾工程施工</w:t>
            </w:r>
          </w:p>
        </w:tc>
      </w:tr>
      <w:tr w14:paraId="15D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717007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4F1F12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637BF15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宋体" w:hAnsi="宋体" w:cs="宋体"/>
                <w:spacing w:val="4"/>
                <w:sz w:val="21"/>
                <w:szCs w:val="21"/>
                <w:u w:val="single"/>
                <w:lang w:eastAsia="zh-CN"/>
              </w:rPr>
              <w:t>项目位于营口市老边区文化路以南、规划路以</w:t>
            </w:r>
            <w:r>
              <w:rPr>
                <w:rFonts w:hint="eastAsia" w:ascii="宋体" w:hAnsi="宋体" w:cs="宋体"/>
                <w:spacing w:val="4"/>
                <w:sz w:val="21"/>
                <w:szCs w:val="21"/>
                <w:u w:val="single"/>
                <w:lang w:val="en-US" w:eastAsia="zh-CN"/>
              </w:rPr>
              <w:t>西</w:t>
            </w:r>
            <w:r>
              <w:rPr>
                <w:rFonts w:hint="eastAsia" w:ascii="宋体" w:hAnsi="宋体" w:cs="宋体"/>
                <w:spacing w:val="4"/>
                <w:sz w:val="21"/>
                <w:szCs w:val="21"/>
                <w:u w:val="single"/>
                <w:lang w:eastAsia="zh-CN"/>
              </w:rPr>
              <w:t>、北营路以东、繁荣路以南、老边河以北。</w:t>
            </w:r>
            <w:r>
              <w:rPr>
                <w:rFonts w:hint="eastAsia"/>
                <w:color w:val="auto"/>
                <w:highlight w:val="none"/>
                <w:lang w:eastAsia="zh-CN"/>
              </w:rPr>
              <w:t>。</w:t>
            </w:r>
          </w:p>
        </w:tc>
      </w:tr>
      <w:tr w14:paraId="1FDE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24913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7DF43D1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333C31D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86327</w:t>
            </w:r>
            <w:r>
              <w:rPr>
                <w:rFonts w:hint="eastAsia"/>
                <w:color w:val="auto"/>
                <w:highlight w:val="none"/>
                <w:lang w:val="en-US" w:eastAsia="zh-CN"/>
              </w:rPr>
              <w:t>万元</w:t>
            </w:r>
          </w:p>
        </w:tc>
      </w:tr>
      <w:tr w14:paraId="24E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5B4CD8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75EEFB4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4105E5D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（广联达）</w:t>
            </w:r>
          </w:p>
        </w:tc>
      </w:tr>
      <w:tr w14:paraId="5B9C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535AD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3CA2251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6EF915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自筹资金</w:t>
            </w:r>
          </w:p>
        </w:tc>
      </w:tr>
      <w:tr w14:paraId="58D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8173F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250A064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66703BF3">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lang w:val="en-US" w:eastAsia="zh-CN"/>
              </w:rPr>
              <w:t>100%</w:t>
            </w:r>
          </w:p>
        </w:tc>
      </w:tr>
      <w:tr w14:paraId="474F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5CEEA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7EB9944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09A00E0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FF0000"/>
                <w:highlight w:val="none"/>
                <w:u w:val="single"/>
                <w:lang w:val="en-US" w:eastAsia="zh-CN"/>
              </w:rPr>
              <w:t>3453.845774</w:t>
            </w:r>
            <w:r>
              <w:rPr>
                <w:rFonts w:hint="eastAsia"/>
                <w:color w:val="auto"/>
                <w:highlight w:val="none"/>
                <w:u w:val="none"/>
                <w:lang w:val="en-US" w:eastAsia="zh-CN"/>
              </w:rPr>
              <w:t>万</w:t>
            </w:r>
            <w:r>
              <w:rPr>
                <w:rFonts w:hint="eastAsia"/>
                <w:color w:val="auto"/>
                <w:highlight w:val="none"/>
              </w:rPr>
              <w:t>元</w:t>
            </w:r>
          </w:p>
        </w:tc>
      </w:tr>
      <w:tr w14:paraId="3B0F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677A1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5BD198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434480E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46E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514C5C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265B03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6F91F3FD">
            <w:pPr>
              <w:keepNext w:val="0"/>
              <w:keepLines w:val="0"/>
              <w:suppressLineNumbers w:val="0"/>
              <w:spacing w:before="0" w:beforeAutospacing="0" w:after="0" w:afterAutospacing="0" w:line="320" w:lineRule="exact"/>
              <w:ind w:left="0" w:right="0"/>
              <w:jc w:val="left"/>
              <w:rPr>
                <w:rFonts w:hint="eastAsia" w:ascii="宋体" w:hAnsi="宋体" w:eastAsia="宋体" w:cs="宋体"/>
                <w:color w:val="FF0000"/>
                <w:spacing w:val="2"/>
                <w:sz w:val="21"/>
                <w:szCs w:val="21"/>
                <w:highlight w:val="none"/>
                <w:u w:val="none" w:color="auto"/>
              </w:rPr>
            </w:pPr>
            <w:r>
              <w:rPr>
                <w:rFonts w:hint="eastAsia"/>
                <w:color w:val="FF0000"/>
                <w:highlight w:val="none"/>
                <w:u w:val="single"/>
                <w:lang w:eastAsia="zh-CN"/>
              </w:rPr>
              <w:t>本项目为</w:t>
            </w:r>
            <w:r>
              <w:rPr>
                <w:rFonts w:hint="eastAsia" w:ascii="宋体" w:hAnsi="宋体" w:cs="宋体"/>
                <w:color w:val="FF0000"/>
                <w:spacing w:val="2"/>
                <w:sz w:val="21"/>
                <w:szCs w:val="21"/>
                <w:highlight w:val="none"/>
                <w:u w:val="single"/>
                <w:lang w:val="en-US" w:eastAsia="zh-CN"/>
              </w:rPr>
              <w:t>3#、4#、6#-11#单体楼剩余工程量、针对单体楼破损位置进行维修及老边区滨州佳园小区一标段收尾工程。</w:t>
            </w:r>
            <w:r>
              <w:rPr>
                <w:rFonts w:hint="eastAsia" w:ascii="宋体" w:hAnsi="宋体" w:eastAsia="宋体" w:cs="宋体"/>
                <w:color w:val="FF0000"/>
                <w:spacing w:val="2"/>
                <w:sz w:val="21"/>
                <w:szCs w:val="21"/>
                <w:highlight w:val="none"/>
                <w:u w:val="single"/>
                <w:lang w:eastAsia="zh-CN"/>
              </w:rPr>
              <w:t>具体详见工程量清单</w:t>
            </w:r>
            <w:r>
              <w:rPr>
                <w:rFonts w:hint="eastAsia" w:ascii="宋体" w:hAnsi="宋体" w:eastAsia="宋体" w:cs="宋体"/>
                <w:color w:val="FF0000"/>
                <w:spacing w:val="2"/>
                <w:sz w:val="21"/>
                <w:szCs w:val="21"/>
                <w:highlight w:val="none"/>
                <w:u w:val="none" w:color="auto"/>
              </w:rPr>
              <w:t>。</w:t>
            </w:r>
          </w:p>
          <w:p w14:paraId="4C69E2E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20D3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58D8D37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6303E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034C9C8E">
            <w:pPr>
              <w:keepNext w:val="0"/>
              <w:keepLines w:val="0"/>
              <w:suppressLineNumbers w:val="0"/>
              <w:spacing w:before="0" w:beforeAutospacing="0" w:after="0" w:afterAutospacing="0" w:line="320" w:lineRule="exact"/>
              <w:ind w:left="0" w:right="0"/>
              <w:jc w:val="left"/>
              <w:rPr>
                <w:rFonts w:hint="default"/>
                <w:color w:val="FF0000"/>
                <w:highlight w:val="none"/>
              </w:rPr>
            </w:pPr>
            <w:r>
              <w:rPr>
                <w:rFonts w:hint="eastAsia"/>
                <w:color w:val="FF0000"/>
                <w:highlight w:val="none"/>
              </w:rPr>
              <w:t>计划工期：</w:t>
            </w:r>
            <w:r>
              <w:rPr>
                <w:rFonts w:hint="eastAsia"/>
                <w:color w:val="FF0000"/>
                <w:highlight w:val="none"/>
                <w:u w:val="single"/>
                <w:lang w:val="en-US" w:eastAsia="zh-CN"/>
              </w:rPr>
              <w:t>168</w:t>
            </w:r>
            <w:r>
              <w:rPr>
                <w:rFonts w:hint="eastAsia"/>
                <w:color w:val="FF0000"/>
                <w:highlight w:val="none"/>
              </w:rPr>
              <w:t>日历天</w:t>
            </w:r>
          </w:p>
          <w:p w14:paraId="2AA27006">
            <w:pPr>
              <w:keepNext w:val="0"/>
              <w:keepLines w:val="0"/>
              <w:suppressLineNumbers w:val="0"/>
              <w:spacing w:before="0" w:beforeAutospacing="0" w:after="0" w:afterAutospacing="0" w:line="320" w:lineRule="exact"/>
              <w:ind w:left="0" w:right="0"/>
              <w:jc w:val="left"/>
              <w:rPr>
                <w:rFonts w:hint="eastAsia"/>
                <w:color w:val="FF0000"/>
                <w:highlight w:val="none"/>
              </w:rPr>
            </w:pPr>
            <w:r>
              <w:rPr>
                <w:rFonts w:hint="eastAsia"/>
                <w:color w:val="FF0000"/>
                <w:highlight w:val="none"/>
              </w:rPr>
              <w:t>计划开工日期：</w:t>
            </w:r>
            <w:r>
              <w:rPr>
                <w:rFonts w:hint="eastAsia"/>
                <w:color w:val="FF0000"/>
                <w:highlight w:val="none"/>
                <w:u w:val="single"/>
                <w:lang w:eastAsia="zh-CN"/>
              </w:rPr>
              <w:t>202</w:t>
            </w:r>
            <w:r>
              <w:rPr>
                <w:rFonts w:hint="eastAsia"/>
                <w:color w:val="FF0000"/>
                <w:highlight w:val="none"/>
                <w:u w:val="single"/>
                <w:lang w:val="en-US" w:eastAsia="zh-CN"/>
              </w:rPr>
              <w:t>6</w:t>
            </w:r>
            <w:r>
              <w:rPr>
                <w:rFonts w:hint="eastAsia"/>
                <w:color w:val="FF0000"/>
                <w:highlight w:val="none"/>
                <w:u w:val="single"/>
                <w:lang w:eastAsia="zh-CN"/>
              </w:rPr>
              <w:t>年</w:t>
            </w:r>
            <w:r>
              <w:rPr>
                <w:rFonts w:hint="eastAsia"/>
                <w:color w:val="FF0000"/>
                <w:highlight w:val="none"/>
                <w:u w:val="single"/>
                <w:lang w:val="en-US" w:eastAsia="zh-CN"/>
              </w:rPr>
              <w:t>05</w:t>
            </w:r>
            <w:r>
              <w:rPr>
                <w:rFonts w:hint="eastAsia"/>
                <w:color w:val="FF0000"/>
                <w:highlight w:val="none"/>
                <w:u w:val="single"/>
                <w:lang w:eastAsia="zh-CN"/>
              </w:rPr>
              <w:t>月</w:t>
            </w:r>
            <w:r>
              <w:rPr>
                <w:rFonts w:hint="eastAsia"/>
                <w:color w:val="FF0000"/>
                <w:highlight w:val="none"/>
                <w:u w:val="single"/>
                <w:lang w:val="en-US" w:eastAsia="zh-CN"/>
              </w:rPr>
              <w:t>15</w:t>
            </w:r>
            <w:r>
              <w:rPr>
                <w:rFonts w:hint="eastAsia"/>
                <w:color w:val="FF0000"/>
                <w:highlight w:val="none"/>
                <w:u w:val="single"/>
                <w:lang w:eastAsia="zh-CN"/>
              </w:rPr>
              <w:t>日</w:t>
            </w:r>
          </w:p>
          <w:p w14:paraId="42B354E2">
            <w:pPr>
              <w:keepNext w:val="0"/>
              <w:keepLines w:val="0"/>
              <w:suppressLineNumbers w:val="0"/>
              <w:spacing w:before="0" w:beforeAutospacing="0" w:after="0" w:afterAutospacing="0" w:line="320" w:lineRule="exact"/>
              <w:ind w:left="0" w:right="0"/>
              <w:jc w:val="left"/>
              <w:rPr>
                <w:rFonts w:hint="default"/>
                <w:color w:val="FF0000"/>
                <w:highlight w:val="none"/>
                <w:u w:val="single"/>
              </w:rPr>
            </w:pPr>
            <w:r>
              <w:rPr>
                <w:rFonts w:hint="eastAsia"/>
                <w:color w:val="FF0000"/>
                <w:highlight w:val="none"/>
              </w:rPr>
              <w:t>计划竣工日期：</w:t>
            </w:r>
            <w:r>
              <w:rPr>
                <w:rFonts w:hint="eastAsia"/>
                <w:color w:val="FF0000"/>
                <w:highlight w:val="none"/>
                <w:u w:val="single"/>
                <w:lang w:eastAsia="zh-CN"/>
              </w:rPr>
              <w:t>202</w:t>
            </w:r>
            <w:r>
              <w:rPr>
                <w:rFonts w:hint="eastAsia"/>
                <w:color w:val="FF0000"/>
                <w:highlight w:val="none"/>
                <w:u w:val="single"/>
                <w:lang w:val="en-US" w:eastAsia="zh-CN"/>
              </w:rPr>
              <w:t>6</w:t>
            </w:r>
            <w:r>
              <w:rPr>
                <w:rFonts w:hint="eastAsia"/>
                <w:color w:val="FF0000"/>
                <w:highlight w:val="none"/>
                <w:u w:val="single"/>
                <w:lang w:eastAsia="zh-CN"/>
              </w:rPr>
              <w:t>年</w:t>
            </w:r>
            <w:r>
              <w:rPr>
                <w:rFonts w:hint="eastAsia"/>
                <w:color w:val="FF0000"/>
                <w:highlight w:val="none"/>
                <w:u w:val="single"/>
                <w:lang w:val="en-US" w:eastAsia="zh-CN"/>
              </w:rPr>
              <w:t>10</w:t>
            </w:r>
            <w:r>
              <w:rPr>
                <w:rFonts w:hint="eastAsia"/>
                <w:color w:val="FF0000"/>
                <w:highlight w:val="none"/>
                <w:u w:val="single"/>
                <w:lang w:eastAsia="zh-CN"/>
              </w:rPr>
              <w:t>月</w:t>
            </w:r>
            <w:r>
              <w:rPr>
                <w:rFonts w:hint="eastAsia"/>
                <w:color w:val="FF0000"/>
                <w:highlight w:val="none"/>
                <w:u w:val="single"/>
                <w:lang w:val="en-US" w:eastAsia="zh-CN"/>
              </w:rPr>
              <w:t>30</w:t>
            </w:r>
            <w:r>
              <w:rPr>
                <w:rFonts w:hint="eastAsia"/>
                <w:color w:val="FF0000"/>
                <w:highlight w:val="none"/>
                <w:u w:val="single"/>
                <w:lang w:eastAsia="zh-CN"/>
              </w:rPr>
              <w:t>日</w:t>
            </w:r>
          </w:p>
          <w:p w14:paraId="1F2150C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p>
          <w:p w14:paraId="6DBE0DF9">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u w:val="single"/>
                <w:lang w:eastAsia="zh-CN"/>
              </w:rPr>
              <w:t>具体开竣工时间以甲乙双方签订的合同为准</w:t>
            </w:r>
          </w:p>
          <w:p w14:paraId="6571BAE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6BFA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6B89788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4596E2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7933388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220C9AA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496FC4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6EC3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0D8172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64F57FE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1082B7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2C9A1418">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FF0000"/>
                <w:highlight w:val="none"/>
                <w:u w:val="single"/>
                <w:lang w:eastAsia="zh-CN"/>
              </w:rPr>
              <w:t>[施工总承包·建筑工程·建筑工程</w:t>
            </w:r>
            <w:r>
              <w:rPr>
                <w:rFonts w:hint="eastAsia"/>
                <w:color w:val="FF0000"/>
                <w:highlight w:val="none"/>
                <w:u w:val="single"/>
                <w:lang w:val="en-US" w:eastAsia="zh-CN"/>
              </w:rPr>
              <w:t>三</w:t>
            </w:r>
            <w:r>
              <w:rPr>
                <w:rFonts w:hint="eastAsia"/>
                <w:color w:val="FF0000"/>
                <w:highlight w:val="none"/>
                <w:u w:val="single"/>
                <w:lang w:eastAsia="zh-CN"/>
              </w:rPr>
              <w:t>级](含)以上</w:t>
            </w:r>
            <w:r>
              <w:rPr>
                <w:rFonts w:hint="eastAsia"/>
                <w:color w:val="FF0000"/>
                <w:highlight w:val="none"/>
                <w:u w:val="none"/>
                <w:lang w:val="en-US" w:eastAsia="zh-CN"/>
              </w:rPr>
              <w:t>资质</w:t>
            </w:r>
            <w:r>
              <w:rPr>
                <w:rFonts w:hint="eastAsia"/>
                <w:color w:val="auto"/>
                <w:highlight w:val="none"/>
              </w:rPr>
              <w:t>，且</w:t>
            </w:r>
            <w:r>
              <w:rPr>
                <w:rFonts w:hint="eastAsia"/>
                <w:color w:val="auto"/>
                <w:szCs w:val="21"/>
                <w:highlight w:val="none"/>
              </w:rPr>
              <w:t>具备有效的安全生产许可证，具备市场监督管理部门</w:t>
            </w:r>
            <w:r>
              <w:rPr>
                <w:rFonts w:hint="default"/>
                <w:color w:val="auto"/>
                <w:szCs w:val="21"/>
                <w:highlight w:val="none"/>
              </w:rPr>
              <w:t>核发的有效营业执照。</w:t>
            </w:r>
          </w:p>
          <w:p w14:paraId="74B420CB">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0</w:t>
            </w:r>
            <w:r>
              <w:rPr>
                <w:rFonts w:hint="eastAsia"/>
                <w:color w:val="auto"/>
                <w:highlight w:val="none"/>
              </w:rPr>
              <w:t>）至（1</w:t>
            </w:r>
            <w:r>
              <w:rPr>
                <w:rFonts w:hint="eastAsia"/>
                <w:color w:val="auto"/>
                <w:highlight w:val="none"/>
                <w:lang w:val="en-US" w:eastAsia="zh-CN"/>
              </w:rPr>
              <w:t>7</w:t>
            </w:r>
            <w:r>
              <w:rPr>
                <w:rFonts w:hint="eastAsia"/>
                <w:color w:val="auto"/>
                <w:highlight w:val="none"/>
              </w:rPr>
              <w:t>）条目规定的情形。</w:t>
            </w:r>
          </w:p>
          <w:p w14:paraId="730C5670">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项目经理资格：</w:t>
            </w:r>
            <w:r>
              <w:rPr>
                <w:rFonts w:hint="eastAsia"/>
                <w:color w:val="auto"/>
                <w:highlight w:val="none"/>
              </w:rPr>
              <w:t>具备</w:t>
            </w:r>
            <w:r>
              <w:rPr>
                <w:rFonts w:hint="eastAsia"/>
                <w:color w:val="FF0000"/>
                <w:highlight w:val="none"/>
                <w:u w:val="single"/>
                <w:lang w:eastAsia="zh-CN"/>
              </w:rPr>
              <w:t>[注册</w:t>
            </w:r>
            <w:r>
              <w:rPr>
                <w:rFonts w:hint="eastAsia"/>
                <w:color w:val="FF0000"/>
                <w:highlight w:val="none"/>
                <w:u w:val="single"/>
                <w:lang w:val="en-US" w:eastAsia="zh-CN"/>
              </w:rPr>
              <w:t>二</w:t>
            </w:r>
            <w:r>
              <w:rPr>
                <w:rFonts w:hint="eastAsia"/>
                <w:color w:val="FF0000"/>
                <w:highlight w:val="none"/>
                <w:u w:val="single"/>
                <w:lang w:eastAsia="zh-CN"/>
              </w:rPr>
              <w:t>级建造师·建筑工程](含)以上</w:t>
            </w:r>
            <w:r>
              <w:rPr>
                <w:rFonts w:hint="eastAsia"/>
                <w:color w:val="auto"/>
                <w:highlight w:val="none"/>
              </w:rPr>
              <w:t>执业资格和有效的安全生产考核合格证书（B证），且未担任其他在建工程项目的项目经理，二次刷卡认证通过；《注册建造师执业管理办法（试行）》第九条规定的情形除外。</w:t>
            </w:r>
          </w:p>
          <w:p w14:paraId="32516E41">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66509852">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6651CB59">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2C70B77C">
            <w:pPr>
              <w:keepNext w:val="0"/>
              <w:keepLines w:val="0"/>
              <w:suppressLineNumbers w:val="0"/>
              <w:spacing w:before="0" w:beforeAutospacing="0" w:after="0" w:afterAutospacing="0" w:line="320" w:lineRule="exact"/>
              <w:ind w:left="0" w:right="0"/>
              <w:jc w:val="both"/>
              <w:rPr>
                <w:rFonts w:hint="default"/>
                <w:color w:val="FF0000"/>
                <w:highlight w:val="cyan"/>
              </w:rPr>
            </w:pPr>
            <w:r>
              <w:rPr>
                <w:rFonts w:hint="eastAsia"/>
                <w:b/>
                <w:color w:val="auto"/>
                <w:highlight w:val="none"/>
              </w:rPr>
              <w:t>其他要求：</w:t>
            </w:r>
            <w:r>
              <w:rPr>
                <w:rFonts w:hint="eastAsia"/>
                <w:bCs/>
                <w:color w:val="FF0000"/>
                <w:highlight w:val="none"/>
              </w:rPr>
              <w:t>1</w:t>
            </w:r>
            <w:r>
              <w:rPr>
                <w:rFonts w:hint="default"/>
                <w:bCs/>
                <w:color w:val="FF0000"/>
                <w:highlight w:val="none"/>
              </w:rPr>
              <w:t>.</w:t>
            </w:r>
            <w:r>
              <w:rPr>
                <w:rFonts w:hint="eastAsia"/>
                <w:color w:val="FF0000"/>
                <w:highlight w:val="none"/>
              </w:rPr>
              <w:t>具有有效的企业在辽基本信息登记单（外省企业）。</w:t>
            </w:r>
          </w:p>
          <w:p w14:paraId="198F9DF0">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rPr>
              <w:t>2</w:t>
            </w:r>
            <w:r>
              <w:rPr>
                <w:rFonts w:hint="default"/>
                <w:color w:val="auto"/>
                <w:highlight w:val="none"/>
              </w:rPr>
              <w:t>.</w:t>
            </w:r>
            <w:r>
              <w:rPr>
                <w:rFonts w:hint="eastAsia"/>
                <w:color w:val="auto"/>
                <w:highlight w:val="none"/>
                <w:u w:val="single"/>
                <w:lang w:eastAsia="zh-CN"/>
              </w:rPr>
              <w:t>2./</w:t>
            </w:r>
          </w:p>
        </w:tc>
      </w:tr>
      <w:tr w14:paraId="3EF3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7F240E5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10873BA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1DC5643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025FDE65">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77601B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55CE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306D125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748D79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3E6924A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667C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F8FEE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182526C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7D9A9F2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0ABFBBD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2F9AEAD2">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52BD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62650AF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5BF438E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1C0FD37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4EBF188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66834FC2">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03A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17A00D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3116C76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72745D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5E05749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FF0000"/>
                <w:highlight w:val="none"/>
                <w:u w:val="single"/>
                <w:lang w:eastAsia="zh-CN"/>
              </w:rPr>
              <w:t>202</w:t>
            </w:r>
            <w:r>
              <w:rPr>
                <w:rFonts w:hint="eastAsia"/>
                <w:color w:val="FF0000"/>
                <w:highlight w:val="none"/>
                <w:u w:val="single"/>
                <w:lang w:val="en-US" w:eastAsia="zh-CN"/>
              </w:rPr>
              <w:t>6</w:t>
            </w:r>
            <w:r>
              <w:rPr>
                <w:rFonts w:hint="eastAsia" w:eastAsia="宋体"/>
                <w:color w:val="FF0000"/>
                <w:highlight w:val="none"/>
                <w:u w:val="single"/>
                <w:lang w:eastAsia="zh-CN"/>
              </w:rPr>
              <w:t>年</w:t>
            </w:r>
            <w:r>
              <w:rPr>
                <w:rFonts w:hint="eastAsia"/>
                <w:color w:val="FF0000"/>
                <w:highlight w:val="none"/>
                <w:u w:val="single"/>
                <w:lang w:val="en-US" w:eastAsia="zh-CN"/>
              </w:rPr>
              <w:t>04</w:t>
            </w:r>
            <w:r>
              <w:rPr>
                <w:rFonts w:hint="eastAsia" w:eastAsia="宋体"/>
                <w:color w:val="FF0000"/>
                <w:highlight w:val="none"/>
                <w:u w:val="single"/>
                <w:lang w:eastAsia="zh-CN"/>
              </w:rPr>
              <w:t>月</w:t>
            </w:r>
            <w:r>
              <w:rPr>
                <w:rFonts w:hint="eastAsia"/>
                <w:color w:val="FF0000"/>
                <w:highlight w:val="none"/>
                <w:u w:val="single"/>
                <w:lang w:val="en-US" w:eastAsia="zh-CN"/>
              </w:rPr>
              <w:t>23</w:t>
            </w:r>
            <w:r>
              <w:rPr>
                <w:rFonts w:hint="eastAsia" w:eastAsia="宋体"/>
                <w:color w:val="FF0000"/>
                <w:highlight w:val="none"/>
                <w:u w:val="single"/>
                <w:lang w:eastAsia="zh-CN"/>
              </w:rPr>
              <w:t>日 10时00分</w:t>
            </w:r>
          </w:p>
        </w:tc>
      </w:tr>
      <w:tr w14:paraId="5BD8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7CACC85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09C062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1625AE0F">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3E67041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08623237">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2BD8AFEA">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678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57C867E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781F0B2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35EA373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018EEC5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248B58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70E2BD5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0AAC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55A79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052FE52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0EB4D9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319A76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工程量清单、答疑澄清文件（如有）等。</w:t>
            </w:r>
          </w:p>
        </w:tc>
      </w:tr>
      <w:tr w14:paraId="088C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7910DC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0FE012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3D4A98B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3DBF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BF05B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77A837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0BC7F3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40924BE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1B49999F">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营口市老边区城市建设投资发展有限公司</w:t>
            </w:r>
          </w:p>
          <w:p w14:paraId="1F8EAACA">
            <w:pPr>
              <w:keepNext w:val="0"/>
              <w:keepLines w:val="0"/>
              <w:suppressLineNumbers w:val="0"/>
              <w:spacing w:before="0" w:beforeAutospacing="0" w:after="0" w:afterAutospacing="0" w:line="320" w:lineRule="exact"/>
              <w:ind w:left="0" w:right="0"/>
              <w:jc w:val="left"/>
              <w:rPr>
                <w:rFonts w:hint="default"/>
                <w:color w:val="auto"/>
                <w:szCs w:val="21"/>
                <w:highlight w:val="yellow"/>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辽宁省营口市老边区新营路北 5 号 — 甲 1 号、甲 2 号</w:t>
            </w:r>
          </w:p>
          <w:p w14:paraId="5B1F1F6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任福国</w:t>
            </w:r>
          </w:p>
          <w:p w14:paraId="3B2F158D">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lang w:eastAsia="zh-CN"/>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0417-3535100</w:t>
            </w:r>
          </w:p>
          <w:p w14:paraId="62DDF039">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A87FBE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133270B2">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u w:val="single"/>
                <w:lang w:eastAsia="zh-CN"/>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乔泰工程管理集团有限公司</w:t>
            </w:r>
          </w:p>
          <w:p w14:paraId="66741A92">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辽宁省沈阳市浑南区高歌路5号</w:t>
            </w:r>
          </w:p>
          <w:p w14:paraId="194CA09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刘桂君、王海欧、李聪</w:t>
            </w:r>
          </w:p>
          <w:p w14:paraId="660BA1FF">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024-23883380</w:t>
            </w:r>
            <w:r>
              <w:rPr>
                <w:rFonts w:hint="eastAsia"/>
                <w:color w:val="auto"/>
                <w:szCs w:val="21"/>
                <w:highlight w:val="none"/>
                <w:u w:val="single"/>
                <w:lang w:val="en-US" w:eastAsia="zh-CN"/>
              </w:rPr>
              <w:t>-8017</w:t>
            </w:r>
          </w:p>
          <w:p w14:paraId="21247A4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0D670704">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B84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8B2D4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33AD14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4887E4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1663679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5AF3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4B12E5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085AF81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7D8B39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3AC5A3C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04E8483B">
            <w:pPr>
              <w:keepNext w:val="0"/>
              <w:keepLines w:val="0"/>
              <w:suppressLineNumbers w:val="0"/>
              <w:spacing w:before="0" w:beforeAutospacing="0" w:after="0" w:afterAutospacing="0" w:line="320" w:lineRule="exact"/>
              <w:ind w:left="0" w:right="0"/>
              <w:jc w:val="left"/>
              <w:rPr>
                <w:rFonts w:hint="default"/>
                <w:color w:val="FF0000"/>
                <w:highlight w:val="none"/>
              </w:rPr>
            </w:pPr>
            <w:r>
              <w:rPr>
                <w:rFonts w:hint="eastAsia"/>
                <w:color w:val="FF0000"/>
                <w:highlight w:val="none"/>
              </w:rPr>
              <w:t>☑</w:t>
            </w:r>
            <w:r>
              <w:rPr>
                <w:rFonts w:hint="eastAsia"/>
                <w:color w:val="FF0000"/>
                <w:highlight w:val="none"/>
                <w:lang w:val="en-US" w:eastAsia="zh-CN"/>
              </w:rPr>
              <w:t>设置</w:t>
            </w:r>
            <w:r>
              <w:rPr>
                <w:rFonts w:hint="eastAsia"/>
                <w:color w:val="FF0000"/>
                <w:highlight w:val="none"/>
              </w:rPr>
              <w:t>，最高投标限价：</w:t>
            </w:r>
            <w:r>
              <w:rPr>
                <w:rFonts w:hint="eastAsia"/>
                <w:color w:val="FF0000"/>
                <w:highlight w:val="none"/>
                <w:u w:val="single"/>
                <w:lang w:val="en-US" w:eastAsia="zh-CN"/>
              </w:rPr>
              <w:t xml:space="preserve">         </w:t>
            </w:r>
            <w:r>
              <w:rPr>
                <w:rFonts w:hint="eastAsia"/>
                <w:color w:val="FF0000"/>
                <w:highlight w:val="none"/>
              </w:rPr>
              <w:t>。</w:t>
            </w:r>
          </w:p>
          <w:p w14:paraId="67B352FE">
            <w:pPr>
              <w:keepNext w:val="0"/>
              <w:keepLines w:val="0"/>
              <w:suppressLineNumbers w:val="0"/>
              <w:spacing w:before="0" w:beforeAutospacing="0" w:after="0" w:afterAutospacing="0" w:line="320" w:lineRule="exact"/>
              <w:ind w:left="0" w:right="0"/>
              <w:jc w:val="left"/>
              <w:rPr>
                <w:rFonts w:hint="default"/>
                <w:color w:val="FF0000"/>
                <w:highlight w:val="none"/>
              </w:rPr>
            </w:pPr>
            <w:r>
              <w:rPr>
                <w:rFonts w:hint="eastAsia"/>
                <w:color w:val="FF0000"/>
                <w:highlight w:val="none"/>
              </w:rPr>
              <w:t>最高投标限价公布时间：投标截止时间</w:t>
            </w:r>
            <w:r>
              <w:rPr>
                <w:rFonts w:hint="eastAsia"/>
                <w:color w:val="FF0000"/>
                <w:highlight w:val="none"/>
                <w:u w:val="single"/>
                <w:lang w:val="en-US" w:eastAsia="zh-CN"/>
              </w:rPr>
              <w:t>3</w:t>
            </w:r>
            <w:r>
              <w:rPr>
                <w:rFonts w:hint="eastAsia"/>
                <w:color w:val="FF0000"/>
                <w:highlight w:val="none"/>
              </w:rPr>
              <w:t>日前。</w:t>
            </w:r>
          </w:p>
          <w:p w14:paraId="381110E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低于（含等于）招标控制价为有效投标价，高于招标控制价按否决投标处理。</w:t>
            </w:r>
          </w:p>
        </w:tc>
      </w:tr>
      <w:tr w14:paraId="64E9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3F035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265E9A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0282BC7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43725BB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40A9F07D">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7E196D4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3150DF8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4602429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40A0F6E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投标报价不能超出最高投标限价，否则按否决投标处理。</w:t>
            </w:r>
          </w:p>
        </w:tc>
      </w:tr>
      <w:tr w14:paraId="6D7F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093756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6E8169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642D850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3497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7DA121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0D0018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5B449F8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1A4D4F01">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19C0B80F">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6BFB11F9">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FF0000"/>
                <w:kern w:val="0"/>
                <w:szCs w:val="21"/>
                <w:highlight w:val="none"/>
                <w:u w:val="single"/>
                <w:lang w:val="en-US" w:eastAsia="zh-CN"/>
              </w:rPr>
              <w:t>30</w:t>
            </w:r>
            <w:r>
              <w:rPr>
                <w:rFonts w:hint="eastAsia" w:ascii="宋体" w:hAnsi="宋体" w:cs="宋体"/>
                <w:color w:val="FF0000"/>
                <w:kern w:val="0"/>
                <w:szCs w:val="21"/>
                <w:highlight w:val="none"/>
                <w:u w:val="none"/>
                <w:lang w:val="en-US" w:eastAsia="zh-CN"/>
              </w:rPr>
              <w:t>万</w:t>
            </w:r>
            <w:r>
              <w:rPr>
                <w:rFonts w:hint="eastAsia" w:ascii="宋体" w:hAnsi="宋体" w:cs="宋体"/>
                <w:color w:val="FF0000"/>
                <w:kern w:val="0"/>
                <w:szCs w:val="21"/>
                <w:highlight w:val="none"/>
              </w:rPr>
              <w:t>元</w:t>
            </w:r>
            <w:r>
              <w:rPr>
                <w:rFonts w:hint="eastAsia" w:ascii="宋体" w:hAnsi="宋体" w:cs="宋体"/>
                <w:color w:val="auto"/>
                <w:kern w:val="0"/>
                <w:szCs w:val="21"/>
                <w:highlight w:val="none"/>
              </w:rPr>
              <w:t>。</w:t>
            </w:r>
          </w:p>
          <w:p w14:paraId="52BFBFEB">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351AEC02">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742B2EF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73C87FF1">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0885549D">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FF0000"/>
                <w:kern w:val="0"/>
                <w:szCs w:val="21"/>
                <w:highlight w:val="none"/>
              </w:rPr>
            </w:pPr>
            <w:r>
              <w:rPr>
                <w:rFonts w:hint="eastAsia" w:ascii="宋体" w:hAnsi="宋体" w:cs="宋体"/>
                <w:color w:val="FF0000"/>
                <w:kern w:val="0"/>
                <w:szCs w:val="21"/>
                <w:highlight w:val="none"/>
              </w:rPr>
              <w:t>收款单位：</w:t>
            </w:r>
            <w:r>
              <w:rPr>
                <w:rFonts w:hint="eastAsia" w:ascii="宋体" w:hAnsi="宋体" w:cs="宋体"/>
                <w:color w:val="FF0000"/>
                <w:kern w:val="0"/>
                <w:szCs w:val="21"/>
                <w:highlight w:val="none"/>
                <w:u w:val="single"/>
              </w:rPr>
              <w:t>乔泰工程管理集团有限公司</w:t>
            </w:r>
          </w:p>
          <w:p w14:paraId="314AA4B3">
            <w:pPr>
              <w:keepNext w:val="0"/>
              <w:keepLines w:val="0"/>
              <w:widowControl/>
              <w:suppressLineNumbers w:val="0"/>
              <w:spacing w:before="0" w:beforeAutospacing="0" w:after="0" w:afterAutospacing="0" w:line="320" w:lineRule="exact"/>
              <w:ind w:left="0" w:right="0" w:firstLine="420" w:firstLineChars="200"/>
              <w:jc w:val="left"/>
              <w:rPr>
                <w:rFonts w:hint="eastAsia" w:ascii="宋体" w:hAnsi="宋体" w:cs="宋体"/>
                <w:color w:val="FF0000"/>
                <w:kern w:val="0"/>
                <w:szCs w:val="21"/>
                <w:highlight w:val="none"/>
                <w:u w:val="single"/>
                <w:lang w:eastAsia="zh-CN"/>
              </w:rPr>
            </w:pPr>
            <w:r>
              <w:rPr>
                <w:rFonts w:hint="eastAsia" w:ascii="宋体" w:hAnsi="宋体" w:cs="宋体"/>
                <w:color w:val="FF0000"/>
                <w:kern w:val="0"/>
                <w:szCs w:val="21"/>
                <w:highlight w:val="none"/>
              </w:rPr>
              <w:t>开户银行：</w:t>
            </w:r>
            <w:r>
              <w:rPr>
                <w:rFonts w:hint="eastAsia" w:ascii="宋体" w:hAnsi="宋体" w:cs="宋体"/>
                <w:color w:val="FF0000"/>
                <w:kern w:val="0"/>
                <w:szCs w:val="21"/>
                <w:highlight w:val="none"/>
                <w:u w:val="single"/>
              </w:rPr>
              <w:t>招商银行沈阳华园东路支行</w:t>
            </w:r>
          </w:p>
          <w:p w14:paraId="764A58A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FF0000"/>
                <w:kern w:val="0"/>
                <w:szCs w:val="21"/>
                <w:highlight w:val="none"/>
                <w:lang w:val="en-US"/>
              </w:rPr>
            </w:pPr>
            <w:r>
              <w:rPr>
                <w:rFonts w:hint="eastAsia" w:ascii="宋体" w:hAnsi="宋体" w:cs="宋体"/>
                <w:color w:val="FF0000"/>
                <w:kern w:val="0"/>
                <w:szCs w:val="21"/>
                <w:highlight w:val="none"/>
              </w:rPr>
              <w:t>账户账号：</w:t>
            </w:r>
            <w:r>
              <w:rPr>
                <w:rFonts w:hint="eastAsia" w:ascii="宋体" w:hAnsi="宋体" w:cs="宋体"/>
                <w:color w:val="FF0000"/>
                <w:kern w:val="0"/>
                <w:szCs w:val="21"/>
                <w:highlight w:val="none"/>
                <w:u w:val="single"/>
              </w:rPr>
              <w:t>12490842231085588</w:t>
            </w:r>
          </w:p>
          <w:p w14:paraId="2E34E04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D28C431">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4EE2ECF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2BF036DB">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402AAA1D">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0361CD04">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27509EF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480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06354A7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40196C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6BA800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05B644A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4E29EAC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58092170">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10D1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89EF4F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4D5776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714095B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7B3A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10430C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4CA72D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72A82CC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AF5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D6C24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1A818A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544A87AB">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62BED0C7">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710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5B747A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69FF7D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0C5D41D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2348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C5C22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7388BA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444EE7A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126CF0E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0580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424348C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00D7F5F2">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3217DF38">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4E4C545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4A088AC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3B4EA4E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0A21508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26C794E8">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2524A87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6B3759B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64CE9C5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71137FA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3F497C8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D6588B2">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3068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BB4A9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30DB52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770E0CD6">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444D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2144454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41D141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0CD01FF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FF0000"/>
                <w:highlight w:val="none"/>
                <w:u w:val="single"/>
                <w:lang w:eastAsia="zh-CN"/>
              </w:rPr>
              <w:t>202</w:t>
            </w:r>
            <w:r>
              <w:rPr>
                <w:rFonts w:hint="eastAsia"/>
                <w:color w:val="FF0000"/>
                <w:highlight w:val="none"/>
                <w:u w:val="single"/>
                <w:lang w:val="en-US" w:eastAsia="zh-CN"/>
              </w:rPr>
              <w:t>6</w:t>
            </w:r>
            <w:r>
              <w:rPr>
                <w:rFonts w:hint="eastAsia"/>
                <w:color w:val="FF0000"/>
                <w:highlight w:val="none"/>
                <w:u w:val="single"/>
                <w:lang w:eastAsia="zh-CN"/>
              </w:rPr>
              <w:t>年</w:t>
            </w:r>
            <w:r>
              <w:rPr>
                <w:rFonts w:hint="eastAsia"/>
                <w:color w:val="FF0000"/>
                <w:highlight w:val="none"/>
                <w:u w:val="single"/>
                <w:lang w:val="en-US" w:eastAsia="zh-CN"/>
              </w:rPr>
              <w:t>05</w:t>
            </w:r>
            <w:r>
              <w:rPr>
                <w:rFonts w:hint="eastAsia"/>
                <w:color w:val="FF0000"/>
                <w:highlight w:val="none"/>
                <w:u w:val="single"/>
                <w:lang w:eastAsia="zh-CN"/>
              </w:rPr>
              <w:t>月</w:t>
            </w:r>
            <w:r>
              <w:rPr>
                <w:rFonts w:hint="eastAsia"/>
                <w:color w:val="FF0000"/>
                <w:highlight w:val="none"/>
                <w:u w:val="single"/>
                <w:lang w:val="en-US" w:eastAsia="zh-CN"/>
              </w:rPr>
              <w:t>07</w:t>
            </w:r>
            <w:r>
              <w:rPr>
                <w:rFonts w:hint="eastAsia"/>
                <w:color w:val="FF0000"/>
                <w:highlight w:val="none"/>
                <w:u w:val="single"/>
                <w:lang w:eastAsia="zh-CN"/>
              </w:rPr>
              <w:t xml:space="preserve">日 </w:t>
            </w:r>
            <w:r>
              <w:rPr>
                <w:rFonts w:hint="eastAsia"/>
                <w:color w:val="FF0000"/>
                <w:highlight w:val="none"/>
                <w:u w:val="single"/>
                <w:lang w:val="en-US" w:eastAsia="zh-CN"/>
              </w:rPr>
              <w:t>09</w:t>
            </w:r>
            <w:r>
              <w:rPr>
                <w:rFonts w:hint="eastAsia"/>
                <w:color w:val="FF0000"/>
                <w:highlight w:val="none"/>
                <w:u w:val="single"/>
                <w:lang w:eastAsia="zh-CN"/>
              </w:rPr>
              <w:t>时</w:t>
            </w:r>
            <w:r>
              <w:rPr>
                <w:rFonts w:hint="eastAsia"/>
                <w:color w:val="FF0000"/>
                <w:highlight w:val="none"/>
                <w:u w:val="single"/>
                <w:lang w:val="en-US" w:eastAsia="zh-CN"/>
              </w:rPr>
              <w:t>3</w:t>
            </w:r>
            <w:r>
              <w:rPr>
                <w:rFonts w:hint="eastAsia"/>
                <w:color w:val="FF0000"/>
                <w:highlight w:val="none"/>
                <w:u w:val="single"/>
                <w:lang w:eastAsia="zh-CN"/>
              </w:rPr>
              <w:t>0分</w:t>
            </w:r>
          </w:p>
        </w:tc>
      </w:tr>
      <w:tr w14:paraId="7126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DDFF53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2580A4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109AC06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4B99DAD">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38A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BFB5C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3AB25F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22C7BFE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0D641CC6">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17901B5D">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092BAA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37BD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7D12EFF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462A9457">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05647E08">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ascii="宋体" w:hAnsi="宋体"/>
                <w:color w:val="FF0000"/>
                <w:szCs w:val="21"/>
                <w:highlight w:val="none"/>
              </w:rPr>
              <w:t>营口市营商环境建设中心（营口市公共资源交易中心）(营口市西市区民生路28号)</w:t>
            </w:r>
          </w:p>
        </w:tc>
      </w:tr>
      <w:tr w14:paraId="2160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586EAECC">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61B482B2">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0B2227C0">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2D75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13A63D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75DC834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5784104F">
            <w:pPr>
              <w:keepNext w:val="0"/>
              <w:keepLines w:val="0"/>
              <w:suppressLineNumbers w:val="0"/>
              <w:spacing w:before="0" w:beforeAutospacing="0" w:after="0" w:afterAutospacing="0" w:line="320" w:lineRule="exact"/>
              <w:ind w:left="0" w:right="0"/>
              <w:jc w:val="left"/>
              <w:rPr>
                <w:rFonts w:hint="default"/>
                <w:color w:val="auto"/>
                <w:highlight w:val="yellow"/>
              </w:rPr>
            </w:pPr>
            <w:r>
              <w:rPr>
                <w:rFonts w:hint="eastAsia"/>
                <w:color w:val="auto"/>
                <w:highlight w:val="none"/>
              </w:rPr>
              <w:t>评标委员会构成：</w:t>
            </w:r>
            <w:r>
              <w:rPr>
                <w:rFonts w:hint="eastAsia"/>
                <w:color w:val="auto"/>
                <w:highlight w:val="none"/>
                <w:u w:val="single"/>
                <w:lang w:val="en-US"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val="en-US" w:eastAsia="zh-CN"/>
              </w:rPr>
              <w:t>5</w:t>
            </w:r>
            <w:r>
              <w:rPr>
                <w:rFonts w:hint="eastAsia"/>
                <w:color w:val="auto"/>
                <w:highlight w:val="none"/>
              </w:rPr>
              <w:t xml:space="preserve">人； </w:t>
            </w:r>
          </w:p>
          <w:p w14:paraId="758E0A0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7A1A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5393C4B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BDB95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276DF51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306C887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0B30079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4E2EDF8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6737D05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7DC0660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7A9C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6C79EA3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2C87E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53F0345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FF0000"/>
                <w:highlight w:val="none"/>
                <w:lang w:eastAsia="zh-CN"/>
              </w:rPr>
              <w:t>辽宁建设工程信息网、辽宁省招标投标监管网、全国公共资源交易平台（辽宁省·营口市）</w:t>
            </w:r>
          </w:p>
        </w:tc>
      </w:tr>
      <w:tr w14:paraId="26E6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1CDCD26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E95EDC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3E7909F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6CFDCBD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6AC40147">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5048AC0F">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0BAF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4B0F54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256B02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0106B44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482B67A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BA3E996">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729AE6F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val="en-US" w:eastAsia="zh-CN"/>
              </w:rPr>
              <w:t>5</w:t>
            </w:r>
            <w:r>
              <w:rPr>
                <w:rFonts w:hint="eastAsia"/>
                <w:color w:val="auto"/>
                <w:szCs w:val="21"/>
                <w:highlight w:val="none"/>
              </w:rPr>
              <w:t>%</w:t>
            </w:r>
          </w:p>
        </w:tc>
      </w:tr>
      <w:tr w14:paraId="44C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657E41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7C09FD0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107E5727">
            <w:pPr>
              <w:keepNext w:val="0"/>
              <w:keepLines w:val="0"/>
              <w:suppressLineNumbers w:val="0"/>
              <w:spacing w:before="0" w:beforeAutospacing="0" w:after="0" w:afterAutospacing="0" w:line="320" w:lineRule="exact"/>
              <w:ind w:left="0" w:right="0"/>
              <w:jc w:val="left"/>
              <w:rPr>
                <w:rFonts w:hint="eastAsia"/>
                <w:color w:val="FF0000"/>
                <w:szCs w:val="21"/>
                <w:highlight w:val="none"/>
                <w:u w:val="single"/>
              </w:rPr>
            </w:pPr>
            <w:r>
              <w:rPr>
                <w:rFonts w:hint="eastAsia"/>
                <w:color w:val="FF0000"/>
                <w:szCs w:val="21"/>
                <w:highlight w:val="none"/>
              </w:rPr>
              <w:t>名</w:t>
            </w:r>
            <w:r>
              <w:rPr>
                <w:rFonts w:hint="eastAsia"/>
                <w:color w:val="FF0000"/>
                <w:szCs w:val="21"/>
                <w:highlight w:val="none"/>
                <w:lang w:val="en-US" w:eastAsia="zh-CN"/>
              </w:rPr>
              <w:t xml:space="preserve">    </w:t>
            </w:r>
            <w:r>
              <w:rPr>
                <w:rFonts w:hint="eastAsia"/>
                <w:color w:val="FF0000"/>
                <w:szCs w:val="21"/>
                <w:highlight w:val="none"/>
              </w:rPr>
              <w:t>称：</w:t>
            </w:r>
            <w:r>
              <w:rPr>
                <w:rFonts w:hint="eastAsia"/>
                <w:color w:val="FF0000"/>
                <w:szCs w:val="21"/>
                <w:highlight w:val="none"/>
                <w:u w:val="single"/>
                <w:lang w:eastAsia="zh-CN"/>
              </w:rPr>
              <w:t>营口市老边区发展和改革局、营口市老边区建设工程招标投标管理办公室</w:t>
            </w:r>
          </w:p>
          <w:p w14:paraId="5DD7CF04">
            <w:pPr>
              <w:keepNext w:val="0"/>
              <w:keepLines w:val="0"/>
              <w:suppressLineNumbers w:val="0"/>
              <w:spacing w:before="0" w:beforeAutospacing="0" w:after="0" w:afterAutospacing="0" w:line="320" w:lineRule="exact"/>
              <w:ind w:left="0" w:right="0"/>
              <w:jc w:val="left"/>
              <w:rPr>
                <w:rFonts w:hint="eastAsia"/>
                <w:color w:val="FF0000"/>
                <w:szCs w:val="21"/>
                <w:highlight w:val="none"/>
              </w:rPr>
            </w:pPr>
            <w:r>
              <w:rPr>
                <w:rFonts w:hint="eastAsia"/>
                <w:color w:val="FF0000"/>
                <w:szCs w:val="21"/>
                <w:highlight w:val="none"/>
              </w:rPr>
              <w:t>地</w:t>
            </w:r>
            <w:r>
              <w:rPr>
                <w:rFonts w:hint="eastAsia"/>
                <w:color w:val="FF0000"/>
                <w:szCs w:val="21"/>
                <w:highlight w:val="none"/>
                <w:lang w:val="en-US" w:eastAsia="zh-CN"/>
              </w:rPr>
              <w:t xml:space="preserve">    </w:t>
            </w:r>
            <w:r>
              <w:rPr>
                <w:rFonts w:hint="eastAsia"/>
                <w:color w:val="FF0000"/>
                <w:szCs w:val="21"/>
                <w:highlight w:val="none"/>
              </w:rPr>
              <w:t>址：</w:t>
            </w:r>
            <w:r>
              <w:rPr>
                <w:rFonts w:hint="eastAsia"/>
                <w:color w:val="FF0000"/>
                <w:szCs w:val="21"/>
                <w:highlight w:val="none"/>
                <w:u w:val="single"/>
                <w:lang w:eastAsia="zh-CN"/>
              </w:rPr>
              <w:t>营口市老边区营东新城东湖大街35号</w:t>
            </w:r>
          </w:p>
          <w:p w14:paraId="1758831A">
            <w:pPr>
              <w:keepNext w:val="0"/>
              <w:keepLines w:val="0"/>
              <w:suppressLineNumbers w:val="0"/>
              <w:spacing w:before="0" w:beforeAutospacing="0" w:after="0" w:afterAutospacing="0" w:line="320" w:lineRule="exact"/>
              <w:ind w:left="0" w:right="0"/>
              <w:jc w:val="left"/>
              <w:rPr>
                <w:rFonts w:hint="eastAsia"/>
                <w:color w:val="FF0000"/>
                <w:szCs w:val="21"/>
                <w:highlight w:val="none"/>
              </w:rPr>
            </w:pPr>
            <w:r>
              <w:rPr>
                <w:rFonts w:hint="eastAsia"/>
                <w:color w:val="FF0000"/>
                <w:szCs w:val="21"/>
                <w:highlight w:val="none"/>
              </w:rPr>
              <w:t>电</w:t>
            </w:r>
            <w:r>
              <w:rPr>
                <w:rFonts w:hint="eastAsia"/>
                <w:color w:val="FF0000"/>
                <w:szCs w:val="21"/>
                <w:highlight w:val="none"/>
                <w:lang w:val="en-US" w:eastAsia="zh-CN"/>
              </w:rPr>
              <w:t xml:space="preserve">    </w:t>
            </w:r>
            <w:r>
              <w:rPr>
                <w:rFonts w:hint="eastAsia"/>
                <w:color w:val="FF0000"/>
                <w:szCs w:val="21"/>
                <w:highlight w:val="none"/>
              </w:rPr>
              <w:t>话：</w:t>
            </w:r>
            <w:r>
              <w:rPr>
                <w:rFonts w:hint="eastAsia"/>
                <w:color w:val="FF0000"/>
                <w:szCs w:val="21"/>
                <w:highlight w:val="none"/>
                <w:u w:val="single"/>
                <w:lang w:eastAsia="zh-CN"/>
              </w:rPr>
              <w:t>0417-3872735</w:t>
            </w:r>
          </w:p>
          <w:p w14:paraId="1849A245">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3CDAB6E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1BBEE9C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6578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3864C2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58B62743">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2C05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9CE39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2BE65446">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1C9E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6608F19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619F7F5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721190B0">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FF0000"/>
                <w:highlight w:val="none"/>
              </w:rPr>
            </w:pPr>
            <w:r>
              <w:rPr>
                <w:rFonts w:hint="eastAsia" w:ascii="宋体" w:hAnsi="宋体" w:eastAsia="宋体" w:cs="宋体"/>
                <w:color w:val="FF0000"/>
                <w:szCs w:val="21"/>
                <w:highlight w:val="none"/>
                <w:lang w:val="en-US" w:eastAsia="zh-CN"/>
              </w:rPr>
              <w:t>（1）类似项目</w:t>
            </w:r>
            <w:r>
              <w:rPr>
                <w:rFonts w:hint="eastAsia" w:ascii="宋体" w:hAnsi="宋体" w:eastAsia="宋体" w:cs="宋体"/>
                <w:color w:val="FF0000"/>
                <w:szCs w:val="21"/>
                <w:highlight w:val="none"/>
              </w:rPr>
              <w:t>指合同金额大于</w:t>
            </w:r>
            <w:r>
              <w:rPr>
                <w:rFonts w:hint="eastAsia" w:ascii="宋体" w:hAnsi="宋体" w:cs="宋体"/>
                <w:color w:val="FF0000"/>
                <w:szCs w:val="21"/>
                <w:highlight w:val="none"/>
                <w:u w:val="single"/>
                <w:lang w:val="en-US" w:eastAsia="zh-CN"/>
              </w:rPr>
              <w:t>25</w:t>
            </w:r>
            <w:r>
              <w:rPr>
                <w:rFonts w:hint="eastAsia" w:ascii="宋体" w:hAnsi="宋体" w:eastAsia="宋体" w:cs="宋体"/>
                <w:color w:val="FF0000"/>
                <w:highlight w:val="none"/>
                <w:u w:val="single"/>
                <w:lang w:eastAsia="zh-CN"/>
              </w:rPr>
              <w:t>00</w:t>
            </w:r>
            <w:r>
              <w:rPr>
                <w:rFonts w:hint="eastAsia" w:ascii="宋体" w:hAnsi="宋体" w:eastAsia="宋体" w:cs="宋体"/>
                <w:color w:val="FF0000"/>
                <w:highlight w:val="none"/>
              </w:rPr>
              <w:t>万元</w:t>
            </w:r>
            <w:r>
              <w:rPr>
                <w:rFonts w:hint="eastAsia" w:ascii="宋体" w:hAnsi="宋体" w:eastAsia="宋体" w:cs="宋体"/>
                <w:color w:val="FF0000"/>
                <w:highlight w:val="none"/>
                <w:u w:val="single"/>
                <w:lang w:eastAsia="zh-CN"/>
              </w:rPr>
              <w:t>建筑</w:t>
            </w:r>
            <w:r>
              <w:rPr>
                <w:rFonts w:hint="eastAsia" w:ascii="宋体" w:hAnsi="宋体" w:eastAsia="宋体" w:cs="宋体"/>
                <w:color w:val="FF0000"/>
                <w:highlight w:val="none"/>
                <w:u w:val="none"/>
                <w:lang w:val="en-US" w:eastAsia="zh-CN"/>
              </w:rPr>
              <w:t>工程</w:t>
            </w:r>
            <w:r>
              <w:rPr>
                <w:rFonts w:hint="eastAsia" w:ascii="宋体" w:hAnsi="宋体" w:eastAsia="宋体" w:cs="宋体"/>
                <w:color w:val="FF0000"/>
                <w:highlight w:val="none"/>
              </w:rPr>
              <w:t>，且已完成工程竣工验收。</w:t>
            </w:r>
          </w:p>
          <w:p w14:paraId="403E41C3">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FF0000"/>
                <w:highlight w:val="none"/>
              </w:rPr>
            </w:pPr>
            <w:r>
              <w:rPr>
                <w:rFonts w:hint="eastAsia" w:ascii="宋体" w:hAnsi="宋体" w:eastAsia="宋体" w:cs="宋体"/>
                <w:color w:val="FF0000"/>
                <w:highlight w:val="none"/>
                <w:lang w:val="en-US" w:eastAsia="zh-CN"/>
              </w:rPr>
              <w:t>（2）类似项目时间</w:t>
            </w:r>
            <w:r>
              <w:rPr>
                <w:rFonts w:hint="eastAsia" w:ascii="宋体" w:hAnsi="宋体" w:cs="宋体"/>
                <w:color w:val="FF0000"/>
                <w:highlight w:val="none"/>
                <w:lang w:val="en-US" w:eastAsia="zh-CN"/>
              </w:rPr>
              <w:t>：</w:t>
            </w:r>
          </w:p>
          <w:p w14:paraId="2CEDD1F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FF0000"/>
                <w:highlight w:val="none"/>
              </w:rPr>
            </w:pPr>
            <w:r>
              <w:rPr>
                <w:rFonts w:hint="eastAsia" w:ascii="宋体" w:hAnsi="宋体" w:cs="宋体"/>
                <w:color w:val="FF0000"/>
                <w:highlight w:val="none"/>
                <w:lang w:val="en-US" w:eastAsia="zh-CN"/>
              </w:rPr>
              <w:t>□</w:t>
            </w:r>
            <w:r>
              <w:rPr>
                <w:rFonts w:hint="eastAsia" w:ascii="宋体" w:hAnsi="宋体" w:eastAsia="宋体" w:cs="宋体"/>
                <w:color w:val="FF0000"/>
                <w:highlight w:val="none"/>
                <w:lang w:val="en-US" w:eastAsia="zh-CN"/>
              </w:rPr>
              <w:t>合同签订时间为准</w:t>
            </w:r>
          </w:p>
          <w:p w14:paraId="54226F7C">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FF0000"/>
                <w:highlight w:val="none"/>
              </w:rPr>
            </w:pPr>
            <w:r>
              <w:rPr>
                <w:rFonts w:hint="eastAsia" w:ascii="宋体" w:hAnsi="宋体" w:cs="宋体"/>
                <w:color w:val="FF0000"/>
                <w:highlight w:val="none"/>
                <w:lang w:val="en-US" w:eastAsia="zh-CN"/>
              </w:rPr>
              <w:t>☑</w:t>
            </w:r>
            <w:r>
              <w:rPr>
                <w:rFonts w:hint="eastAsia" w:ascii="宋体" w:hAnsi="宋体" w:eastAsia="宋体" w:cs="宋体"/>
                <w:color w:val="FF0000"/>
                <w:highlight w:val="none"/>
                <w:lang w:val="en-US" w:eastAsia="zh-CN"/>
              </w:rPr>
              <w:t>竣工验收时间为准</w:t>
            </w:r>
          </w:p>
          <w:p w14:paraId="0C0B0994">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FF0000"/>
                <w:highlight w:val="none"/>
              </w:rPr>
            </w:pPr>
            <w:r>
              <w:rPr>
                <w:rFonts w:hint="eastAsia" w:ascii="宋体" w:hAnsi="宋体" w:eastAsia="宋体" w:cs="宋体"/>
                <w:color w:val="FF0000"/>
                <w:highlight w:val="none"/>
                <w:lang w:val="en-US" w:eastAsia="zh-CN"/>
              </w:rPr>
              <w:t>（3）类似项目类型</w:t>
            </w:r>
          </w:p>
          <w:p w14:paraId="2FEF4067">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FF0000"/>
                <w:highlight w:val="none"/>
              </w:rPr>
            </w:pPr>
            <w:r>
              <w:rPr>
                <w:rFonts w:hint="eastAsia" w:ascii="宋体" w:hAnsi="宋体" w:cs="宋体"/>
                <w:color w:val="FF0000"/>
                <w:highlight w:val="none"/>
                <w:lang w:val="en-US" w:eastAsia="zh-CN"/>
              </w:rPr>
              <w:t>□</w:t>
            </w:r>
            <w:r>
              <w:rPr>
                <w:rFonts w:hint="eastAsia" w:ascii="宋体" w:hAnsi="宋体" w:eastAsia="宋体" w:cs="宋体"/>
                <w:color w:val="FF0000"/>
                <w:highlight w:val="none"/>
                <w:lang w:val="en-US" w:eastAsia="zh-CN"/>
              </w:rPr>
              <w:t>A类</w:t>
            </w:r>
          </w:p>
          <w:p w14:paraId="15A71318">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FF0000"/>
                <w:highlight w:val="none"/>
              </w:rPr>
            </w:pPr>
            <w:r>
              <w:rPr>
                <w:rFonts w:hint="eastAsia" w:ascii="宋体" w:hAnsi="宋体" w:cs="宋体"/>
                <w:color w:val="FF0000"/>
                <w:highlight w:val="none"/>
                <w:lang w:val="en-US" w:eastAsia="zh-CN"/>
              </w:rPr>
              <w:t>☑</w:t>
            </w:r>
            <w:r>
              <w:rPr>
                <w:rFonts w:hint="eastAsia" w:ascii="宋体" w:hAnsi="宋体" w:eastAsia="宋体" w:cs="宋体"/>
                <w:color w:val="FF0000"/>
                <w:highlight w:val="none"/>
                <w:lang w:val="en-US" w:eastAsia="zh-CN"/>
              </w:rPr>
              <w:t>A+B类</w:t>
            </w:r>
          </w:p>
          <w:p w14:paraId="12E84CEC">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FF0000"/>
                <w:highlight w:val="none"/>
                <w:lang w:val="en-US" w:eastAsia="zh-CN"/>
              </w:rPr>
              <w:t>（4）其他：</w:t>
            </w:r>
            <w:r>
              <w:rPr>
                <w:rFonts w:hint="eastAsia" w:ascii="宋体" w:hAnsi="宋体" w:eastAsia="宋体" w:cs="宋体"/>
                <w:color w:val="FF0000"/>
                <w:highlight w:val="none"/>
                <w:u w:val="single"/>
                <w:lang w:val="en-US" w:eastAsia="zh-CN"/>
              </w:rPr>
              <w:t>具体详见评标办法</w:t>
            </w:r>
          </w:p>
        </w:tc>
      </w:tr>
      <w:tr w14:paraId="5723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ECAB3F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0E5AF03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27950963">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6CD2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1342B9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072E058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0DAC5F1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4EB1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7D79303">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687354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7E0F812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1D1B11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0F60EFA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04B4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FD3775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13A63C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45F47F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5034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667E56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32E72461">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78E90FE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7FEA38B">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303D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59D7AD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53618C7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304BE54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32D00B6C">
            <w:pPr>
              <w:keepNext w:val="0"/>
              <w:keepLines w:val="0"/>
              <w:suppressLineNumbers w:val="0"/>
              <w:spacing w:before="0" w:beforeAutospacing="0" w:after="0" w:afterAutospacing="0" w:line="320" w:lineRule="exact"/>
              <w:ind w:left="0" w:right="0"/>
              <w:rPr>
                <w:rFonts w:hint="eastAsia"/>
                <w:strike/>
                <w:dstrike w:val="0"/>
                <w:color w:val="FF0000"/>
                <w:highlight w:val="none"/>
                <w:lang w:val="en-US" w:eastAsia="zh-CN"/>
              </w:rPr>
            </w:pPr>
            <w:r>
              <w:rPr>
                <w:rFonts w:hint="eastAsia"/>
                <w:color w:val="auto"/>
                <w:highlight w:val="none"/>
                <w:lang w:eastAsia="zh-CN"/>
              </w:rPr>
              <w:t>1、投标报价</w:t>
            </w:r>
            <w:r>
              <w:rPr>
                <w:rFonts w:hint="eastAsia"/>
                <w:color w:val="auto"/>
                <w:highlight w:val="none"/>
                <w:lang w:eastAsia="zh-CN"/>
              </w:rPr>
              <w:br w:type="textWrapping"/>
            </w:r>
            <w:r>
              <w:rPr>
                <w:rFonts w:hint="eastAsia"/>
                <w:color w:val="auto"/>
                <w:highlight w:val="none"/>
                <w:lang w:eastAsia="zh-CN"/>
              </w:rPr>
              <w:t>1.1 报价依据</w:t>
            </w:r>
            <w:r>
              <w:rPr>
                <w:rFonts w:hint="eastAsia"/>
                <w:color w:val="auto"/>
                <w:highlight w:val="none"/>
                <w:lang w:eastAsia="zh-CN"/>
              </w:rPr>
              <w:br w:type="textWrapping"/>
            </w:r>
            <w:r>
              <w:rPr>
                <w:rFonts w:hint="eastAsia"/>
                <w:color w:val="auto"/>
                <w:highlight w:val="none"/>
                <w:lang w:eastAsia="zh-CN"/>
              </w:rPr>
              <w:t>本工程采用工程量清单计价，投标报价应根据现行计价文件规范编制，包含但不限于下列内容：</w:t>
            </w:r>
            <w:r>
              <w:rPr>
                <w:rFonts w:hint="eastAsia"/>
                <w:color w:val="auto"/>
                <w:highlight w:val="none"/>
                <w:lang w:eastAsia="zh-CN"/>
              </w:rPr>
              <w:br w:type="textWrapping"/>
            </w:r>
            <w:r>
              <w:rPr>
                <w:rFonts w:hint="eastAsia"/>
                <w:color w:val="auto"/>
                <w:highlight w:val="none"/>
                <w:lang w:eastAsia="zh-CN"/>
              </w:rPr>
              <w:t>①招标文件、工程量清单及其补遗文件；</w:t>
            </w:r>
            <w:r>
              <w:rPr>
                <w:rFonts w:hint="eastAsia"/>
                <w:color w:val="auto"/>
                <w:highlight w:val="none"/>
                <w:lang w:eastAsia="zh-CN"/>
              </w:rPr>
              <w:br w:type="textWrapping"/>
            </w:r>
            <w:r>
              <w:rPr>
                <w:rFonts w:hint="eastAsia"/>
                <w:color w:val="auto"/>
                <w:highlight w:val="none"/>
                <w:lang w:eastAsia="zh-CN"/>
              </w:rPr>
              <w:t>②国家或省级、行业建设主管部门颁发的计价办法；</w:t>
            </w:r>
            <w:r>
              <w:rPr>
                <w:rFonts w:hint="eastAsia"/>
                <w:color w:val="auto"/>
                <w:highlight w:val="none"/>
                <w:lang w:eastAsia="zh-CN"/>
              </w:rPr>
              <w:br w:type="textWrapping"/>
            </w:r>
            <w:r>
              <w:rPr>
                <w:rFonts w:hint="eastAsia"/>
                <w:color w:val="auto"/>
                <w:highlight w:val="none"/>
                <w:lang w:eastAsia="zh-CN"/>
              </w:rPr>
              <w:t>③建设工程设计文件及其相关资料；</w:t>
            </w:r>
            <w:r>
              <w:rPr>
                <w:rFonts w:hint="eastAsia"/>
                <w:color w:val="auto"/>
                <w:highlight w:val="none"/>
                <w:lang w:eastAsia="zh-CN"/>
              </w:rPr>
              <w:br w:type="textWrapping"/>
            </w:r>
            <w:r>
              <w:rPr>
                <w:rFonts w:hint="eastAsia"/>
                <w:color w:val="auto"/>
                <w:highlight w:val="none"/>
                <w:lang w:eastAsia="zh-CN"/>
              </w:rPr>
              <w:t>④施工现场情况、工程特点及拟定的投标施工组织设计或施工方案；</w:t>
            </w:r>
            <w:r>
              <w:rPr>
                <w:rFonts w:hint="eastAsia"/>
                <w:color w:val="auto"/>
                <w:highlight w:val="none"/>
                <w:lang w:eastAsia="zh-CN"/>
              </w:rPr>
              <w:br w:type="textWrapping"/>
            </w:r>
            <w:r>
              <w:rPr>
                <w:rFonts w:hint="eastAsia"/>
                <w:color w:val="auto"/>
                <w:highlight w:val="none"/>
                <w:lang w:eastAsia="zh-CN"/>
              </w:rPr>
              <w:t>⑤与建设项目相关的标准、规范等技术资料；</w:t>
            </w:r>
            <w:r>
              <w:rPr>
                <w:rFonts w:hint="eastAsia"/>
                <w:color w:val="auto"/>
                <w:highlight w:val="none"/>
                <w:lang w:eastAsia="zh-CN"/>
              </w:rPr>
              <w:br w:type="textWrapping"/>
            </w:r>
            <w:r>
              <w:rPr>
                <w:rFonts w:hint="eastAsia"/>
                <w:color w:val="auto"/>
                <w:highlight w:val="none"/>
                <w:lang w:eastAsia="zh-CN"/>
              </w:rPr>
              <w:t>⑥市场价格信息或工程造价管理机构发布的工程造价信息。</w:t>
            </w:r>
            <w:r>
              <w:rPr>
                <w:rFonts w:hint="eastAsia"/>
                <w:color w:val="auto"/>
                <w:highlight w:val="none"/>
                <w:lang w:eastAsia="zh-CN"/>
              </w:rPr>
              <w:br w:type="textWrapping"/>
            </w:r>
            <w:r>
              <w:rPr>
                <w:rFonts w:hint="eastAsia"/>
                <w:color w:val="auto"/>
                <w:highlight w:val="none"/>
                <w:lang w:eastAsia="zh-CN"/>
              </w:rPr>
              <w:t>1.2 报价要求</w:t>
            </w:r>
            <w:r>
              <w:rPr>
                <w:rFonts w:hint="eastAsia"/>
                <w:color w:val="auto"/>
                <w:highlight w:val="none"/>
                <w:lang w:eastAsia="zh-CN"/>
              </w:rPr>
              <w:br w:type="textWrapping"/>
            </w:r>
            <w:r>
              <w:rPr>
                <w:rFonts w:hint="eastAsia"/>
                <w:color w:val="auto"/>
                <w:highlight w:val="none"/>
                <w:lang w:eastAsia="zh-CN"/>
              </w:rPr>
              <w:t>1.2.1 投标报价应由投标人或受其委托的工程造价咨询人编制，除国家强制性规定外，投标价由投标人自行确定，但不得低于成本。</w:t>
            </w:r>
            <w:r>
              <w:rPr>
                <w:rFonts w:hint="eastAsia"/>
                <w:color w:val="auto"/>
                <w:highlight w:val="none"/>
                <w:lang w:eastAsia="zh-CN"/>
              </w:rPr>
              <w:br w:type="textWrapping"/>
            </w:r>
            <w:r>
              <w:rPr>
                <w:rFonts w:hint="eastAsia"/>
                <w:color w:val="auto"/>
                <w:highlight w:val="none"/>
                <w:lang w:eastAsia="zh-CN"/>
              </w:rPr>
              <w:t>1.2.2 投标人应按照招标人提供的工程量清单填报价格。填写的项目编码、项目名称、项目特征、计量单位、工程量必须与招标人提供的一致。工程量清单计价表中列明的所有需要填写的单价和合价，投标人均应填写，未填写的单价和合价，视为此项费用已包含在工程量清单的其他单价和合价中。</w:t>
            </w:r>
            <w:r>
              <w:rPr>
                <w:rFonts w:hint="eastAsia"/>
                <w:color w:val="auto"/>
                <w:highlight w:val="none"/>
                <w:lang w:eastAsia="zh-CN"/>
              </w:rPr>
              <w:br w:type="textWrapping"/>
            </w:r>
            <w:r>
              <w:rPr>
                <w:rFonts w:hint="eastAsia"/>
                <w:color w:val="auto"/>
                <w:highlight w:val="none"/>
                <w:lang w:eastAsia="zh-CN"/>
              </w:rPr>
              <w:t>1.2.3 分部分项工程费应依据综合单价的组成内容，按照招标文件中分部分项工程量清单项目的特征描述确定综合单价计算。</w:t>
            </w:r>
            <w:r>
              <w:rPr>
                <w:rFonts w:hint="eastAsia"/>
                <w:color w:val="auto"/>
                <w:highlight w:val="none"/>
                <w:lang w:eastAsia="zh-CN"/>
              </w:rPr>
              <w:br w:type="textWrapping"/>
            </w:r>
            <w:r>
              <w:rPr>
                <w:rFonts w:hint="eastAsia"/>
                <w:color w:val="auto"/>
                <w:highlight w:val="none"/>
                <w:lang w:eastAsia="zh-CN"/>
              </w:rPr>
              <w:t>综合单价的组成内容：完成一个规定计量单位的分部分项工程量清单项目或措施清单项目所需的人工费、材料费、施工机械使用费和企业管理费与利润等,并考虑存在风险的费用。</w:t>
            </w:r>
            <w:r>
              <w:rPr>
                <w:rFonts w:hint="eastAsia"/>
                <w:color w:val="auto"/>
                <w:highlight w:val="none"/>
                <w:lang w:eastAsia="zh-CN"/>
              </w:rPr>
              <w:br w:type="textWrapping"/>
            </w:r>
            <w:r>
              <w:rPr>
                <w:rFonts w:hint="eastAsia"/>
                <w:color w:val="auto"/>
                <w:highlight w:val="none"/>
                <w:lang w:eastAsia="zh-CN"/>
              </w:rPr>
              <w:t>1.2.4措施项目费</w:t>
            </w:r>
            <w:r>
              <w:rPr>
                <w:rFonts w:hint="eastAsia"/>
                <w:color w:val="auto"/>
                <w:highlight w:val="none"/>
                <w:lang w:eastAsia="zh-CN"/>
              </w:rPr>
              <w:br w:type="textWrapping"/>
            </w:r>
            <w:r>
              <w:rPr>
                <w:rFonts w:hint="eastAsia"/>
                <w:color w:val="auto"/>
                <w:highlight w:val="none"/>
                <w:lang w:eastAsia="zh-CN"/>
              </w:rPr>
              <w:t>①分部分项工程量清单中的技术措施项目</w:t>
            </w:r>
            <w:r>
              <w:rPr>
                <w:rFonts w:hint="eastAsia"/>
                <w:color w:val="auto"/>
                <w:highlight w:val="none"/>
                <w:lang w:eastAsia="zh-CN"/>
              </w:rPr>
              <w:br w:type="textWrapping"/>
            </w:r>
            <w:r>
              <w:rPr>
                <w:rFonts w:hint="eastAsia"/>
                <w:color w:val="auto"/>
                <w:highlight w:val="none"/>
                <w:lang w:eastAsia="zh-CN"/>
              </w:rPr>
              <w:t>投标人可以根据自身情况确定技术措施进行报价。投标人不得改变工程量清单中的技术措施项目和工程数量。</w:t>
            </w:r>
            <w:r>
              <w:rPr>
                <w:rFonts w:hint="eastAsia"/>
                <w:color w:val="auto"/>
                <w:highlight w:val="none"/>
                <w:lang w:eastAsia="zh-CN"/>
              </w:rPr>
              <w:br w:type="textWrapping"/>
            </w:r>
            <w:r>
              <w:rPr>
                <w:rFonts w:hint="eastAsia"/>
                <w:color w:val="auto"/>
                <w:highlight w:val="none"/>
                <w:lang w:eastAsia="zh-CN"/>
              </w:rPr>
              <w:t>②措施项目清单中的措施项目</w:t>
            </w:r>
            <w:r>
              <w:rPr>
                <w:rFonts w:hint="eastAsia"/>
                <w:color w:val="auto"/>
                <w:highlight w:val="none"/>
                <w:lang w:eastAsia="zh-CN"/>
              </w:rPr>
              <w:br w:type="textWrapping"/>
            </w:r>
            <w:r>
              <w:rPr>
                <w:rFonts w:hint="eastAsia"/>
                <w:color w:val="auto"/>
                <w:highlight w:val="none"/>
                <w:lang w:eastAsia="zh-CN"/>
              </w:rPr>
              <w:t>投标人应根据招标文件中的措施项目清单及投标时拟定的施工组织设计或施工方案自主确定。</w:t>
            </w:r>
            <w:r>
              <w:rPr>
                <w:rFonts w:hint="eastAsia"/>
                <w:color w:val="auto"/>
                <w:highlight w:val="none"/>
                <w:lang w:eastAsia="zh-CN"/>
              </w:rPr>
              <w:br w:type="textWrapping"/>
            </w:r>
            <w:r>
              <w:rPr>
                <w:rFonts w:hint="eastAsia"/>
                <w:color w:val="auto"/>
                <w:highlight w:val="none"/>
                <w:lang w:eastAsia="zh-CN"/>
              </w:rPr>
              <w:t>投标人可根据工程实际情况结合施工组织设计，对招标人所列的措施项目进行增补。其中安全文明施工费应按照国家或省级、行业建设主管部门的规定计价，不得作为竞争性费用。投标报价应与投标人施工组织设计密切相关，不允许报价与施工组织严重脱节。</w:t>
            </w:r>
            <w:r>
              <w:rPr>
                <w:rFonts w:hint="eastAsia"/>
                <w:color w:val="auto"/>
                <w:highlight w:val="none"/>
                <w:lang w:eastAsia="zh-CN"/>
              </w:rPr>
              <w:br w:type="textWrapping"/>
            </w:r>
            <w:r>
              <w:rPr>
                <w:rFonts w:hint="eastAsia"/>
                <w:color w:val="auto"/>
                <w:highlight w:val="none"/>
                <w:lang w:eastAsia="zh-CN"/>
              </w:rPr>
              <w:t>1.2.5其他项目费应按下列规定报价：</w:t>
            </w:r>
            <w:r>
              <w:rPr>
                <w:rFonts w:hint="eastAsia"/>
                <w:color w:val="auto"/>
                <w:highlight w:val="none"/>
                <w:lang w:eastAsia="zh-CN"/>
              </w:rPr>
              <w:br w:type="textWrapping"/>
            </w:r>
            <w:r>
              <w:rPr>
                <w:rFonts w:hint="eastAsia"/>
                <w:color w:val="auto"/>
                <w:highlight w:val="none"/>
                <w:lang w:eastAsia="zh-CN"/>
              </w:rPr>
              <w:t>①材料暂估价应按招标人在其他项目清单中列出的单价计入综合单价；专业工程暂估价应按招标人在其他项目清单中列出的金额填写；暂估价材料（设备）一览表、暂估价专业工程一览表详见工程量清单。</w:t>
            </w:r>
            <w:r>
              <w:rPr>
                <w:rFonts w:hint="eastAsia"/>
                <w:color w:val="auto"/>
                <w:highlight w:val="none"/>
                <w:lang w:eastAsia="zh-CN"/>
              </w:rPr>
              <w:br w:type="textWrapping"/>
            </w:r>
            <w:r>
              <w:rPr>
                <w:rFonts w:hint="eastAsia"/>
                <w:color w:val="auto"/>
                <w:highlight w:val="none"/>
                <w:lang w:eastAsia="zh-CN"/>
              </w:rPr>
              <w:t>②计日工按招标人在其他项目清单中列出的项目和数量，自主确定综合单价并计算计日工费用。</w:t>
            </w:r>
            <w:r>
              <w:rPr>
                <w:rFonts w:hint="eastAsia"/>
                <w:color w:val="auto"/>
                <w:highlight w:val="none"/>
                <w:lang w:eastAsia="zh-CN"/>
              </w:rPr>
              <w:br w:type="textWrapping"/>
            </w:r>
            <w:r>
              <w:rPr>
                <w:rFonts w:hint="eastAsia"/>
                <w:color w:val="auto"/>
                <w:highlight w:val="none"/>
                <w:lang w:eastAsia="zh-CN"/>
              </w:rPr>
              <w:t>1.2.6规费和税金：按照国家或省级、行业建设主管部门的最新规定执行。</w:t>
            </w:r>
            <w:r>
              <w:rPr>
                <w:rFonts w:hint="eastAsia"/>
                <w:color w:val="auto"/>
                <w:highlight w:val="none"/>
                <w:lang w:eastAsia="zh-CN"/>
              </w:rPr>
              <w:br w:type="textWrapping"/>
            </w:r>
            <w:r>
              <w:rPr>
                <w:rFonts w:hint="eastAsia"/>
                <w:color w:val="auto"/>
                <w:highlight w:val="none"/>
                <w:lang w:eastAsia="zh-CN"/>
              </w:rPr>
              <w:t>1.2.7投标总价应当与分部分项工程费、措施项目费、其他项目费和规费、税金的合计金额一致。</w:t>
            </w:r>
            <w:r>
              <w:rPr>
                <w:rFonts w:hint="eastAsia"/>
                <w:color w:val="auto"/>
                <w:highlight w:val="none"/>
                <w:lang w:eastAsia="zh-CN"/>
              </w:rPr>
              <w:br w:type="textWrapping"/>
            </w:r>
            <w:r>
              <w:rPr>
                <w:rFonts w:hint="eastAsia"/>
                <w:color w:val="auto"/>
                <w:highlight w:val="none"/>
                <w:lang w:eastAsia="zh-CN"/>
              </w:rPr>
              <w:t>1.2.8 本工程投标报价采用的货币种类为人民币，单位为元。</w:t>
            </w:r>
            <w:r>
              <w:rPr>
                <w:rFonts w:hint="eastAsia"/>
                <w:color w:val="auto"/>
                <w:highlight w:val="none"/>
                <w:lang w:eastAsia="zh-CN"/>
              </w:rPr>
              <w:br w:type="textWrapping"/>
            </w:r>
            <w:r>
              <w:rPr>
                <w:rFonts w:hint="eastAsia"/>
                <w:color w:val="auto"/>
                <w:highlight w:val="none"/>
                <w:lang w:eastAsia="zh-CN"/>
              </w:rPr>
              <w:t>1.2.9 其他要求</w:t>
            </w:r>
            <w:r>
              <w:rPr>
                <w:rFonts w:hint="eastAsia"/>
                <w:color w:val="auto"/>
                <w:highlight w:val="none"/>
                <w:lang w:eastAsia="zh-CN"/>
              </w:rPr>
              <w:br w:type="textWrapping"/>
            </w:r>
            <w:r>
              <w:rPr>
                <w:rFonts w:hint="eastAsia"/>
                <w:color w:val="auto"/>
                <w:highlight w:val="none"/>
                <w:lang w:eastAsia="zh-CN"/>
              </w:rPr>
              <w:t>①本工程的验收手续由中标人负责办理，费用计入投标报价。</w:t>
            </w:r>
            <w:r>
              <w:rPr>
                <w:rFonts w:hint="eastAsia"/>
                <w:color w:val="auto"/>
                <w:highlight w:val="none"/>
                <w:lang w:eastAsia="zh-CN"/>
              </w:rPr>
              <w:br w:type="textWrapping"/>
            </w:r>
            <w:r>
              <w:rPr>
                <w:rFonts w:hint="eastAsia"/>
                <w:color w:val="auto"/>
                <w:highlight w:val="none"/>
                <w:lang w:eastAsia="zh-CN"/>
              </w:rPr>
              <w:t xml:space="preserve">②本工程施工过程中所涉及到的全部保险由中标人负责办理，其费用须包含在投标总价中。 </w:t>
            </w:r>
            <w:r>
              <w:rPr>
                <w:rFonts w:hint="eastAsia"/>
                <w:color w:val="auto"/>
                <w:highlight w:val="none"/>
                <w:lang w:eastAsia="zh-CN"/>
              </w:rPr>
              <w:br w:type="textWrapping"/>
            </w:r>
            <w:r>
              <w:rPr>
                <w:rFonts w:hint="eastAsia"/>
                <w:color w:val="auto"/>
                <w:highlight w:val="none"/>
                <w:lang w:eastAsia="zh-CN"/>
              </w:rPr>
              <w:t>③ 施工用水用电：施工现场施工时所用的电费和水费设表计量，费用由承包人缴纳。投标人投标报价时应考虑相关费用，结算时不予调整。</w:t>
            </w:r>
            <w:r>
              <w:rPr>
                <w:rFonts w:hint="eastAsia"/>
                <w:color w:val="auto"/>
                <w:highlight w:val="none"/>
                <w:lang w:eastAsia="zh-CN"/>
              </w:rPr>
              <w:br w:type="textWrapping"/>
            </w:r>
            <w:r>
              <w:rPr>
                <w:rFonts w:hint="eastAsia"/>
                <w:color w:val="auto"/>
                <w:highlight w:val="none"/>
                <w:lang w:eastAsia="zh-CN"/>
              </w:rPr>
              <w:t>④ 施工中发生的深化设计由施工单位负责，投标人的投标报价应包含可能发生的深化设计费用。</w:t>
            </w:r>
            <w:r>
              <w:rPr>
                <w:rFonts w:hint="eastAsia"/>
                <w:color w:val="auto"/>
                <w:highlight w:val="none"/>
                <w:lang w:eastAsia="zh-CN"/>
              </w:rPr>
              <w:br w:type="textWrapping"/>
            </w:r>
            <w:r>
              <w:rPr>
                <w:rFonts w:hint="eastAsia"/>
                <w:color w:val="auto"/>
                <w:highlight w:val="none"/>
                <w:lang w:eastAsia="zh-CN"/>
              </w:rPr>
              <w:t>⑤ 中标人进驻施工现场进行施工作业和搭设临时用房，事先要征得甲方代表同意，按甲方划定的区域进行搭设。对施工现场地下的各种管线及周围建筑物需采取有效保护措施，如造成损坏及由此引发的人身安全和事故，中标人承担一切后果和损失。</w:t>
            </w:r>
            <w:r>
              <w:rPr>
                <w:rFonts w:hint="eastAsia"/>
                <w:color w:val="auto"/>
                <w:highlight w:val="none"/>
                <w:lang w:eastAsia="zh-CN"/>
              </w:rPr>
              <w:br w:type="textWrapping"/>
            </w:r>
            <w:r>
              <w:rPr>
                <w:rFonts w:hint="eastAsia"/>
                <w:color w:val="auto"/>
                <w:highlight w:val="none"/>
                <w:lang w:eastAsia="zh-CN"/>
              </w:rPr>
              <w:t>2、合同方式：本项目实行工程量清单计价，采用固定单价合同，中标的综合单价即为合同单价。合同单价在招标文件及施工合同约定的招标内容（工作内容）风险范围之内不可调整。</w:t>
            </w:r>
            <w:r>
              <w:rPr>
                <w:rFonts w:hint="eastAsia"/>
                <w:color w:val="auto"/>
                <w:highlight w:val="none"/>
                <w:lang w:eastAsia="zh-CN"/>
              </w:rPr>
              <w:br w:type="textWrapping"/>
            </w:r>
            <w:r>
              <w:rPr>
                <w:rFonts w:hint="eastAsia"/>
                <w:color w:val="auto"/>
                <w:highlight w:val="none"/>
                <w:lang w:eastAsia="zh-CN"/>
              </w:rPr>
              <w:t>3、承包方式：本工程承包方式为包工包料，承包单位采购的材料、设备，需经建设单位认可批准并经监理单位认证后方可采购和使用。投标时选用的材料如不符合工程规范和设计要求，施工时必须予以更换，但材料价格及涉及的其它费用均不做调整。</w:t>
            </w:r>
            <w:r>
              <w:rPr>
                <w:rFonts w:hint="eastAsia"/>
                <w:color w:val="auto"/>
                <w:highlight w:val="none"/>
                <w:lang w:eastAsia="zh-CN"/>
              </w:rPr>
              <w:br w:type="textWrapping"/>
            </w:r>
            <w:r>
              <w:rPr>
                <w:rFonts w:hint="eastAsia"/>
                <w:color w:val="FF0000"/>
                <w:highlight w:val="none"/>
                <w:lang w:eastAsia="zh-CN"/>
              </w:rPr>
              <w:t>4、付款方式：</w:t>
            </w:r>
          </w:p>
          <w:p w14:paraId="13E6802B">
            <w:pPr>
              <w:keepNext w:val="0"/>
              <w:keepLines w:val="0"/>
              <w:numPr>
                <w:ilvl w:val="0"/>
                <w:numId w:val="1"/>
              </w:numPr>
              <w:suppressLineNumbers w:val="0"/>
              <w:spacing w:before="0" w:beforeAutospacing="0" w:after="0" w:afterAutospacing="0" w:line="320" w:lineRule="exact"/>
              <w:ind w:left="0" w:right="0"/>
              <w:rPr>
                <w:rFonts w:hint="eastAsia"/>
                <w:color w:val="FF0000"/>
                <w:highlight w:val="none"/>
                <w:lang w:val="en-US" w:eastAsia="zh-CN"/>
              </w:rPr>
            </w:pPr>
            <w:r>
              <w:rPr>
                <w:rFonts w:hint="eastAsia"/>
                <w:color w:val="FF0000"/>
                <w:highlight w:val="none"/>
                <w:lang w:eastAsia="zh-CN"/>
              </w:rPr>
              <w:t>预付款：</w:t>
            </w:r>
            <w:r>
              <w:rPr>
                <w:rFonts w:hint="eastAsia"/>
                <w:color w:val="FF0000"/>
                <w:highlight w:val="none"/>
                <w:lang w:val="en-US" w:eastAsia="zh-CN"/>
              </w:rPr>
              <w:t>本项目无预付款。</w:t>
            </w:r>
          </w:p>
          <w:p w14:paraId="075DB8D8">
            <w:pPr>
              <w:keepNext w:val="0"/>
              <w:keepLines w:val="0"/>
              <w:numPr>
                <w:ilvl w:val="0"/>
                <w:numId w:val="0"/>
              </w:numPr>
              <w:suppressLineNumbers w:val="0"/>
              <w:spacing w:before="0" w:beforeAutospacing="0" w:after="0" w:afterAutospacing="0" w:line="320" w:lineRule="exact"/>
              <w:ind w:right="0" w:rightChars="0"/>
              <w:rPr>
                <w:rFonts w:hint="eastAsia" w:ascii="宋体" w:hAnsi="宋体" w:eastAsia="宋体" w:cs="宋体"/>
                <w:spacing w:val="20"/>
                <w:highlight w:val="none"/>
                <w:u w:val="single"/>
                <w:lang w:val="en-US" w:eastAsia="zh-CN"/>
              </w:rPr>
            </w:pPr>
            <w:r>
              <w:rPr>
                <w:rFonts w:hint="eastAsia"/>
                <w:color w:val="FF0000"/>
                <w:highlight w:val="none"/>
                <w:lang w:eastAsia="zh-CN"/>
              </w:rPr>
              <w:t>（</w:t>
            </w:r>
            <w:r>
              <w:rPr>
                <w:rFonts w:hint="eastAsia"/>
                <w:color w:val="FF0000"/>
                <w:highlight w:val="none"/>
                <w:lang w:val="en-US" w:eastAsia="zh-CN"/>
              </w:rPr>
              <w:t>2</w:t>
            </w:r>
            <w:r>
              <w:rPr>
                <w:rFonts w:hint="eastAsia"/>
                <w:color w:val="FF0000"/>
                <w:highlight w:val="none"/>
                <w:lang w:eastAsia="zh-CN"/>
              </w:rPr>
              <w:t>）进度款：按每月完成产值80%支付工程进度款。</w:t>
            </w:r>
          </w:p>
          <w:p w14:paraId="17311027">
            <w:pPr>
              <w:keepNext w:val="0"/>
              <w:keepLines w:val="0"/>
              <w:numPr>
                <w:ilvl w:val="0"/>
                <w:numId w:val="0"/>
              </w:numPr>
              <w:suppressLineNumbers w:val="0"/>
              <w:spacing w:before="0" w:beforeAutospacing="0" w:after="0" w:afterAutospacing="0" w:line="320" w:lineRule="exact"/>
              <w:ind w:right="0" w:rightChars="0"/>
              <w:rPr>
                <w:rFonts w:hint="eastAsia" w:ascii="宋体" w:hAnsi="宋体" w:eastAsia="宋体" w:cs="宋体"/>
                <w:spacing w:val="20"/>
                <w:highlight w:val="none"/>
                <w:u w:val="single"/>
                <w:lang w:val="en-US" w:eastAsia="zh-CN"/>
              </w:rPr>
            </w:pPr>
            <w:r>
              <w:rPr>
                <w:rFonts w:hint="eastAsia"/>
                <w:color w:val="FF0000"/>
                <w:highlight w:val="none"/>
                <w:lang w:eastAsia="zh-CN"/>
              </w:rPr>
              <w:t>（</w:t>
            </w:r>
            <w:r>
              <w:rPr>
                <w:rFonts w:hint="eastAsia"/>
                <w:color w:val="FF0000"/>
                <w:highlight w:val="none"/>
                <w:lang w:val="en-US" w:eastAsia="zh-CN"/>
              </w:rPr>
              <w:t>3</w:t>
            </w:r>
            <w:r>
              <w:rPr>
                <w:rFonts w:hint="eastAsia"/>
                <w:color w:val="FF0000"/>
                <w:highlight w:val="none"/>
                <w:lang w:eastAsia="zh-CN"/>
              </w:rPr>
              <w:t>）竣工验收款：经财政审核完成后支付至97%。</w:t>
            </w:r>
          </w:p>
          <w:p w14:paraId="026751C5">
            <w:pPr>
              <w:keepNext w:val="0"/>
              <w:keepLines w:val="0"/>
              <w:numPr>
                <w:ilvl w:val="0"/>
                <w:numId w:val="0"/>
              </w:numPr>
              <w:suppressLineNumbers w:val="0"/>
              <w:spacing w:before="0" w:beforeAutospacing="0" w:after="0" w:afterAutospacing="0" w:line="320" w:lineRule="exact"/>
              <w:ind w:right="0" w:rightChars="0"/>
              <w:rPr>
                <w:rFonts w:hint="eastAsia" w:ascii="宋体" w:hAnsi="宋体" w:eastAsia="宋体" w:cs="宋体"/>
                <w:spacing w:val="20"/>
                <w:highlight w:val="none"/>
                <w:u w:val="single"/>
                <w:lang w:val="en-US" w:eastAsia="zh-CN"/>
              </w:rPr>
            </w:pPr>
            <w:r>
              <w:rPr>
                <w:rFonts w:hint="eastAsia"/>
                <w:color w:val="FF0000"/>
                <w:highlight w:val="none"/>
                <w:lang w:eastAsia="zh-CN"/>
              </w:rPr>
              <w:t>（4）质保金：审定金额的3%作为质保金，质保期为工程竣工验收合格后2年。质保期满且无质量问题后，无息退还质保金。</w:t>
            </w:r>
            <w:r>
              <w:rPr>
                <w:rFonts w:hint="eastAsia"/>
                <w:color w:val="FF0000"/>
                <w:highlight w:val="none"/>
                <w:lang w:eastAsia="zh-CN"/>
              </w:rPr>
              <w:br w:type="textWrapping"/>
            </w:r>
            <w:r>
              <w:rPr>
                <w:rFonts w:hint="eastAsia"/>
                <w:color w:val="FF0000"/>
                <w:highlight w:val="none"/>
                <w:lang w:eastAsia="zh-CN"/>
              </w:rPr>
              <w:t xml:space="preserve">5、保修期：2年，外墙装饰及防水工程保修期5年。 </w:t>
            </w:r>
            <w:r>
              <w:rPr>
                <w:rFonts w:hint="eastAsia"/>
                <w:color w:val="auto"/>
                <w:highlight w:val="yellow"/>
                <w:lang w:eastAsia="zh-CN"/>
              </w:rPr>
              <w:br w:type="textWrapping"/>
            </w:r>
            <w:r>
              <w:rPr>
                <w:rFonts w:hint="eastAsia"/>
                <w:color w:val="auto"/>
                <w:highlight w:val="none"/>
                <w:lang w:eastAsia="zh-CN"/>
              </w:rPr>
              <w:t>6、招标代理服务费</w:t>
            </w:r>
            <w:r>
              <w:rPr>
                <w:rFonts w:hint="eastAsia"/>
                <w:color w:val="auto"/>
                <w:highlight w:val="none"/>
                <w:lang w:eastAsia="zh-CN"/>
              </w:rPr>
              <w:br w:type="textWrapping"/>
            </w:r>
            <w:r>
              <w:rPr>
                <w:rFonts w:hint="eastAsia"/>
                <w:color w:val="auto"/>
                <w:highlight w:val="none"/>
                <w:lang w:eastAsia="zh-CN"/>
              </w:rPr>
              <w:t>6.1 本次招标的代理服务费由中标人支付，</w:t>
            </w:r>
            <w:r>
              <w:rPr>
                <w:rFonts w:hint="eastAsia" w:ascii="宋体" w:hAnsi="宋体" w:eastAsia="宋体" w:cs="宋体"/>
                <w:color w:val="FF0000"/>
                <w:spacing w:val="20"/>
                <w:highlight w:val="none"/>
                <w:u w:val="single"/>
                <w:lang w:val="en-US" w:eastAsia="zh-CN"/>
              </w:rPr>
              <w:t>定额收取7.5万元。</w:t>
            </w:r>
          </w:p>
          <w:p w14:paraId="6E37EBB3">
            <w:pPr>
              <w:pStyle w:val="27"/>
              <w:tabs>
                <w:tab w:val="left" w:pos="1082"/>
                <w:tab w:val="left" w:pos="1627"/>
                <w:tab w:val="left" w:pos="2171"/>
                <w:tab w:val="left" w:pos="2717"/>
                <w:tab w:val="left" w:pos="3261"/>
                <w:tab w:val="left" w:pos="3806"/>
                <w:tab w:val="left" w:pos="4351"/>
                <w:tab w:val="left" w:pos="4893"/>
              </w:tabs>
              <w:spacing w:line="400" w:lineRule="exact"/>
              <w:ind w:right="96"/>
              <w:rPr>
                <w:rFonts w:ascii="宋体" w:hAnsi="宋体" w:cs="宋体"/>
                <w:sz w:val="21"/>
                <w:highlight w:val="none"/>
                <w:u w:val="single"/>
                <w:lang w:eastAsia="zh-CN"/>
              </w:rPr>
            </w:pPr>
            <w:r>
              <w:rPr>
                <w:rFonts w:hint="eastAsia" w:ascii="宋体" w:hAnsi="宋体" w:cs="宋体"/>
                <w:sz w:val="21"/>
                <w:highlight w:val="none"/>
                <w:lang w:eastAsia="zh-CN"/>
              </w:rPr>
              <w:t>单位名称：</w:t>
            </w:r>
            <w:r>
              <w:rPr>
                <w:rFonts w:hint="eastAsia" w:ascii="宋体" w:hAnsi="宋体" w:cs="宋体"/>
                <w:sz w:val="21"/>
                <w:highlight w:val="none"/>
                <w:u w:val="single"/>
                <w:lang w:eastAsia="zh-CN"/>
              </w:rPr>
              <w:t>乔泰工程管理集团有限公司</w:t>
            </w:r>
          </w:p>
          <w:p w14:paraId="7D5CC8D6">
            <w:pPr>
              <w:pStyle w:val="27"/>
              <w:tabs>
                <w:tab w:val="left" w:pos="1082"/>
                <w:tab w:val="left" w:pos="1627"/>
                <w:tab w:val="left" w:pos="2171"/>
                <w:tab w:val="left" w:pos="2717"/>
                <w:tab w:val="left" w:pos="3261"/>
                <w:tab w:val="left" w:pos="3806"/>
                <w:tab w:val="left" w:pos="4351"/>
                <w:tab w:val="left" w:pos="4893"/>
              </w:tabs>
              <w:spacing w:line="400" w:lineRule="exact"/>
              <w:ind w:right="96"/>
              <w:rPr>
                <w:rFonts w:ascii="宋体" w:hAnsi="宋体" w:cs="宋体"/>
                <w:sz w:val="21"/>
                <w:highlight w:val="none"/>
                <w:u w:val="single"/>
                <w:lang w:eastAsia="zh-CN"/>
              </w:rPr>
            </w:pPr>
            <w:r>
              <w:rPr>
                <w:rFonts w:hint="eastAsia" w:ascii="宋体" w:hAnsi="宋体" w:cs="宋体"/>
                <w:sz w:val="21"/>
                <w:highlight w:val="none"/>
                <w:lang w:eastAsia="zh-CN"/>
              </w:rPr>
              <w:t>开户银行：</w:t>
            </w:r>
            <w:r>
              <w:rPr>
                <w:rFonts w:hint="eastAsia" w:ascii="宋体" w:hAnsi="宋体" w:cs="宋体"/>
                <w:sz w:val="21"/>
                <w:highlight w:val="none"/>
                <w:u w:val="single"/>
                <w:lang w:eastAsia="zh-CN"/>
              </w:rPr>
              <w:t>招商银行沈阳华园东路支行</w:t>
            </w:r>
          </w:p>
          <w:p w14:paraId="446A6072">
            <w:pPr>
              <w:pStyle w:val="27"/>
              <w:tabs>
                <w:tab w:val="left" w:pos="1082"/>
                <w:tab w:val="left" w:pos="1627"/>
                <w:tab w:val="left" w:pos="2171"/>
                <w:tab w:val="left" w:pos="2717"/>
                <w:tab w:val="left" w:pos="3261"/>
                <w:tab w:val="left" w:pos="3806"/>
                <w:tab w:val="left" w:pos="4351"/>
                <w:tab w:val="left" w:pos="4893"/>
              </w:tabs>
              <w:spacing w:line="400" w:lineRule="exact"/>
              <w:ind w:right="96"/>
              <w:rPr>
                <w:rFonts w:hint="eastAsia"/>
                <w:highlight w:val="none"/>
                <w:lang w:val="en-US" w:eastAsia="zh-CN"/>
              </w:rPr>
            </w:pPr>
            <w:r>
              <w:rPr>
                <w:rFonts w:hint="eastAsia" w:ascii="宋体" w:hAnsi="宋体" w:cs="宋体"/>
                <w:sz w:val="21"/>
                <w:highlight w:val="none"/>
                <w:lang w:eastAsia="zh-CN"/>
              </w:rPr>
              <w:t>账    号：</w:t>
            </w:r>
            <w:r>
              <w:rPr>
                <w:rFonts w:hint="eastAsia" w:ascii="宋体" w:hAnsi="宋体" w:cs="宋体"/>
                <w:sz w:val="21"/>
                <w:highlight w:val="none"/>
                <w:u w:val="single"/>
                <w:lang w:eastAsia="zh-CN"/>
              </w:rPr>
              <w:t>12490842231085588</w:t>
            </w:r>
          </w:p>
          <w:p w14:paraId="1B88C84F">
            <w:pPr>
              <w:keepNext w:val="0"/>
              <w:keepLines w:val="0"/>
              <w:suppressLineNumbers w:val="0"/>
              <w:spacing w:before="0" w:beforeAutospacing="0" w:after="0" w:afterAutospacing="0" w:line="320" w:lineRule="exact"/>
              <w:ind w:left="0" w:right="0"/>
              <w:rPr>
                <w:rFonts w:hint="eastAsia"/>
                <w:color w:val="auto"/>
                <w:highlight w:val="yellow"/>
              </w:rPr>
            </w:pPr>
            <w:r>
              <w:rPr>
                <w:rFonts w:hint="eastAsia"/>
                <w:color w:val="auto"/>
                <w:highlight w:val="none"/>
                <w:lang w:eastAsia="zh-CN"/>
              </w:rPr>
              <w:t>6.2 投标人不得将招标代理服务费在投标报价中单列。</w:t>
            </w:r>
            <w:r>
              <w:rPr>
                <w:rFonts w:hint="eastAsia"/>
                <w:color w:val="auto"/>
                <w:highlight w:val="none"/>
                <w:lang w:eastAsia="zh-CN"/>
              </w:rPr>
              <w:br w:type="textWrapping"/>
            </w:r>
            <w:r>
              <w:rPr>
                <w:rFonts w:hint="eastAsia"/>
                <w:color w:val="auto"/>
                <w:highlight w:val="none"/>
                <w:lang w:eastAsia="zh-CN"/>
              </w:rPr>
              <w:t>7、开标注意事项：投标单位在进行不见面开标签到阶段时请填写真实联系方式，以便远程开标时联络。</w:t>
            </w:r>
            <w:r>
              <w:rPr>
                <w:rFonts w:hint="eastAsia"/>
                <w:color w:val="auto"/>
                <w:highlight w:val="none"/>
                <w:lang w:eastAsia="zh-CN"/>
              </w:rPr>
              <w:br w:type="textWrapping"/>
            </w:r>
            <w:r>
              <w:rPr>
                <w:rFonts w:hint="eastAsia"/>
                <w:color w:val="auto"/>
                <w:highlight w:val="none"/>
                <w:lang w:eastAsia="zh-CN"/>
              </w:rPr>
              <w:t>8.其他未尽事宜按相关法律、法规处理。</w:t>
            </w:r>
          </w:p>
        </w:tc>
      </w:tr>
    </w:tbl>
    <w:p w14:paraId="2DC3A4E4">
      <w:pPr>
        <w:rPr>
          <w:rFonts w:hint="eastAsia"/>
          <w:color w:val="auto"/>
          <w:highlight w:val="none"/>
        </w:rPr>
      </w:pPr>
      <w:r>
        <w:rPr>
          <w:rFonts w:hint="eastAsia"/>
          <w:color w:val="auto"/>
          <w:highlight w:val="none"/>
        </w:rPr>
        <w:br w:type="page"/>
      </w:r>
    </w:p>
    <w:bookmarkEnd w:id="9"/>
    <w:bookmarkEnd w:id="10"/>
    <w:p w14:paraId="45555722">
      <w:pPr>
        <w:pStyle w:val="23"/>
        <w:spacing w:line="360" w:lineRule="exact"/>
        <w:rPr>
          <w:color w:val="auto"/>
          <w:highlight w:val="none"/>
        </w:rPr>
      </w:pPr>
      <w:bookmarkStart w:id="16" w:name="_Toc256000004"/>
      <w:bookmarkStart w:id="17" w:name="_Toc166326840"/>
      <w:r>
        <w:rPr>
          <w:rFonts w:hint="eastAsia"/>
          <w:color w:val="auto"/>
          <w:highlight w:val="none"/>
        </w:rPr>
        <w:t>投标人须知正文部分</w:t>
      </w:r>
      <w:bookmarkEnd w:id="16"/>
      <w:bookmarkEnd w:id="17"/>
    </w:p>
    <w:p w14:paraId="7937A977">
      <w:pPr>
        <w:pStyle w:val="23"/>
        <w:spacing w:line="360" w:lineRule="exact"/>
        <w:rPr>
          <w:color w:val="auto"/>
          <w:highlight w:val="none"/>
        </w:rPr>
      </w:pPr>
      <w:bookmarkStart w:id="18" w:name="_Toc152042305"/>
      <w:bookmarkStart w:id="19" w:name="_Toc144974497"/>
      <w:bookmarkStart w:id="20" w:name="_Toc179632546"/>
      <w:bookmarkStart w:id="21" w:name="_Toc166326841"/>
      <w:bookmarkStart w:id="22" w:name="_Toc152045529"/>
      <w:bookmarkStart w:id="23" w:name="_Toc256000005"/>
      <w:r>
        <w:rPr>
          <w:rFonts w:hint="eastAsia"/>
          <w:color w:val="auto"/>
          <w:highlight w:val="none"/>
        </w:rPr>
        <w:t>1. 总则</w:t>
      </w:r>
      <w:bookmarkEnd w:id="18"/>
      <w:bookmarkEnd w:id="19"/>
      <w:bookmarkEnd w:id="20"/>
      <w:bookmarkEnd w:id="21"/>
      <w:bookmarkEnd w:id="22"/>
      <w:bookmarkEnd w:id="23"/>
    </w:p>
    <w:p w14:paraId="2E87FACE">
      <w:pPr>
        <w:pStyle w:val="25"/>
        <w:spacing w:line="360" w:lineRule="exact"/>
        <w:rPr>
          <w:color w:val="auto"/>
          <w:highlight w:val="none"/>
        </w:rPr>
      </w:pPr>
      <w:bookmarkStart w:id="24" w:name="_Toc152045530"/>
      <w:bookmarkStart w:id="25" w:name="_Toc256000006"/>
      <w:bookmarkStart w:id="26" w:name="_Toc166326842"/>
      <w:bookmarkStart w:id="27" w:name="_Toc152042306"/>
      <w:bookmarkStart w:id="28" w:name="_Toc179632547"/>
      <w:bookmarkStart w:id="29" w:name="_Toc144974498"/>
      <w:r>
        <w:rPr>
          <w:rFonts w:hint="eastAsia"/>
          <w:color w:val="auto"/>
          <w:highlight w:val="none"/>
        </w:rPr>
        <w:t>1.1 项目概况</w:t>
      </w:r>
      <w:bookmarkEnd w:id="24"/>
      <w:bookmarkEnd w:id="25"/>
      <w:bookmarkEnd w:id="26"/>
      <w:bookmarkEnd w:id="27"/>
      <w:bookmarkEnd w:id="28"/>
      <w:bookmarkEnd w:id="29"/>
    </w:p>
    <w:p w14:paraId="58816CBD">
      <w:pPr>
        <w:spacing w:line="36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79759ADB">
      <w:pPr>
        <w:spacing w:line="360" w:lineRule="exact"/>
        <w:ind w:firstLine="420" w:firstLineChars="200"/>
        <w:rPr>
          <w:color w:val="auto"/>
          <w:highlight w:val="none"/>
        </w:rPr>
      </w:pPr>
      <w:r>
        <w:rPr>
          <w:rFonts w:hint="eastAsia"/>
          <w:color w:val="auto"/>
          <w:highlight w:val="none"/>
        </w:rPr>
        <w:t>1.1.2 本招标项目招标人：见投标人须知前附表。</w:t>
      </w:r>
    </w:p>
    <w:p w14:paraId="25F846E5">
      <w:pPr>
        <w:spacing w:line="360" w:lineRule="exact"/>
        <w:ind w:firstLine="420" w:firstLineChars="200"/>
        <w:rPr>
          <w:color w:val="auto"/>
          <w:highlight w:val="none"/>
        </w:rPr>
      </w:pPr>
      <w:r>
        <w:rPr>
          <w:rFonts w:hint="eastAsia"/>
          <w:color w:val="auto"/>
          <w:highlight w:val="none"/>
        </w:rPr>
        <w:t>1.1.3 本标段招标代理机构：见投标人须知前附表。</w:t>
      </w:r>
    </w:p>
    <w:p w14:paraId="2B05CB4A">
      <w:pPr>
        <w:spacing w:line="360" w:lineRule="exact"/>
        <w:ind w:firstLine="420" w:firstLineChars="200"/>
        <w:rPr>
          <w:color w:val="auto"/>
          <w:highlight w:val="none"/>
        </w:rPr>
      </w:pPr>
      <w:r>
        <w:rPr>
          <w:rFonts w:hint="eastAsia"/>
          <w:color w:val="auto"/>
          <w:highlight w:val="none"/>
        </w:rPr>
        <w:t>1.1.4 本标段项目名称：见投标人须知前附表。</w:t>
      </w:r>
    </w:p>
    <w:p w14:paraId="05E64FDB">
      <w:pPr>
        <w:spacing w:line="360" w:lineRule="exact"/>
        <w:ind w:firstLine="420" w:firstLineChars="200"/>
        <w:rPr>
          <w:color w:val="auto"/>
          <w:highlight w:val="none"/>
        </w:rPr>
      </w:pPr>
      <w:r>
        <w:rPr>
          <w:rFonts w:hint="eastAsia"/>
          <w:color w:val="auto"/>
          <w:highlight w:val="none"/>
        </w:rPr>
        <w:t>1.1.5 本标段建设地点：见投标人须知前附表。</w:t>
      </w:r>
    </w:p>
    <w:p w14:paraId="3B5C5DD1">
      <w:pPr>
        <w:spacing w:line="360" w:lineRule="exact"/>
        <w:ind w:firstLine="420" w:firstLineChars="200"/>
        <w:rPr>
          <w:color w:val="auto"/>
          <w:highlight w:val="none"/>
        </w:rPr>
      </w:pPr>
      <w:bookmarkStart w:id="30" w:name="_Hlk165114484"/>
      <w:bookmarkStart w:id="31" w:name="_Hlk165117315"/>
      <w:r>
        <w:rPr>
          <w:rFonts w:hint="eastAsia"/>
          <w:color w:val="auto"/>
          <w:highlight w:val="none"/>
        </w:rPr>
        <w:t>1.1.6 本招标项目投资估算：见投标人须知前附表。</w:t>
      </w:r>
      <w:bookmarkEnd w:id="30"/>
    </w:p>
    <w:bookmarkEnd w:id="31"/>
    <w:p w14:paraId="036C5CA6">
      <w:pPr>
        <w:spacing w:line="360" w:lineRule="exact"/>
        <w:ind w:firstLine="420" w:firstLineChars="200"/>
        <w:rPr>
          <w:color w:val="auto"/>
          <w:highlight w:val="none"/>
        </w:rPr>
      </w:pPr>
      <w:bookmarkStart w:id="32" w:name="_Hlk144976007"/>
      <w:r>
        <w:rPr>
          <w:rFonts w:hint="eastAsia"/>
          <w:color w:val="auto"/>
          <w:highlight w:val="none"/>
        </w:rPr>
        <w:t>1.1.7 本标段采用的电子交易系统名称：见投标人须知前附表。</w:t>
      </w:r>
      <w:bookmarkEnd w:id="32"/>
    </w:p>
    <w:p w14:paraId="3A38B201">
      <w:pPr>
        <w:pStyle w:val="25"/>
        <w:spacing w:line="360" w:lineRule="exact"/>
        <w:rPr>
          <w:color w:val="auto"/>
          <w:highlight w:val="none"/>
        </w:rPr>
      </w:pPr>
      <w:bookmarkStart w:id="33" w:name="_Toc152042307"/>
      <w:bookmarkStart w:id="34" w:name="_Toc166326843"/>
      <w:bookmarkStart w:id="35" w:name="_Toc152045531"/>
      <w:bookmarkStart w:id="36" w:name="_Toc256000007"/>
      <w:bookmarkStart w:id="37" w:name="_Toc179632548"/>
      <w:bookmarkStart w:id="38" w:name="_Toc144974499"/>
      <w:r>
        <w:rPr>
          <w:rFonts w:hint="eastAsia"/>
          <w:color w:val="auto"/>
          <w:highlight w:val="none"/>
        </w:rPr>
        <w:t>1.2 资金来源和落实情况</w:t>
      </w:r>
      <w:bookmarkEnd w:id="33"/>
      <w:bookmarkEnd w:id="34"/>
      <w:bookmarkEnd w:id="35"/>
      <w:bookmarkEnd w:id="36"/>
      <w:bookmarkEnd w:id="37"/>
      <w:bookmarkEnd w:id="38"/>
    </w:p>
    <w:p w14:paraId="312A9B1B">
      <w:pPr>
        <w:spacing w:line="360" w:lineRule="exact"/>
        <w:ind w:firstLine="420" w:firstLineChars="200"/>
        <w:rPr>
          <w:color w:val="auto"/>
          <w:highlight w:val="none"/>
        </w:rPr>
      </w:pPr>
      <w:r>
        <w:rPr>
          <w:rFonts w:hint="eastAsia"/>
          <w:color w:val="auto"/>
          <w:highlight w:val="none"/>
        </w:rPr>
        <w:t xml:space="preserve">1.2.1 </w:t>
      </w:r>
      <w:bookmarkStart w:id="39" w:name="_Hlk165117758"/>
      <w:r>
        <w:rPr>
          <w:rFonts w:hint="eastAsia"/>
          <w:color w:val="auto"/>
          <w:highlight w:val="none"/>
        </w:rPr>
        <w:t>本招标项目的</w:t>
      </w:r>
      <w:bookmarkEnd w:id="39"/>
      <w:r>
        <w:rPr>
          <w:rFonts w:hint="eastAsia"/>
          <w:color w:val="auto"/>
          <w:highlight w:val="none"/>
        </w:rPr>
        <w:t>资金来源：见投标人须知前附表。</w:t>
      </w:r>
    </w:p>
    <w:p w14:paraId="69DD20CB">
      <w:pPr>
        <w:spacing w:line="360" w:lineRule="exact"/>
        <w:ind w:firstLine="420" w:firstLineChars="200"/>
        <w:rPr>
          <w:color w:val="auto"/>
          <w:highlight w:val="none"/>
        </w:rPr>
      </w:pPr>
      <w:r>
        <w:rPr>
          <w:color w:val="auto"/>
          <w:highlight w:val="none"/>
        </w:rPr>
        <w:t>1.2.2</w:t>
      </w:r>
      <w:r>
        <w:rPr>
          <w:rFonts w:hint="eastAsia"/>
          <w:color w:val="auto"/>
          <w:highlight w:val="none"/>
        </w:rPr>
        <w:t xml:space="preserve"> 本招标项目的出资比例：见投标人须知前附表。</w:t>
      </w:r>
    </w:p>
    <w:p w14:paraId="7F7147FD">
      <w:pPr>
        <w:spacing w:line="360" w:lineRule="exact"/>
        <w:ind w:firstLine="420" w:firstLineChars="200"/>
        <w:rPr>
          <w:color w:val="auto"/>
          <w:highlight w:val="none"/>
        </w:rPr>
      </w:pPr>
      <w:bookmarkStart w:id="40" w:name="_Hlk165114533"/>
      <w:bookmarkStart w:id="41" w:name="_Hlk165114515"/>
      <w:r>
        <w:rPr>
          <w:rFonts w:hint="eastAsia"/>
          <w:color w:val="auto"/>
          <w:highlight w:val="none"/>
        </w:rPr>
        <w:t>1.2.</w:t>
      </w:r>
      <w:r>
        <w:rPr>
          <w:color w:val="auto"/>
          <w:highlight w:val="none"/>
        </w:rPr>
        <w:t>3</w:t>
      </w:r>
      <w:bookmarkStart w:id="42" w:name="_Hlk165114740"/>
      <w:r>
        <w:rPr>
          <w:rFonts w:hint="eastAsia"/>
          <w:color w:val="auto"/>
          <w:highlight w:val="none"/>
        </w:rPr>
        <w:t xml:space="preserve"> 本</w:t>
      </w:r>
      <w:bookmarkStart w:id="43" w:name="_Hlk165116025"/>
      <w:r>
        <w:rPr>
          <w:rFonts w:hint="eastAsia"/>
          <w:color w:val="auto"/>
          <w:highlight w:val="none"/>
        </w:rPr>
        <w:t>标段合同估算价：见投标人须知前附表。</w:t>
      </w:r>
      <w:bookmarkEnd w:id="40"/>
      <w:bookmarkEnd w:id="42"/>
      <w:bookmarkEnd w:id="43"/>
    </w:p>
    <w:bookmarkEnd w:id="41"/>
    <w:p w14:paraId="76AEA183">
      <w:pPr>
        <w:spacing w:line="360" w:lineRule="exact"/>
        <w:ind w:firstLine="420" w:firstLineChars="200"/>
        <w:rPr>
          <w:color w:val="auto"/>
          <w:highlight w:val="none"/>
        </w:rPr>
      </w:pPr>
      <w:r>
        <w:rPr>
          <w:rFonts w:hint="eastAsia"/>
          <w:color w:val="auto"/>
          <w:highlight w:val="none"/>
        </w:rPr>
        <w:t>1.2.</w:t>
      </w:r>
      <w:r>
        <w:rPr>
          <w:color w:val="auto"/>
          <w:highlight w:val="none"/>
        </w:rPr>
        <w:t>4</w:t>
      </w:r>
      <w:r>
        <w:rPr>
          <w:rFonts w:hint="eastAsia"/>
          <w:color w:val="auto"/>
          <w:highlight w:val="none"/>
        </w:rPr>
        <w:t xml:space="preserve"> 本标段资金落实情况：见投标人须知前附表。</w:t>
      </w:r>
    </w:p>
    <w:p w14:paraId="2F813D4F">
      <w:pPr>
        <w:pStyle w:val="25"/>
        <w:spacing w:line="360" w:lineRule="exact"/>
        <w:rPr>
          <w:color w:val="auto"/>
          <w:highlight w:val="none"/>
        </w:rPr>
      </w:pPr>
      <w:bookmarkStart w:id="44" w:name="_Toc152045532"/>
      <w:bookmarkStart w:id="45" w:name="_Toc166326844"/>
      <w:bookmarkStart w:id="46" w:name="_Toc256000008"/>
      <w:bookmarkStart w:id="47" w:name="_Toc152042308"/>
      <w:bookmarkStart w:id="48" w:name="_Toc144974500"/>
      <w:bookmarkStart w:id="49" w:name="_Toc179632549"/>
      <w:r>
        <w:rPr>
          <w:rFonts w:hint="eastAsia"/>
          <w:color w:val="auto"/>
          <w:highlight w:val="none"/>
        </w:rPr>
        <w:t>1.3 招标范围、计划工期和质量要求</w:t>
      </w:r>
      <w:bookmarkEnd w:id="44"/>
      <w:bookmarkEnd w:id="45"/>
      <w:bookmarkEnd w:id="46"/>
      <w:bookmarkEnd w:id="47"/>
      <w:bookmarkEnd w:id="48"/>
      <w:bookmarkEnd w:id="49"/>
    </w:p>
    <w:p w14:paraId="09C727D8">
      <w:pPr>
        <w:spacing w:line="360" w:lineRule="exact"/>
        <w:ind w:firstLine="420" w:firstLineChars="200"/>
        <w:rPr>
          <w:color w:val="auto"/>
          <w:highlight w:val="none"/>
        </w:rPr>
      </w:pPr>
      <w:r>
        <w:rPr>
          <w:rFonts w:hint="eastAsia"/>
          <w:color w:val="auto"/>
          <w:highlight w:val="none"/>
        </w:rPr>
        <w:t>1.3.1 本次招标范围：见投标人须知前附表。</w:t>
      </w:r>
    </w:p>
    <w:p w14:paraId="31BF5C16">
      <w:pPr>
        <w:spacing w:line="360" w:lineRule="exact"/>
        <w:ind w:firstLine="420" w:firstLineChars="200"/>
        <w:rPr>
          <w:color w:val="auto"/>
          <w:highlight w:val="none"/>
        </w:rPr>
      </w:pPr>
      <w:r>
        <w:rPr>
          <w:rFonts w:hint="eastAsia"/>
          <w:color w:val="auto"/>
          <w:highlight w:val="none"/>
        </w:rPr>
        <w:t>1.3.2 本标段的计划工期：见投标人须知前附表。</w:t>
      </w:r>
    </w:p>
    <w:p w14:paraId="30BEB0F0">
      <w:pPr>
        <w:spacing w:line="360" w:lineRule="exact"/>
        <w:ind w:firstLine="420" w:firstLineChars="200"/>
        <w:rPr>
          <w:color w:val="auto"/>
          <w:highlight w:val="none"/>
        </w:rPr>
      </w:pPr>
      <w:r>
        <w:rPr>
          <w:rFonts w:hint="eastAsia"/>
          <w:color w:val="auto"/>
          <w:highlight w:val="none"/>
        </w:rPr>
        <w:t>1.3.3 本标段的质量要求：见投标人须知前附表。</w:t>
      </w:r>
    </w:p>
    <w:p w14:paraId="713FCC81">
      <w:pPr>
        <w:pStyle w:val="25"/>
        <w:spacing w:line="360" w:lineRule="exact"/>
        <w:rPr>
          <w:color w:val="auto"/>
          <w:highlight w:val="none"/>
        </w:rPr>
      </w:pPr>
      <w:bookmarkStart w:id="50" w:name="_Toc256000009"/>
      <w:bookmarkStart w:id="51" w:name="_Toc144974502"/>
      <w:bookmarkStart w:id="52" w:name="_Toc152042310"/>
      <w:bookmarkStart w:id="53" w:name="_Toc152045534"/>
      <w:bookmarkStart w:id="54" w:name="_Toc166326845"/>
      <w:bookmarkStart w:id="55" w:name="_Toc179632551"/>
      <w:r>
        <w:rPr>
          <w:rFonts w:hint="eastAsia"/>
          <w:color w:val="auto"/>
          <w:highlight w:val="none"/>
        </w:rPr>
        <w:t>1.4 投标人资格要求</w:t>
      </w:r>
      <w:bookmarkEnd w:id="50"/>
      <w:bookmarkEnd w:id="51"/>
      <w:bookmarkEnd w:id="52"/>
      <w:bookmarkEnd w:id="53"/>
      <w:bookmarkEnd w:id="54"/>
      <w:bookmarkEnd w:id="55"/>
    </w:p>
    <w:p w14:paraId="07001AFC">
      <w:pPr>
        <w:spacing w:line="360" w:lineRule="exact"/>
        <w:ind w:firstLine="420" w:firstLineChars="200"/>
        <w:rPr>
          <w:color w:val="auto"/>
          <w:highlight w:val="none"/>
        </w:rPr>
      </w:pPr>
      <w:r>
        <w:rPr>
          <w:rFonts w:hint="eastAsia"/>
          <w:color w:val="auto"/>
          <w:highlight w:val="none"/>
        </w:rPr>
        <w:t>1.4.1投标人应具备承担本标段施工的资质条件、能力和信誉。</w:t>
      </w:r>
    </w:p>
    <w:p w14:paraId="32ABCB81">
      <w:pPr>
        <w:spacing w:line="360" w:lineRule="exact"/>
        <w:ind w:firstLine="718" w:firstLineChars="342"/>
        <w:rPr>
          <w:color w:val="auto"/>
          <w:highlight w:val="none"/>
        </w:rPr>
      </w:pPr>
      <w:r>
        <w:rPr>
          <w:rFonts w:hint="eastAsia"/>
          <w:color w:val="auto"/>
          <w:highlight w:val="none"/>
        </w:rPr>
        <w:t>（1）资质条件：见投标人须知前附表；</w:t>
      </w:r>
    </w:p>
    <w:p w14:paraId="47D09746">
      <w:pPr>
        <w:spacing w:line="360" w:lineRule="exact"/>
        <w:ind w:firstLine="718" w:firstLineChars="342"/>
        <w:rPr>
          <w:color w:val="auto"/>
          <w:highlight w:val="none"/>
        </w:rPr>
      </w:pPr>
      <w:r>
        <w:rPr>
          <w:rFonts w:hint="eastAsia"/>
          <w:color w:val="auto"/>
          <w:highlight w:val="none"/>
        </w:rPr>
        <w:t>（2）财务要求：见投标人须知前附表（如有）；</w:t>
      </w:r>
    </w:p>
    <w:p w14:paraId="6A66877D">
      <w:pPr>
        <w:spacing w:line="360" w:lineRule="exact"/>
        <w:ind w:firstLine="718" w:firstLineChars="342"/>
        <w:rPr>
          <w:color w:val="auto"/>
          <w:highlight w:val="none"/>
        </w:rPr>
      </w:pPr>
      <w:r>
        <w:rPr>
          <w:rFonts w:hint="eastAsia"/>
          <w:color w:val="auto"/>
          <w:highlight w:val="none"/>
        </w:rPr>
        <w:t>（3）业绩要求：见投标人须知前附表（如有）；</w:t>
      </w:r>
    </w:p>
    <w:p w14:paraId="7A163537">
      <w:pPr>
        <w:spacing w:line="360" w:lineRule="exact"/>
        <w:ind w:firstLine="718" w:firstLineChars="342"/>
        <w:rPr>
          <w:color w:val="auto"/>
          <w:highlight w:val="none"/>
        </w:rPr>
      </w:pPr>
      <w:r>
        <w:rPr>
          <w:rFonts w:hint="eastAsia"/>
          <w:color w:val="auto"/>
          <w:highlight w:val="none"/>
        </w:rPr>
        <w:t>（4）信誉要求：见投标人须知前附表；</w:t>
      </w:r>
    </w:p>
    <w:p w14:paraId="0713D90C">
      <w:pPr>
        <w:spacing w:line="360" w:lineRule="exact"/>
        <w:ind w:firstLine="718" w:firstLineChars="342"/>
        <w:rPr>
          <w:color w:val="auto"/>
          <w:highlight w:val="none"/>
        </w:rPr>
      </w:pPr>
      <w:r>
        <w:rPr>
          <w:rFonts w:hint="eastAsia"/>
          <w:color w:val="auto"/>
          <w:highlight w:val="none"/>
        </w:rPr>
        <w:t>（5）项目经理资格：见投标人须知前附表；</w:t>
      </w:r>
    </w:p>
    <w:p w14:paraId="29BCA7E4">
      <w:pPr>
        <w:spacing w:line="360" w:lineRule="exact"/>
        <w:ind w:firstLine="718" w:firstLineChars="342"/>
        <w:rPr>
          <w:color w:val="auto"/>
          <w:highlight w:val="none"/>
        </w:rPr>
      </w:pPr>
      <w:r>
        <w:rPr>
          <w:rFonts w:hint="eastAsia"/>
          <w:color w:val="auto"/>
          <w:highlight w:val="none"/>
        </w:rPr>
        <w:t>（6）项目管理机构主要人员要求：见投标人须知前附表；</w:t>
      </w:r>
    </w:p>
    <w:p w14:paraId="43BD8F3F">
      <w:pPr>
        <w:spacing w:line="360" w:lineRule="exact"/>
        <w:ind w:firstLine="718" w:firstLineChars="342"/>
        <w:rPr>
          <w:color w:val="auto"/>
          <w:highlight w:val="none"/>
        </w:rPr>
      </w:pPr>
      <w:r>
        <w:rPr>
          <w:rFonts w:hint="eastAsia"/>
          <w:color w:val="auto"/>
          <w:highlight w:val="none"/>
        </w:rPr>
        <w:t>（7）其他要求：见投标人须知前附表。</w:t>
      </w:r>
    </w:p>
    <w:p w14:paraId="57A67D58">
      <w:pPr>
        <w:spacing w:line="360" w:lineRule="exact"/>
        <w:ind w:firstLine="420" w:firstLineChars="20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6FDF336F">
      <w:pPr>
        <w:spacing w:line="360" w:lineRule="exact"/>
        <w:ind w:firstLine="718" w:firstLineChars="342"/>
        <w:rPr>
          <w:color w:val="auto"/>
          <w:highlight w:val="none"/>
        </w:rPr>
      </w:pPr>
      <w:r>
        <w:rPr>
          <w:rFonts w:hint="eastAsia"/>
          <w:color w:val="auto"/>
          <w:highlight w:val="none"/>
        </w:rPr>
        <w:t>（1）联合体各方应按招标文件提供的格式签订联合体协议书，明确联合体牵头人和各方权利义务；</w:t>
      </w:r>
    </w:p>
    <w:p w14:paraId="6D8617A1">
      <w:pPr>
        <w:spacing w:line="360" w:lineRule="exact"/>
        <w:ind w:firstLine="718" w:firstLineChars="342"/>
        <w:rPr>
          <w:color w:val="auto"/>
          <w:highlight w:val="none"/>
        </w:rPr>
      </w:pPr>
      <w:r>
        <w:rPr>
          <w:rFonts w:hint="eastAsia"/>
          <w:color w:val="auto"/>
          <w:highlight w:val="none"/>
        </w:rPr>
        <w:t xml:space="preserve">（2）由同一专业的单位组成的联合体，按照资质等级较低的单位确定资质等级； </w:t>
      </w:r>
    </w:p>
    <w:p w14:paraId="0F73F21F">
      <w:pPr>
        <w:spacing w:line="360" w:lineRule="exact"/>
        <w:ind w:firstLine="718" w:firstLineChars="342"/>
        <w:rPr>
          <w:color w:val="auto"/>
          <w:highlight w:val="none"/>
        </w:rPr>
      </w:pPr>
      <w:r>
        <w:rPr>
          <w:rFonts w:hint="eastAsia"/>
          <w:color w:val="auto"/>
          <w:highlight w:val="none"/>
        </w:rPr>
        <w:t>（3）联合体各方不得再以自己名义单独或参加其他联合体在同一标段中投标。</w:t>
      </w:r>
    </w:p>
    <w:p w14:paraId="55A1BCAE">
      <w:pPr>
        <w:spacing w:line="360" w:lineRule="exact"/>
        <w:ind w:firstLine="420" w:firstLineChars="200"/>
        <w:rPr>
          <w:color w:val="auto"/>
          <w:highlight w:val="none"/>
        </w:rPr>
      </w:pPr>
      <w:r>
        <w:rPr>
          <w:rFonts w:hint="eastAsia"/>
          <w:color w:val="auto"/>
          <w:highlight w:val="none"/>
        </w:rPr>
        <w:t>1.4.3 投标人不得存在下列情形之一：</w:t>
      </w:r>
    </w:p>
    <w:p w14:paraId="67809C30">
      <w:pPr>
        <w:spacing w:line="360" w:lineRule="exact"/>
        <w:ind w:firstLine="718" w:firstLineChars="342"/>
        <w:rPr>
          <w:color w:val="auto"/>
          <w:highlight w:val="none"/>
        </w:rPr>
      </w:pPr>
      <w:r>
        <w:rPr>
          <w:rFonts w:hint="eastAsia"/>
          <w:color w:val="auto"/>
          <w:highlight w:val="none"/>
        </w:rPr>
        <w:t>（1）为招标人不具有独立法人资格的附属机构（单位）；</w:t>
      </w:r>
    </w:p>
    <w:p w14:paraId="748E1832">
      <w:pPr>
        <w:spacing w:line="360" w:lineRule="exact"/>
        <w:ind w:firstLine="718" w:firstLineChars="342"/>
        <w:rPr>
          <w:color w:val="auto"/>
          <w:highlight w:val="none"/>
        </w:rPr>
      </w:pPr>
      <w:r>
        <w:rPr>
          <w:rFonts w:hint="eastAsia"/>
          <w:color w:val="auto"/>
          <w:highlight w:val="none"/>
        </w:rPr>
        <w:t xml:space="preserve">（2）为本标段前期准备提供设计或咨询服务的； </w:t>
      </w:r>
    </w:p>
    <w:p w14:paraId="67395A5A">
      <w:pPr>
        <w:spacing w:line="360" w:lineRule="exact"/>
        <w:ind w:firstLine="718" w:firstLineChars="342"/>
        <w:rPr>
          <w:color w:val="auto"/>
          <w:highlight w:val="none"/>
        </w:rPr>
      </w:pPr>
      <w:r>
        <w:rPr>
          <w:rFonts w:hint="eastAsia"/>
          <w:color w:val="auto"/>
          <w:highlight w:val="none"/>
        </w:rPr>
        <w:t>（3）为本标段的监理人；</w:t>
      </w:r>
    </w:p>
    <w:p w14:paraId="5942084D">
      <w:pPr>
        <w:spacing w:line="360" w:lineRule="exact"/>
        <w:ind w:firstLine="718" w:firstLineChars="342"/>
        <w:rPr>
          <w:color w:val="auto"/>
          <w:highlight w:val="none"/>
        </w:rPr>
      </w:pPr>
      <w:r>
        <w:rPr>
          <w:rFonts w:hint="eastAsia"/>
          <w:color w:val="auto"/>
          <w:highlight w:val="none"/>
        </w:rPr>
        <w:t>（4）为本标段的代建人；</w:t>
      </w:r>
    </w:p>
    <w:p w14:paraId="68506C10">
      <w:pPr>
        <w:spacing w:line="360" w:lineRule="exact"/>
        <w:ind w:firstLine="718" w:firstLineChars="342"/>
        <w:rPr>
          <w:color w:val="auto"/>
          <w:highlight w:val="none"/>
        </w:rPr>
      </w:pPr>
      <w:r>
        <w:rPr>
          <w:rFonts w:hint="eastAsia"/>
          <w:color w:val="auto"/>
          <w:highlight w:val="none"/>
        </w:rPr>
        <w:t>（5）为本标段提供招标代理服务；</w:t>
      </w:r>
    </w:p>
    <w:p w14:paraId="228334E5">
      <w:pPr>
        <w:spacing w:line="360" w:lineRule="exact"/>
        <w:ind w:firstLine="718" w:firstLineChars="342"/>
        <w:rPr>
          <w:color w:val="auto"/>
          <w:highlight w:val="none"/>
        </w:rPr>
      </w:pPr>
      <w:r>
        <w:rPr>
          <w:rFonts w:hint="eastAsia"/>
          <w:color w:val="auto"/>
          <w:highlight w:val="none"/>
        </w:rPr>
        <w:t xml:space="preserve">（6）与本标段的监理人或代建人或招标代理机构同为一个法定代表人或单位负责人； </w:t>
      </w:r>
    </w:p>
    <w:p w14:paraId="21128936">
      <w:pPr>
        <w:spacing w:line="360" w:lineRule="exact"/>
        <w:ind w:firstLine="718" w:firstLineChars="342"/>
        <w:rPr>
          <w:color w:val="auto"/>
          <w:highlight w:val="none"/>
        </w:rPr>
      </w:pPr>
      <w:r>
        <w:rPr>
          <w:rFonts w:hint="eastAsia"/>
          <w:color w:val="auto"/>
          <w:highlight w:val="none"/>
        </w:rPr>
        <w:t>（7）与本标段的监理人或代建人或招标代理机构相互控股或参股；</w:t>
      </w:r>
    </w:p>
    <w:p w14:paraId="0AF2BB28">
      <w:pPr>
        <w:spacing w:line="360" w:lineRule="exact"/>
        <w:ind w:firstLine="718" w:firstLineChars="342"/>
        <w:rPr>
          <w:color w:val="auto"/>
          <w:highlight w:val="none"/>
        </w:rPr>
      </w:pPr>
      <w:r>
        <w:rPr>
          <w:rFonts w:hint="eastAsia"/>
          <w:color w:val="auto"/>
          <w:highlight w:val="none"/>
        </w:rPr>
        <w:t>（8）与本标段的监理人或代建人或招标代理机构的法定代表人或单位负责人相互任职或工作；</w:t>
      </w:r>
    </w:p>
    <w:p w14:paraId="7FC54667">
      <w:pPr>
        <w:spacing w:line="360" w:lineRule="exact"/>
        <w:ind w:firstLine="718" w:firstLineChars="342"/>
        <w:rPr>
          <w:color w:val="auto"/>
          <w:highlight w:val="none"/>
        </w:rPr>
      </w:pPr>
      <w:r>
        <w:rPr>
          <w:rFonts w:hint="eastAsia"/>
          <w:color w:val="auto"/>
          <w:highlight w:val="none"/>
        </w:rPr>
        <w:t>（9）单位负责人为同一人或者存在控股、管理关系的不同单位，同时参加本标段投标的；</w:t>
      </w:r>
    </w:p>
    <w:p w14:paraId="37F913A7">
      <w:pPr>
        <w:spacing w:line="360" w:lineRule="exact"/>
        <w:ind w:firstLine="718" w:firstLineChars="342"/>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0EE39B51">
      <w:pPr>
        <w:spacing w:line="360" w:lineRule="exact"/>
        <w:ind w:firstLine="718" w:firstLineChars="342"/>
        <w:rPr>
          <w:color w:val="auto"/>
          <w:highlight w:val="none"/>
        </w:rPr>
      </w:pPr>
      <w:r>
        <w:rPr>
          <w:rFonts w:hint="eastAsia"/>
          <w:color w:val="auto"/>
          <w:highlight w:val="none"/>
        </w:rPr>
        <w:t xml:space="preserve">（11）被责令停产停业、暂扣或者吊销许可证、暂扣或者吊销执照； </w:t>
      </w:r>
    </w:p>
    <w:p w14:paraId="42C09F8B">
      <w:pPr>
        <w:spacing w:line="360" w:lineRule="exact"/>
        <w:ind w:firstLine="718" w:firstLineChars="342"/>
        <w:rPr>
          <w:color w:val="auto"/>
          <w:highlight w:val="none"/>
        </w:rPr>
      </w:pPr>
      <w:r>
        <w:rPr>
          <w:rFonts w:hint="eastAsia"/>
          <w:color w:val="auto"/>
          <w:highlight w:val="none"/>
        </w:rPr>
        <w:t>（12）进入清算程序，或被宣告破产，或其他丧失履约能力的情形；</w:t>
      </w:r>
    </w:p>
    <w:p w14:paraId="38FFEC30">
      <w:pPr>
        <w:spacing w:line="360" w:lineRule="exact"/>
        <w:ind w:firstLine="718" w:firstLineChars="342"/>
        <w:rPr>
          <w:color w:val="auto"/>
          <w:highlight w:val="none"/>
        </w:rPr>
      </w:pPr>
      <w:r>
        <w:rPr>
          <w:rFonts w:hint="eastAsia"/>
          <w:color w:val="auto"/>
          <w:highlight w:val="none"/>
        </w:rPr>
        <w:t>（13）在最近三年内有骗取中标或严重违约或重大工程质量问题的（以相关行业主管部门的行政处罚决定或司法机关出具的有关法律文书为准）；</w:t>
      </w:r>
    </w:p>
    <w:p w14:paraId="6BCF17F4">
      <w:pPr>
        <w:spacing w:line="360" w:lineRule="exact"/>
        <w:ind w:firstLine="718" w:firstLineChars="342"/>
        <w:rPr>
          <w:color w:val="auto"/>
          <w:highlight w:val="none"/>
        </w:rPr>
      </w:pPr>
      <w:r>
        <w:rPr>
          <w:rFonts w:hint="eastAsia"/>
          <w:color w:val="auto"/>
          <w:highlight w:val="none"/>
        </w:rPr>
        <w:t>（14）在“国家企业信用信息公示系统”（www.gsxt.gov.cn）中被列入严重违法失信企业名单；</w:t>
      </w:r>
    </w:p>
    <w:p w14:paraId="30D5A36E">
      <w:pPr>
        <w:spacing w:line="360" w:lineRule="exact"/>
        <w:ind w:firstLine="718" w:firstLineChars="342"/>
        <w:rPr>
          <w:color w:val="auto"/>
          <w:highlight w:val="none"/>
        </w:rPr>
      </w:pPr>
      <w:r>
        <w:rPr>
          <w:rFonts w:hint="eastAsia"/>
          <w:color w:val="auto"/>
          <w:highlight w:val="none"/>
        </w:rPr>
        <w:t>（15）在“信用中国”网站（www.creditchina.gov.cn）或“中国执行信息公开网”（http://zxgk.court.gov.cn/shixin/） 被列入失信被执行人名单；</w:t>
      </w:r>
    </w:p>
    <w:p w14:paraId="6E3679D8">
      <w:pPr>
        <w:spacing w:line="360" w:lineRule="exact"/>
        <w:ind w:firstLine="718" w:firstLineChars="342"/>
        <w:rPr>
          <w:color w:val="auto"/>
          <w:highlight w:val="none"/>
        </w:rPr>
      </w:pPr>
      <w:r>
        <w:rPr>
          <w:rFonts w:hint="eastAsia"/>
          <w:color w:val="auto"/>
          <w:highlight w:val="none"/>
        </w:rPr>
        <w:t>（16）在辽宁省建设工程招投标监督平台-辽宁建设工程信息网上被列入不良行为记录且在公布期内的；</w:t>
      </w:r>
    </w:p>
    <w:p w14:paraId="7D1DFD57">
      <w:pPr>
        <w:spacing w:line="360" w:lineRule="exact"/>
        <w:ind w:firstLine="718" w:firstLineChars="342"/>
        <w:rPr>
          <w:color w:val="auto"/>
          <w:highlight w:val="none"/>
        </w:rPr>
      </w:pPr>
      <w:r>
        <w:rPr>
          <w:rFonts w:hint="eastAsia"/>
          <w:color w:val="auto"/>
          <w:highlight w:val="none"/>
        </w:rPr>
        <w:t>（17）法律法规规定的其他情形。</w:t>
      </w:r>
    </w:p>
    <w:p w14:paraId="26A2F2A6">
      <w:pPr>
        <w:pStyle w:val="25"/>
        <w:spacing w:line="360" w:lineRule="exact"/>
        <w:rPr>
          <w:color w:val="auto"/>
          <w:highlight w:val="none"/>
        </w:rPr>
      </w:pPr>
      <w:bookmarkStart w:id="56" w:name="_Toc256000010"/>
      <w:bookmarkStart w:id="57" w:name="_Toc179632552"/>
      <w:bookmarkStart w:id="58" w:name="_Toc144974503"/>
      <w:bookmarkStart w:id="59" w:name="_Toc166326846"/>
      <w:bookmarkStart w:id="60" w:name="_Toc152042311"/>
      <w:bookmarkStart w:id="61" w:name="_Toc152045535"/>
      <w:r>
        <w:rPr>
          <w:rFonts w:hint="eastAsia"/>
          <w:color w:val="auto"/>
          <w:highlight w:val="none"/>
        </w:rPr>
        <w:t>1.5 费用承担</w:t>
      </w:r>
      <w:bookmarkEnd w:id="56"/>
      <w:bookmarkEnd w:id="57"/>
      <w:bookmarkEnd w:id="58"/>
      <w:bookmarkEnd w:id="59"/>
      <w:bookmarkEnd w:id="60"/>
      <w:bookmarkEnd w:id="61"/>
    </w:p>
    <w:p w14:paraId="7CBFBCD4">
      <w:pPr>
        <w:spacing w:line="360" w:lineRule="exact"/>
        <w:ind w:firstLine="420" w:firstLineChars="200"/>
        <w:rPr>
          <w:color w:val="auto"/>
          <w:highlight w:val="none"/>
        </w:rPr>
      </w:pPr>
      <w:r>
        <w:rPr>
          <w:rFonts w:hint="eastAsia"/>
          <w:color w:val="auto"/>
          <w:highlight w:val="none"/>
        </w:rPr>
        <w:t>投标人准备和参加投标活动发生的费用自理。</w:t>
      </w:r>
    </w:p>
    <w:p w14:paraId="25E4A668">
      <w:pPr>
        <w:pStyle w:val="25"/>
        <w:spacing w:line="360" w:lineRule="exact"/>
        <w:rPr>
          <w:color w:val="auto"/>
          <w:highlight w:val="none"/>
        </w:rPr>
      </w:pPr>
      <w:bookmarkStart w:id="62" w:name="_Toc256000011"/>
      <w:bookmarkStart w:id="63" w:name="_Toc166326847"/>
      <w:bookmarkStart w:id="64" w:name="_Toc144974504"/>
      <w:bookmarkStart w:id="65" w:name="_Toc152045536"/>
      <w:bookmarkStart w:id="66" w:name="_Toc179632553"/>
      <w:bookmarkStart w:id="67" w:name="_Toc152042312"/>
      <w:r>
        <w:rPr>
          <w:rFonts w:hint="eastAsia"/>
          <w:color w:val="auto"/>
          <w:highlight w:val="none"/>
        </w:rPr>
        <w:t>1.6 保密</w:t>
      </w:r>
      <w:bookmarkEnd w:id="62"/>
      <w:bookmarkEnd w:id="63"/>
      <w:bookmarkEnd w:id="64"/>
      <w:bookmarkEnd w:id="65"/>
      <w:bookmarkEnd w:id="66"/>
      <w:bookmarkEnd w:id="67"/>
    </w:p>
    <w:p w14:paraId="652B3494">
      <w:pPr>
        <w:spacing w:line="36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63A4B425">
      <w:pPr>
        <w:pStyle w:val="25"/>
        <w:spacing w:line="360" w:lineRule="exact"/>
        <w:rPr>
          <w:color w:val="auto"/>
          <w:highlight w:val="none"/>
        </w:rPr>
      </w:pPr>
      <w:bookmarkStart w:id="68" w:name="_Toc144974505"/>
      <w:bookmarkStart w:id="69" w:name="_Toc179632554"/>
      <w:bookmarkStart w:id="70" w:name="_Toc166326848"/>
      <w:bookmarkStart w:id="71" w:name="_Toc256000012"/>
      <w:bookmarkStart w:id="72" w:name="_Toc152042313"/>
      <w:bookmarkStart w:id="73" w:name="_Toc152045537"/>
      <w:r>
        <w:rPr>
          <w:rFonts w:hint="eastAsia"/>
          <w:color w:val="auto"/>
          <w:highlight w:val="none"/>
        </w:rPr>
        <w:t>1.7 语言</w:t>
      </w:r>
      <w:bookmarkEnd w:id="68"/>
      <w:r>
        <w:rPr>
          <w:rFonts w:hint="eastAsia"/>
          <w:color w:val="auto"/>
          <w:highlight w:val="none"/>
        </w:rPr>
        <w:t>文字</w:t>
      </w:r>
      <w:bookmarkEnd w:id="69"/>
      <w:bookmarkEnd w:id="70"/>
      <w:bookmarkEnd w:id="71"/>
      <w:bookmarkEnd w:id="72"/>
      <w:bookmarkEnd w:id="73"/>
    </w:p>
    <w:p w14:paraId="19D89A8C">
      <w:pPr>
        <w:spacing w:line="36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14:paraId="3A54810D">
      <w:pPr>
        <w:pStyle w:val="25"/>
        <w:spacing w:line="360" w:lineRule="exact"/>
        <w:rPr>
          <w:color w:val="auto"/>
          <w:highlight w:val="none"/>
        </w:rPr>
      </w:pPr>
      <w:bookmarkStart w:id="74" w:name="_Toc152045538"/>
      <w:bookmarkStart w:id="75" w:name="_Toc166326849"/>
      <w:bookmarkStart w:id="76" w:name="_Toc256000013"/>
      <w:bookmarkStart w:id="77" w:name="_Toc144974506"/>
      <w:bookmarkStart w:id="78" w:name="_Toc179632555"/>
      <w:bookmarkStart w:id="79" w:name="_Toc152042314"/>
      <w:r>
        <w:rPr>
          <w:rFonts w:hint="eastAsia"/>
          <w:color w:val="auto"/>
          <w:highlight w:val="none"/>
        </w:rPr>
        <w:t>1.8 计量单位</w:t>
      </w:r>
      <w:bookmarkEnd w:id="74"/>
      <w:bookmarkEnd w:id="75"/>
      <w:bookmarkEnd w:id="76"/>
      <w:bookmarkEnd w:id="77"/>
      <w:bookmarkEnd w:id="78"/>
      <w:bookmarkEnd w:id="79"/>
    </w:p>
    <w:p w14:paraId="643C3BB9">
      <w:pPr>
        <w:spacing w:line="360" w:lineRule="exact"/>
        <w:ind w:firstLine="420" w:firstLineChars="200"/>
        <w:rPr>
          <w:color w:val="auto"/>
          <w:highlight w:val="none"/>
        </w:rPr>
      </w:pPr>
      <w:r>
        <w:rPr>
          <w:rFonts w:hint="eastAsia"/>
          <w:color w:val="auto"/>
          <w:highlight w:val="none"/>
        </w:rPr>
        <w:t>所有计量均采用中华人民共和国法定计量单位。</w:t>
      </w:r>
    </w:p>
    <w:p w14:paraId="44ED76FD">
      <w:pPr>
        <w:pStyle w:val="25"/>
        <w:spacing w:line="360" w:lineRule="exact"/>
        <w:rPr>
          <w:color w:val="auto"/>
          <w:highlight w:val="none"/>
        </w:rPr>
      </w:pPr>
      <w:bookmarkStart w:id="80" w:name="_Toc256000014"/>
      <w:bookmarkStart w:id="81" w:name="_Toc152045539"/>
      <w:bookmarkStart w:id="82" w:name="_Toc166326850"/>
      <w:bookmarkStart w:id="83" w:name="_Toc179632556"/>
      <w:bookmarkStart w:id="84" w:name="_Toc152042315"/>
      <w:bookmarkStart w:id="85" w:name="_Toc144974507"/>
      <w:r>
        <w:rPr>
          <w:rFonts w:hint="eastAsia"/>
          <w:color w:val="auto"/>
          <w:highlight w:val="none"/>
        </w:rPr>
        <w:t>1.9 踏勘现场</w:t>
      </w:r>
      <w:bookmarkEnd w:id="80"/>
      <w:bookmarkEnd w:id="81"/>
      <w:bookmarkEnd w:id="82"/>
      <w:bookmarkEnd w:id="83"/>
      <w:bookmarkEnd w:id="84"/>
      <w:bookmarkEnd w:id="85"/>
    </w:p>
    <w:p w14:paraId="5A6217C4">
      <w:pPr>
        <w:spacing w:line="36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50A282DA">
      <w:pPr>
        <w:spacing w:line="360" w:lineRule="exact"/>
        <w:ind w:firstLine="420" w:firstLineChars="200"/>
        <w:rPr>
          <w:color w:val="auto"/>
          <w:highlight w:val="none"/>
        </w:rPr>
      </w:pPr>
      <w:r>
        <w:rPr>
          <w:rFonts w:hint="eastAsia"/>
          <w:color w:val="auto"/>
          <w:highlight w:val="none"/>
        </w:rPr>
        <w:t>1.9.2 投标人踏勘现场发生的费用自理。</w:t>
      </w:r>
    </w:p>
    <w:p w14:paraId="17FDCEB5">
      <w:pPr>
        <w:spacing w:line="36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14:paraId="6F73AFF2">
      <w:pPr>
        <w:spacing w:line="360" w:lineRule="exact"/>
        <w:ind w:firstLine="420" w:firstLineChars="20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15C37F28">
      <w:pPr>
        <w:pStyle w:val="25"/>
        <w:spacing w:line="360" w:lineRule="exact"/>
        <w:rPr>
          <w:color w:val="auto"/>
          <w:highlight w:val="none"/>
        </w:rPr>
      </w:pPr>
      <w:bookmarkStart w:id="86" w:name="_Toc144974508"/>
      <w:bookmarkStart w:id="87" w:name="_Toc179632557"/>
      <w:bookmarkStart w:id="88" w:name="_Toc152045540"/>
      <w:bookmarkStart w:id="89" w:name="_Toc166326851"/>
      <w:bookmarkStart w:id="90" w:name="_Toc256000015"/>
      <w:bookmarkStart w:id="91" w:name="_Toc152042316"/>
      <w:r>
        <w:rPr>
          <w:rFonts w:hint="eastAsia"/>
          <w:color w:val="auto"/>
          <w:highlight w:val="none"/>
        </w:rPr>
        <w:t>1.10 投标预备会</w:t>
      </w:r>
      <w:bookmarkEnd w:id="86"/>
      <w:bookmarkEnd w:id="87"/>
      <w:bookmarkEnd w:id="88"/>
      <w:bookmarkEnd w:id="89"/>
      <w:bookmarkEnd w:id="90"/>
      <w:bookmarkEnd w:id="91"/>
    </w:p>
    <w:p w14:paraId="3F27FA99">
      <w:pPr>
        <w:spacing w:line="360" w:lineRule="exact"/>
        <w:ind w:firstLine="420" w:firstLineChars="20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1A660533">
      <w:pPr>
        <w:spacing w:line="360" w:lineRule="exact"/>
        <w:ind w:firstLine="420" w:firstLineChars="200"/>
        <w:rPr>
          <w:color w:val="auto"/>
          <w:highlight w:val="none"/>
        </w:rPr>
      </w:pPr>
      <w:r>
        <w:rPr>
          <w:rFonts w:hint="eastAsia"/>
          <w:color w:val="auto"/>
          <w:highlight w:val="none"/>
        </w:rPr>
        <w:t>1.10.2 在投标人须知前附表规定的时间前，投标人应通过电子交易系统以书面形式将提出的问题送达招标人，以便招标人在会议期间澄清。</w:t>
      </w:r>
    </w:p>
    <w:p w14:paraId="7B44EAB6">
      <w:pPr>
        <w:spacing w:line="360" w:lineRule="exact"/>
        <w:ind w:firstLine="420" w:firstLineChars="200"/>
        <w:rPr>
          <w:color w:val="auto"/>
          <w:highlight w:val="none"/>
        </w:rPr>
      </w:pPr>
      <w:r>
        <w:rPr>
          <w:rFonts w:hint="eastAsia"/>
          <w:color w:val="auto"/>
          <w:highlight w:val="none"/>
        </w:rPr>
        <w:t>1.10.3 投标预备会后，招标人在本章第2.2.2项规定的时间内，将对投标人所提问题的澄清，</w:t>
      </w:r>
      <w:bookmarkStart w:id="92" w:name="_Hlk144990476"/>
      <w:r>
        <w:rPr>
          <w:rFonts w:hint="eastAsia"/>
          <w:color w:val="auto"/>
          <w:highlight w:val="none"/>
        </w:rPr>
        <w:t>以书面形式通过法定公告公示信息发布媒介、电子交易系统（投标盲盒工具）等渠道通知所有下载招标文件的投标人。</w:t>
      </w:r>
      <w:bookmarkEnd w:id="92"/>
      <w:r>
        <w:rPr>
          <w:rFonts w:hint="eastAsia"/>
          <w:color w:val="auto"/>
          <w:highlight w:val="none"/>
        </w:rPr>
        <w:t>该澄清内容为招标文件的组成部分。</w:t>
      </w:r>
    </w:p>
    <w:p w14:paraId="33880280">
      <w:pPr>
        <w:pStyle w:val="25"/>
        <w:spacing w:line="360" w:lineRule="exact"/>
        <w:rPr>
          <w:color w:val="auto"/>
          <w:highlight w:val="none"/>
        </w:rPr>
      </w:pPr>
      <w:bookmarkStart w:id="93" w:name="_Toc152042317"/>
      <w:bookmarkStart w:id="94" w:name="_Toc144974509"/>
      <w:bookmarkStart w:id="95" w:name="_Toc256000016"/>
      <w:bookmarkStart w:id="96" w:name="_Toc166326852"/>
      <w:bookmarkStart w:id="97" w:name="_Toc179632558"/>
      <w:bookmarkStart w:id="98" w:name="_Toc152045541"/>
      <w:r>
        <w:rPr>
          <w:rFonts w:hint="eastAsia"/>
          <w:color w:val="auto"/>
          <w:highlight w:val="none"/>
        </w:rPr>
        <w:t>1.11 分包</w:t>
      </w:r>
      <w:bookmarkEnd w:id="93"/>
      <w:bookmarkEnd w:id="94"/>
      <w:bookmarkEnd w:id="95"/>
      <w:bookmarkEnd w:id="96"/>
      <w:bookmarkEnd w:id="97"/>
      <w:bookmarkEnd w:id="98"/>
    </w:p>
    <w:p w14:paraId="33D7A274">
      <w:pPr>
        <w:spacing w:line="360" w:lineRule="exact"/>
        <w:ind w:firstLine="420" w:firstLineChars="20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1FFD40DF">
      <w:pPr>
        <w:pStyle w:val="25"/>
        <w:spacing w:line="360" w:lineRule="exact"/>
        <w:rPr>
          <w:color w:val="auto"/>
          <w:highlight w:val="none"/>
        </w:rPr>
      </w:pPr>
      <w:bookmarkStart w:id="99" w:name="_Toc256000017"/>
      <w:bookmarkStart w:id="100" w:name="_Toc166326853"/>
      <w:bookmarkStart w:id="101" w:name="_Toc179632559"/>
      <w:r>
        <w:rPr>
          <w:rFonts w:hint="eastAsia"/>
          <w:color w:val="auto"/>
          <w:highlight w:val="none"/>
        </w:rPr>
        <w:t>1.12 偏离</w:t>
      </w:r>
      <w:bookmarkEnd w:id="99"/>
      <w:bookmarkEnd w:id="100"/>
      <w:bookmarkEnd w:id="101"/>
    </w:p>
    <w:p w14:paraId="1A91E9F9">
      <w:pPr>
        <w:spacing w:line="360" w:lineRule="exact"/>
        <w:ind w:firstLine="420" w:firstLineChars="20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4803AD8A">
      <w:pPr>
        <w:pStyle w:val="23"/>
        <w:spacing w:line="360" w:lineRule="exact"/>
        <w:rPr>
          <w:color w:val="auto"/>
          <w:highlight w:val="none"/>
        </w:rPr>
      </w:pPr>
      <w:bookmarkStart w:id="102" w:name="_Toc256000018"/>
      <w:bookmarkStart w:id="103" w:name="_Toc144974510"/>
      <w:bookmarkStart w:id="104" w:name="_Toc166326854"/>
      <w:bookmarkStart w:id="105" w:name="_Toc152045542"/>
      <w:bookmarkStart w:id="106" w:name="_Toc152042318"/>
      <w:bookmarkStart w:id="107" w:name="_Toc179632560"/>
      <w:r>
        <w:rPr>
          <w:rFonts w:hint="eastAsia"/>
          <w:color w:val="auto"/>
          <w:highlight w:val="none"/>
        </w:rPr>
        <w:t>2. 招标文件</w:t>
      </w:r>
      <w:bookmarkEnd w:id="102"/>
      <w:bookmarkEnd w:id="103"/>
      <w:bookmarkEnd w:id="104"/>
      <w:bookmarkEnd w:id="105"/>
      <w:bookmarkEnd w:id="106"/>
      <w:bookmarkEnd w:id="107"/>
    </w:p>
    <w:p w14:paraId="2006F500">
      <w:pPr>
        <w:pStyle w:val="25"/>
        <w:spacing w:line="360" w:lineRule="exact"/>
        <w:rPr>
          <w:color w:val="auto"/>
          <w:highlight w:val="none"/>
        </w:rPr>
      </w:pPr>
      <w:bookmarkStart w:id="108" w:name="_Toc256000019"/>
      <w:bookmarkStart w:id="109" w:name="_Toc166326855"/>
      <w:bookmarkStart w:id="110" w:name="_Toc152042319"/>
      <w:bookmarkStart w:id="111" w:name="_Toc152045543"/>
      <w:bookmarkStart w:id="112" w:name="_Toc144974511"/>
      <w:bookmarkStart w:id="113" w:name="_Toc179632561"/>
      <w:r>
        <w:rPr>
          <w:rFonts w:hint="eastAsia"/>
          <w:color w:val="auto"/>
          <w:highlight w:val="none"/>
        </w:rPr>
        <w:t>2.1 招标文件的组成</w:t>
      </w:r>
      <w:bookmarkEnd w:id="108"/>
      <w:bookmarkEnd w:id="109"/>
      <w:bookmarkEnd w:id="110"/>
      <w:bookmarkEnd w:id="111"/>
      <w:bookmarkEnd w:id="112"/>
      <w:bookmarkEnd w:id="113"/>
    </w:p>
    <w:p w14:paraId="32B3C8C1">
      <w:pPr>
        <w:spacing w:line="360" w:lineRule="exact"/>
        <w:rPr>
          <w:color w:val="auto"/>
          <w:highlight w:val="none"/>
        </w:rPr>
      </w:pPr>
      <w:r>
        <w:rPr>
          <w:rFonts w:hint="eastAsia"/>
          <w:color w:val="auto"/>
          <w:highlight w:val="none"/>
        </w:rPr>
        <w:t xml:space="preserve">  2.1.1本招标文件包括：</w:t>
      </w:r>
    </w:p>
    <w:p w14:paraId="445A4B2A">
      <w:pPr>
        <w:spacing w:line="360" w:lineRule="exact"/>
        <w:ind w:firstLine="359" w:firstLineChars="171"/>
        <w:rPr>
          <w:color w:val="auto"/>
          <w:highlight w:val="none"/>
        </w:rPr>
      </w:pPr>
      <w:r>
        <w:rPr>
          <w:rFonts w:hint="eastAsia"/>
          <w:color w:val="auto"/>
          <w:highlight w:val="none"/>
        </w:rPr>
        <w:t>（1）招标公告（或投标邀请书）；</w:t>
      </w:r>
    </w:p>
    <w:p w14:paraId="009A08C7">
      <w:pPr>
        <w:spacing w:line="360" w:lineRule="exact"/>
        <w:ind w:firstLine="359" w:firstLineChars="171"/>
        <w:rPr>
          <w:color w:val="auto"/>
          <w:highlight w:val="none"/>
        </w:rPr>
      </w:pPr>
      <w:r>
        <w:rPr>
          <w:rFonts w:hint="eastAsia"/>
          <w:color w:val="auto"/>
          <w:highlight w:val="none"/>
        </w:rPr>
        <w:t>（2）投标人须知；</w:t>
      </w:r>
    </w:p>
    <w:p w14:paraId="07C0DCFC">
      <w:pPr>
        <w:spacing w:line="360" w:lineRule="exact"/>
        <w:ind w:firstLine="359" w:firstLineChars="171"/>
        <w:rPr>
          <w:color w:val="auto"/>
          <w:highlight w:val="none"/>
        </w:rPr>
      </w:pPr>
      <w:r>
        <w:rPr>
          <w:rFonts w:hint="eastAsia"/>
          <w:color w:val="auto"/>
          <w:highlight w:val="none"/>
        </w:rPr>
        <w:t>（3）评标办法；</w:t>
      </w:r>
    </w:p>
    <w:p w14:paraId="24BD41C8">
      <w:pPr>
        <w:spacing w:line="360" w:lineRule="exact"/>
        <w:ind w:firstLine="359" w:firstLineChars="171"/>
        <w:rPr>
          <w:color w:val="auto"/>
          <w:highlight w:val="none"/>
        </w:rPr>
      </w:pPr>
      <w:r>
        <w:rPr>
          <w:rFonts w:hint="eastAsia"/>
          <w:color w:val="auto"/>
          <w:highlight w:val="none"/>
        </w:rPr>
        <w:t>（4）合同条款及格式；</w:t>
      </w:r>
    </w:p>
    <w:p w14:paraId="415C8C8A">
      <w:pPr>
        <w:spacing w:line="360" w:lineRule="exact"/>
        <w:ind w:firstLine="359" w:firstLineChars="171"/>
        <w:rPr>
          <w:color w:val="auto"/>
          <w:highlight w:val="none"/>
        </w:rPr>
      </w:pPr>
      <w:r>
        <w:rPr>
          <w:rFonts w:hint="eastAsia"/>
          <w:color w:val="auto"/>
          <w:highlight w:val="none"/>
        </w:rPr>
        <w:t xml:space="preserve">（5）工程量清单； </w:t>
      </w:r>
    </w:p>
    <w:p w14:paraId="6D3C3A35">
      <w:pPr>
        <w:spacing w:line="360" w:lineRule="exact"/>
        <w:ind w:firstLine="359" w:firstLineChars="171"/>
        <w:rPr>
          <w:color w:val="auto"/>
          <w:highlight w:val="none"/>
        </w:rPr>
      </w:pPr>
      <w:r>
        <w:rPr>
          <w:rFonts w:hint="eastAsia"/>
          <w:color w:val="auto"/>
          <w:highlight w:val="none"/>
        </w:rPr>
        <w:t xml:space="preserve">（6）图纸； </w:t>
      </w:r>
    </w:p>
    <w:p w14:paraId="112BBBF6">
      <w:pPr>
        <w:spacing w:line="360" w:lineRule="exact"/>
        <w:ind w:firstLine="359" w:firstLineChars="171"/>
        <w:rPr>
          <w:color w:val="auto"/>
          <w:highlight w:val="none"/>
        </w:rPr>
      </w:pPr>
      <w:r>
        <w:rPr>
          <w:rFonts w:hint="eastAsia"/>
          <w:color w:val="auto"/>
          <w:highlight w:val="none"/>
        </w:rPr>
        <w:t xml:space="preserve">（7）技术标准和要求； </w:t>
      </w:r>
    </w:p>
    <w:p w14:paraId="3107DE05">
      <w:pPr>
        <w:spacing w:line="360" w:lineRule="exact"/>
        <w:ind w:firstLine="359" w:firstLineChars="171"/>
        <w:rPr>
          <w:color w:val="auto"/>
          <w:highlight w:val="none"/>
        </w:rPr>
      </w:pPr>
      <w:r>
        <w:rPr>
          <w:rFonts w:hint="eastAsia"/>
          <w:color w:val="auto"/>
          <w:highlight w:val="none"/>
        </w:rPr>
        <w:t>（8）投标文件格式；</w:t>
      </w:r>
    </w:p>
    <w:p w14:paraId="772515A9">
      <w:pPr>
        <w:spacing w:line="360" w:lineRule="exact"/>
        <w:ind w:firstLine="359" w:firstLineChars="171"/>
        <w:rPr>
          <w:color w:val="auto"/>
          <w:highlight w:val="none"/>
        </w:rPr>
      </w:pPr>
      <w:r>
        <w:rPr>
          <w:rFonts w:hint="eastAsia"/>
          <w:color w:val="auto"/>
          <w:highlight w:val="none"/>
        </w:rPr>
        <w:t>（9）投标人须知前附表规定的其他材料。</w:t>
      </w:r>
    </w:p>
    <w:p w14:paraId="794CBF3D">
      <w:pPr>
        <w:spacing w:line="360" w:lineRule="exact"/>
        <w:ind w:firstLine="420" w:firstLineChars="200"/>
        <w:rPr>
          <w:color w:val="auto"/>
          <w:highlight w:val="none"/>
        </w:rPr>
      </w:pPr>
      <w:r>
        <w:rPr>
          <w:rFonts w:hint="eastAsia"/>
          <w:color w:val="auto"/>
          <w:highlight w:val="none"/>
        </w:rPr>
        <w:t>根据本章第1.10款、</w:t>
      </w:r>
      <w:r>
        <w:rPr>
          <w:color w:val="auto"/>
          <w:highlight w:val="none"/>
        </w:rPr>
        <w:t>第2.2款和第2.3款</w:t>
      </w:r>
      <w:r>
        <w:rPr>
          <w:rFonts w:hint="eastAsia"/>
          <w:color w:val="auto"/>
          <w:highlight w:val="none"/>
        </w:rPr>
        <w:t>对招标文件所作的澄清、修改，构成招标文件的组成部分。</w:t>
      </w:r>
    </w:p>
    <w:p w14:paraId="29CCBEEC">
      <w:pPr>
        <w:pStyle w:val="25"/>
        <w:spacing w:line="360" w:lineRule="exact"/>
        <w:rPr>
          <w:color w:val="auto"/>
          <w:highlight w:val="none"/>
        </w:rPr>
      </w:pPr>
      <w:bookmarkStart w:id="114" w:name="_Toc152042320"/>
      <w:bookmarkStart w:id="115" w:name="_Toc144974512"/>
      <w:bookmarkStart w:id="116" w:name="_Toc179632562"/>
      <w:bookmarkStart w:id="117" w:name="_Toc256000020"/>
      <w:bookmarkStart w:id="118" w:name="_Toc166326856"/>
      <w:bookmarkStart w:id="119" w:name="_Toc152045544"/>
      <w:r>
        <w:rPr>
          <w:rFonts w:hint="eastAsia"/>
          <w:color w:val="auto"/>
          <w:highlight w:val="none"/>
        </w:rPr>
        <w:t>2.2 招标文件的澄清</w:t>
      </w:r>
      <w:bookmarkEnd w:id="114"/>
      <w:bookmarkEnd w:id="115"/>
      <w:bookmarkEnd w:id="116"/>
      <w:bookmarkEnd w:id="117"/>
      <w:bookmarkEnd w:id="118"/>
      <w:bookmarkEnd w:id="119"/>
    </w:p>
    <w:p w14:paraId="56081791">
      <w:pPr>
        <w:spacing w:line="360" w:lineRule="exact"/>
        <w:ind w:firstLine="420" w:firstLineChars="200"/>
        <w:rPr>
          <w:color w:val="auto"/>
          <w:highlight w:val="none"/>
        </w:rPr>
      </w:pPr>
      <w:r>
        <w:rPr>
          <w:rFonts w:hint="eastAsia"/>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bookmarkStart w:id="120" w:name="_Hlk144990577"/>
      <w:r>
        <w:rPr>
          <w:rFonts w:hint="eastAsia"/>
          <w:color w:val="auto"/>
          <w:highlight w:val="none"/>
        </w:rPr>
        <w:t>如有疑问，应在投标人须知前附表规定的时间前，通过法定公告公示信息发布媒介、电子交易系统（投标盲盒工具）等渠道以书面形式要求招标人对招标文件予以澄清。</w:t>
      </w:r>
      <w:bookmarkEnd w:id="120"/>
    </w:p>
    <w:p w14:paraId="5C562C16">
      <w:pPr>
        <w:spacing w:line="360" w:lineRule="exact"/>
        <w:ind w:firstLine="420" w:firstLineChars="200"/>
        <w:rPr>
          <w:color w:val="auto"/>
          <w:highlight w:val="none"/>
        </w:rPr>
      </w:pPr>
      <w:r>
        <w:rPr>
          <w:rFonts w:hint="eastAsia"/>
          <w:color w:val="auto"/>
          <w:highlight w:val="none"/>
        </w:rPr>
        <w:t xml:space="preserve">2.2.2 </w:t>
      </w:r>
      <w:r>
        <w:rPr>
          <w:color w:val="auto"/>
          <w:highlight w:val="none"/>
        </w:rPr>
        <w:t>招标人</w:t>
      </w:r>
      <w:r>
        <w:rPr>
          <w:rFonts w:hint="eastAsia"/>
          <w:color w:val="auto"/>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0E36E6B1">
      <w:pPr>
        <w:spacing w:line="360" w:lineRule="exact"/>
        <w:ind w:firstLine="420" w:firstLineChars="200"/>
        <w:rPr>
          <w:color w:val="auto"/>
          <w:highlight w:val="none"/>
        </w:rPr>
      </w:pPr>
      <w:r>
        <w:rPr>
          <w:rFonts w:hint="eastAsia"/>
          <w:color w:val="auto"/>
          <w:highlight w:val="none"/>
        </w:rPr>
        <w:t>2.2.3</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的澄清通知，因投标人</w:t>
      </w:r>
      <w:r>
        <w:rPr>
          <w:rFonts w:hint="eastAsia"/>
          <w:color w:val="auto"/>
          <w:highlight w:val="none"/>
        </w:rPr>
        <w:t>自身</w:t>
      </w:r>
      <w:r>
        <w:rPr>
          <w:color w:val="auto"/>
          <w:highlight w:val="none"/>
        </w:rPr>
        <w:t>原因未及时获知澄清内容而导致的任何后果将由投标人自行承担。</w:t>
      </w:r>
    </w:p>
    <w:p w14:paraId="2DA573B5">
      <w:pPr>
        <w:pStyle w:val="25"/>
        <w:spacing w:line="360" w:lineRule="exact"/>
        <w:rPr>
          <w:color w:val="auto"/>
          <w:highlight w:val="none"/>
        </w:rPr>
      </w:pPr>
      <w:bookmarkStart w:id="121" w:name="_Toc166326857"/>
      <w:bookmarkStart w:id="122" w:name="_Toc179632563"/>
      <w:bookmarkStart w:id="123" w:name="_Toc152045545"/>
      <w:bookmarkStart w:id="124" w:name="_Toc256000021"/>
      <w:bookmarkStart w:id="125" w:name="_Toc144974513"/>
      <w:bookmarkStart w:id="126" w:name="_Toc152042321"/>
      <w:r>
        <w:rPr>
          <w:rFonts w:hint="eastAsia"/>
          <w:color w:val="auto"/>
          <w:highlight w:val="none"/>
        </w:rPr>
        <w:t>2.3 招标文件的修改</w:t>
      </w:r>
      <w:bookmarkEnd w:id="121"/>
      <w:bookmarkEnd w:id="122"/>
      <w:bookmarkEnd w:id="123"/>
      <w:bookmarkEnd w:id="124"/>
      <w:bookmarkEnd w:id="125"/>
      <w:bookmarkEnd w:id="126"/>
    </w:p>
    <w:p w14:paraId="21F0AABA">
      <w:pPr>
        <w:spacing w:line="360" w:lineRule="exact"/>
        <w:ind w:firstLine="420" w:firstLineChars="200"/>
        <w:rPr>
          <w:color w:val="auto"/>
          <w:highlight w:val="none"/>
        </w:rPr>
      </w:pPr>
      <w:r>
        <w:rPr>
          <w:rFonts w:hint="eastAsia"/>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70C4E29B">
      <w:pPr>
        <w:spacing w:line="360" w:lineRule="exact"/>
        <w:ind w:firstLine="420" w:firstLineChars="200"/>
        <w:rPr>
          <w:color w:val="auto"/>
          <w:highlight w:val="none"/>
        </w:rPr>
      </w:pPr>
      <w:r>
        <w:rPr>
          <w:rFonts w:hint="eastAsia"/>
          <w:color w:val="auto"/>
          <w:highlight w:val="none"/>
        </w:rPr>
        <w:t>2.3.2</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w:t>
      </w:r>
      <w:r>
        <w:rPr>
          <w:rFonts w:hint="eastAsia"/>
          <w:color w:val="auto"/>
          <w:highlight w:val="none"/>
        </w:rPr>
        <w:t>修改</w:t>
      </w:r>
      <w:r>
        <w:rPr>
          <w:color w:val="auto"/>
          <w:highlight w:val="none"/>
        </w:rPr>
        <w:t>通知，因投标人</w:t>
      </w:r>
      <w:r>
        <w:rPr>
          <w:rFonts w:hint="eastAsia"/>
          <w:color w:val="auto"/>
          <w:highlight w:val="none"/>
        </w:rPr>
        <w:t>自身</w:t>
      </w:r>
      <w:r>
        <w:rPr>
          <w:color w:val="auto"/>
          <w:highlight w:val="none"/>
        </w:rPr>
        <w:t>原因未及时获知</w:t>
      </w:r>
      <w:r>
        <w:rPr>
          <w:rFonts w:hint="eastAsia"/>
          <w:color w:val="auto"/>
          <w:highlight w:val="none"/>
        </w:rPr>
        <w:t>修改</w:t>
      </w:r>
      <w:r>
        <w:rPr>
          <w:color w:val="auto"/>
          <w:highlight w:val="none"/>
        </w:rPr>
        <w:t>内容而导致的任何后果将由投标人自行承担。</w:t>
      </w:r>
    </w:p>
    <w:p w14:paraId="03463E54">
      <w:pPr>
        <w:pStyle w:val="25"/>
        <w:spacing w:line="360" w:lineRule="exact"/>
        <w:rPr>
          <w:color w:val="auto"/>
          <w:highlight w:val="none"/>
        </w:rPr>
      </w:pPr>
      <w:bookmarkStart w:id="127" w:name="_Toc256000022"/>
      <w:bookmarkStart w:id="128" w:name="_Toc166326858"/>
      <w:r>
        <w:rPr>
          <w:rFonts w:hint="eastAsia"/>
          <w:color w:val="auto"/>
          <w:highlight w:val="none"/>
        </w:rPr>
        <w:t>2.4 招标文件的异议</w:t>
      </w:r>
      <w:bookmarkEnd w:id="127"/>
      <w:bookmarkEnd w:id="128"/>
    </w:p>
    <w:p w14:paraId="143C0BF5">
      <w:pPr>
        <w:spacing w:line="360" w:lineRule="exact"/>
        <w:ind w:firstLine="420" w:firstLineChars="200"/>
        <w:rPr>
          <w:color w:val="auto"/>
          <w:highlight w:val="none"/>
        </w:rPr>
      </w:pPr>
      <w:bookmarkStart w:id="129" w:name="_Toc144974514"/>
      <w:bookmarkStart w:id="130" w:name="_Toc179632564"/>
      <w:bookmarkStart w:id="131" w:name="_Toc166326859"/>
      <w:bookmarkStart w:id="132" w:name="_Toc152042322"/>
      <w:bookmarkStart w:id="133" w:name="_Toc152045546"/>
      <w:r>
        <w:rPr>
          <w:rFonts w:hint="eastAsia"/>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color w:val="auto"/>
          <w:highlight w:val="none"/>
        </w:rPr>
        <w:t>不予受理</w:t>
      </w:r>
      <w:r>
        <w:rPr>
          <w:rFonts w:hint="eastAsia"/>
          <w:color w:val="auto"/>
          <w:highlight w:val="none"/>
        </w:rPr>
        <w:t>。异议与答复应通过电子招标投标系统（辽宁省工程建设项目招标投标异议投诉处理系统）以书面形式进行。</w:t>
      </w:r>
    </w:p>
    <w:p w14:paraId="4E1C189D">
      <w:pPr>
        <w:spacing w:line="360" w:lineRule="exact"/>
        <w:ind w:firstLine="420" w:firstLineChars="200"/>
        <w:rPr>
          <w:color w:val="auto"/>
          <w:highlight w:val="none"/>
        </w:rPr>
      </w:pPr>
      <w:r>
        <w:rPr>
          <w:rFonts w:hint="eastAsia"/>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125626D2">
      <w:pPr>
        <w:spacing w:line="360" w:lineRule="exact"/>
        <w:ind w:firstLine="420" w:firstLineChars="200"/>
        <w:rPr>
          <w:color w:val="auto"/>
          <w:highlight w:val="none"/>
        </w:rPr>
      </w:pPr>
      <w:r>
        <w:rPr>
          <w:rFonts w:hint="eastAsia"/>
          <w:color w:val="auto"/>
          <w:highlight w:val="none"/>
        </w:rPr>
        <w:t>有关</w:t>
      </w:r>
      <w:r>
        <w:rPr>
          <w:color w:val="auto"/>
          <w:highlight w:val="none"/>
        </w:rPr>
        <w:t>异议受理</w:t>
      </w:r>
      <w:r>
        <w:rPr>
          <w:rFonts w:hint="eastAsia"/>
          <w:color w:val="auto"/>
          <w:highlight w:val="none"/>
        </w:rPr>
        <w:t>部门及联系方式见投标人须知前附表。</w:t>
      </w:r>
    </w:p>
    <w:p w14:paraId="6C251847">
      <w:pPr>
        <w:spacing w:line="360" w:lineRule="exact"/>
        <w:ind w:firstLine="420" w:firstLineChars="200"/>
        <w:rPr>
          <w:color w:val="auto"/>
          <w:highlight w:val="none"/>
        </w:rPr>
      </w:pPr>
      <w:r>
        <w:rPr>
          <w:rFonts w:hint="eastAsia"/>
          <w:color w:val="auto"/>
          <w:highlight w:val="none"/>
        </w:rPr>
        <w:t>2.4.2招标人对异议的答复构成对招标文件澄清或者修改的，招标人将按照本章第2.2款、第2.3款规定办理。</w:t>
      </w:r>
    </w:p>
    <w:p w14:paraId="2A54B1AC">
      <w:pPr>
        <w:pStyle w:val="23"/>
        <w:spacing w:line="360" w:lineRule="exact"/>
        <w:rPr>
          <w:color w:val="auto"/>
          <w:highlight w:val="none"/>
        </w:rPr>
      </w:pPr>
      <w:bookmarkStart w:id="134" w:name="_Toc256000023"/>
      <w:r>
        <w:rPr>
          <w:rFonts w:hint="eastAsia"/>
          <w:color w:val="auto"/>
          <w:highlight w:val="none"/>
        </w:rPr>
        <w:t>3. 投标文件</w:t>
      </w:r>
      <w:bookmarkEnd w:id="129"/>
      <w:bookmarkEnd w:id="130"/>
      <w:bookmarkEnd w:id="131"/>
      <w:bookmarkEnd w:id="132"/>
      <w:bookmarkEnd w:id="133"/>
      <w:bookmarkEnd w:id="134"/>
    </w:p>
    <w:p w14:paraId="56E7D218">
      <w:pPr>
        <w:pStyle w:val="25"/>
        <w:spacing w:line="360" w:lineRule="exact"/>
        <w:rPr>
          <w:color w:val="auto"/>
          <w:highlight w:val="none"/>
        </w:rPr>
      </w:pPr>
      <w:bookmarkStart w:id="135" w:name="_Toc166326860"/>
      <w:bookmarkStart w:id="136" w:name="_Toc152042323"/>
      <w:bookmarkStart w:id="137" w:name="_Toc144974515"/>
      <w:bookmarkStart w:id="138" w:name="_Toc179632565"/>
      <w:bookmarkStart w:id="139" w:name="_Toc152045547"/>
      <w:bookmarkStart w:id="140" w:name="_Toc256000024"/>
      <w:r>
        <w:rPr>
          <w:rFonts w:hint="eastAsia"/>
          <w:color w:val="auto"/>
          <w:highlight w:val="none"/>
        </w:rPr>
        <w:t>3.1 投标文件的组成</w:t>
      </w:r>
      <w:bookmarkEnd w:id="135"/>
      <w:bookmarkEnd w:id="136"/>
      <w:bookmarkEnd w:id="137"/>
      <w:bookmarkEnd w:id="138"/>
      <w:bookmarkEnd w:id="139"/>
      <w:bookmarkEnd w:id="140"/>
    </w:p>
    <w:p w14:paraId="1D0EFCC5">
      <w:pPr>
        <w:spacing w:line="360" w:lineRule="exact"/>
        <w:rPr>
          <w:color w:val="auto"/>
          <w:highlight w:val="none"/>
        </w:rPr>
      </w:pPr>
      <w:r>
        <w:rPr>
          <w:rFonts w:hint="eastAsia"/>
          <w:color w:val="auto"/>
          <w:highlight w:val="none"/>
        </w:rPr>
        <w:t xml:space="preserve">  3.1.1投标文件应包括下列内容：</w:t>
      </w:r>
    </w:p>
    <w:p w14:paraId="7F5469AF">
      <w:pPr>
        <w:spacing w:line="360" w:lineRule="exact"/>
        <w:ind w:firstLine="359" w:firstLineChars="171"/>
        <w:rPr>
          <w:color w:val="auto"/>
          <w:highlight w:val="none"/>
        </w:rPr>
      </w:pPr>
      <w:r>
        <w:rPr>
          <w:rFonts w:hint="eastAsia"/>
          <w:color w:val="auto"/>
          <w:highlight w:val="none"/>
        </w:rPr>
        <w:t>（1）投标函及投标函附录等；</w:t>
      </w:r>
    </w:p>
    <w:p w14:paraId="396E8A9F">
      <w:pPr>
        <w:spacing w:line="360" w:lineRule="exact"/>
        <w:ind w:firstLine="359" w:firstLineChars="171"/>
        <w:rPr>
          <w:color w:val="auto"/>
          <w:highlight w:val="none"/>
        </w:rPr>
      </w:pPr>
      <w:r>
        <w:rPr>
          <w:rFonts w:hint="eastAsia"/>
          <w:color w:val="auto"/>
          <w:highlight w:val="none"/>
        </w:rPr>
        <w:t>（2）法定代表人身份证明；</w:t>
      </w:r>
    </w:p>
    <w:p w14:paraId="37A520AE">
      <w:pPr>
        <w:spacing w:line="360" w:lineRule="exact"/>
        <w:ind w:firstLine="359" w:firstLineChars="171"/>
        <w:rPr>
          <w:color w:val="auto"/>
          <w:highlight w:val="none"/>
        </w:rPr>
      </w:pPr>
      <w:r>
        <w:rPr>
          <w:rFonts w:hint="eastAsia"/>
          <w:color w:val="auto"/>
          <w:highlight w:val="none"/>
        </w:rPr>
        <w:t>（2）授权委托书；</w:t>
      </w:r>
    </w:p>
    <w:p w14:paraId="35DAB64D">
      <w:pPr>
        <w:spacing w:line="360" w:lineRule="exact"/>
        <w:ind w:firstLine="359" w:firstLineChars="171"/>
        <w:rPr>
          <w:color w:val="auto"/>
          <w:highlight w:val="none"/>
        </w:rPr>
      </w:pPr>
      <w:r>
        <w:rPr>
          <w:rFonts w:hint="eastAsia"/>
          <w:color w:val="auto"/>
          <w:highlight w:val="none"/>
        </w:rPr>
        <w:t>（3）投标保证金；</w:t>
      </w:r>
    </w:p>
    <w:p w14:paraId="3DC57329">
      <w:pPr>
        <w:spacing w:line="360" w:lineRule="exact"/>
        <w:ind w:firstLine="359" w:firstLineChars="171"/>
        <w:rPr>
          <w:color w:val="auto"/>
          <w:highlight w:val="none"/>
        </w:rPr>
      </w:pPr>
      <w:r>
        <w:rPr>
          <w:rFonts w:hint="eastAsia"/>
          <w:color w:val="auto"/>
          <w:highlight w:val="none"/>
        </w:rPr>
        <w:t>（4）联合体协议书（如有）；</w:t>
      </w:r>
    </w:p>
    <w:p w14:paraId="61E74DED">
      <w:pPr>
        <w:spacing w:line="360" w:lineRule="exact"/>
        <w:ind w:firstLine="359" w:firstLineChars="171"/>
        <w:rPr>
          <w:color w:val="auto"/>
          <w:highlight w:val="none"/>
        </w:rPr>
      </w:pPr>
      <w:r>
        <w:rPr>
          <w:rFonts w:hint="eastAsia"/>
          <w:color w:val="auto"/>
          <w:highlight w:val="none"/>
        </w:rPr>
        <w:t>（5）</w:t>
      </w:r>
      <w:r>
        <w:rPr>
          <w:rFonts w:hint="eastAsia" w:ascii="宋体" w:hAnsi="宋体"/>
          <w:color w:val="auto"/>
          <w:szCs w:val="21"/>
          <w:highlight w:val="none"/>
        </w:rPr>
        <w:t>拟分包计划表</w:t>
      </w:r>
      <w:r>
        <w:rPr>
          <w:rFonts w:hint="eastAsia"/>
          <w:color w:val="auto"/>
          <w:highlight w:val="none"/>
        </w:rPr>
        <w:t>（如有）；</w:t>
      </w:r>
    </w:p>
    <w:p w14:paraId="331022C0">
      <w:pPr>
        <w:spacing w:line="36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）项目管理机构；</w:t>
      </w:r>
    </w:p>
    <w:p w14:paraId="7F9C08F2">
      <w:pPr>
        <w:spacing w:line="36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）资格审查资料；</w:t>
      </w:r>
    </w:p>
    <w:p w14:paraId="0E9B154A">
      <w:pPr>
        <w:spacing w:line="360" w:lineRule="exact"/>
        <w:ind w:firstLine="359" w:firstLineChars="171"/>
        <w:rPr>
          <w:color w:val="auto"/>
          <w:highlight w:val="none"/>
        </w:rPr>
      </w:pPr>
      <w:r>
        <w:rPr>
          <w:rFonts w:hint="eastAsia"/>
          <w:color w:val="auto"/>
          <w:highlight w:val="none"/>
        </w:rPr>
        <w:t>（</w:t>
      </w:r>
      <w:r>
        <w:rPr>
          <w:color w:val="auto"/>
          <w:highlight w:val="none"/>
        </w:rPr>
        <w:t>8</w:t>
      </w:r>
      <w:r>
        <w:rPr>
          <w:rFonts w:hint="eastAsia"/>
          <w:color w:val="auto"/>
          <w:highlight w:val="none"/>
        </w:rPr>
        <w:t>）</w:t>
      </w:r>
      <w:r>
        <w:rPr>
          <w:rFonts w:hint="eastAsia" w:ascii="宋体" w:hAnsi="宋体"/>
          <w:color w:val="auto"/>
          <w:szCs w:val="21"/>
          <w:highlight w:val="none"/>
        </w:rPr>
        <w:t>已标价工程量清单</w:t>
      </w:r>
      <w:r>
        <w:rPr>
          <w:rFonts w:hint="eastAsia"/>
          <w:color w:val="auto"/>
          <w:highlight w:val="none"/>
        </w:rPr>
        <w:t>；</w:t>
      </w:r>
    </w:p>
    <w:p w14:paraId="680E0609">
      <w:pPr>
        <w:spacing w:line="360" w:lineRule="exact"/>
        <w:ind w:firstLine="359" w:firstLineChars="171"/>
        <w:rPr>
          <w:color w:val="auto"/>
          <w:highlight w:val="none"/>
        </w:rPr>
      </w:pPr>
      <w:r>
        <w:rPr>
          <w:rFonts w:hint="eastAsia"/>
          <w:color w:val="auto"/>
          <w:highlight w:val="none"/>
        </w:rPr>
        <w:t>（</w:t>
      </w:r>
      <w:r>
        <w:rPr>
          <w:color w:val="auto"/>
          <w:highlight w:val="none"/>
        </w:rPr>
        <w:t>9</w:t>
      </w:r>
      <w:r>
        <w:rPr>
          <w:rFonts w:hint="eastAsia"/>
          <w:color w:val="auto"/>
          <w:highlight w:val="none"/>
        </w:rPr>
        <w:t>）施工组织设计；</w:t>
      </w:r>
    </w:p>
    <w:p w14:paraId="7EAD05DB">
      <w:pPr>
        <w:spacing w:line="360" w:lineRule="exact"/>
        <w:ind w:firstLine="359" w:firstLineChars="171"/>
        <w:rPr>
          <w:color w:val="auto"/>
          <w:highlight w:val="none"/>
        </w:rPr>
      </w:pPr>
      <w:r>
        <w:rPr>
          <w:rFonts w:hint="eastAsia"/>
          <w:color w:val="auto"/>
          <w:highlight w:val="none"/>
        </w:rPr>
        <w:t>（</w:t>
      </w:r>
      <w:r>
        <w:rPr>
          <w:color w:val="auto"/>
          <w:highlight w:val="none"/>
        </w:rPr>
        <w:t>10</w:t>
      </w:r>
      <w:r>
        <w:rPr>
          <w:rFonts w:hint="eastAsia"/>
          <w:color w:val="auto"/>
          <w:highlight w:val="none"/>
        </w:rPr>
        <w:t>）投标人须知前附表规定的其他材料。</w:t>
      </w:r>
    </w:p>
    <w:p w14:paraId="6ECF7688">
      <w:pPr>
        <w:spacing w:line="360" w:lineRule="exact"/>
        <w:ind w:firstLine="359" w:firstLineChars="171"/>
        <w:rPr>
          <w:color w:val="auto"/>
          <w:highlight w:val="none"/>
        </w:rPr>
      </w:pPr>
      <w:r>
        <w:rPr>
          <w:rFonts w:hint="eastAsia"/>
          <w:color w:val="auto"/>
          <w:highlight w:val="none"/>
        </w:rPr>
        <w:t>3.1.2 投标人须知前附表规定不接受联合体投标的，或投标人没有组成联合体的，投标文件不包括本章第3.1.1（</w:t>
      </w:r>
      <w:r>
        <w:rPr>
          <w:color w:val="auto"/>
          <w:highlight w:val="none"/>
        </w:rPr>
        <w:t>4</w:t>
      </w:r>
      <w:r>
        <w:rPr>
          <w:rFonts w:hint="eastAsia"/>
          <w:color w:val="auto"/>
          <w:highlight w:val="none"/>
        </w:rPr>
        <w:t xml:space="preserve">）目所指的联合体协议书。 </w:t>
      </w:r>
    </w:p>
    <w:p w14:paraId="5919CC24">
      <w:pPr>
        <w:pStyle w:val="25"/>
        <w:spacing w:line="360" w:lineRule="exact"/>
        <w:rPr>
          <w:color w:val="auto"/>
          <w:highlight w:val="none"/>
        </w:rPr>
      </w:pPr>
      <w:bookmarkStart w:id="141" w:name="_Toc166326861"/>
      <w:bookmarkStart w:id="142" w:name="_Toc256000025"/>
      <w:bookmarkStart w:id="143" w:name="_Toc179632566"/>
      <w:bookmarkStart w:id="144" w:name="_Toc152045548"/>
      <w:bookmarkStart w:id="145" w:name="_Toc144974516"/>
      <w:bookmarkStart w:id="146" w:name="_Toc152042324"/>
      <w:r>
        <w:rPr>
          <w:rFonts w:hint="eastAsia"/>
          <w:color w:val="auto"/>
          <w:highlight w:val="none"/>
        </w:rPr>
        <w:t>3.2 投标报价</w:t>
      </w:r>
      <w:bookmarkEnd w:id="141"/>
      <w:bookmarkEnd w:id="142"/>
      <w:bookmarkEnd w:id="143"/>
      <w:bookmarkEnd w:id="144"/>
      <w:bookmarkEnd w:id="145"/>
      <w:bookmarkEnd w:id="146"/>
    </w:p>
    <w:p w14:paraId="3766266F">
      <w:pPr>
        <w:spacing w:line="360" w:lineRule="exact"/>
        <w:ind w:firstLine="420" w:firstLineChars="200"/>
        <w:rPr>
          <w:color w:val="auto"/>
          <w:highlight w:val="none"/>
        </w:rPr>
      </w:pPr>
      <w:r>
        <w:rPr>
          <w:rFonts w:hint="eastAsia"/>
          <w:color w:val="auto"/>
          <w:highlight w:val="none"/>
        </w:rPr>
        <w:t>3.2.1 投标人应按第五章“工程量清单”的要求填写相应表格。</w:t>
      </w:r>
    </w:p>
    <w:p w14:paraId="0F2E71AD">
      <w:pPr>
        <w:spacing w:line="36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投标人在投标截止时间前修改投标函中的投标总报价，应同时修改第五章“工程量清单”中的相应报价。此修改须符合本章第4.3款的有关要求。</w:t>
      </w:r>
    </w:p>
    <w:p w14:paraId="259F8B81">
      <w:pPr>
        <w:spacing w:line="36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投标人投标函中的大写报价或算术错误修正后的投标总报价大于最高投标限价的，</w:t>
      </w:r>
      <w:r>
        <w:rPr>
          <w:color w:val="auto"/>
          <w:highlight w:val="none"/>
        </w:rPr>
        <w:t>其投标</w:t>
      </w:r>
      <w:r>
        <w:rPr>
          <w:rFonts w:hint="eastAsia"/>
          <w:color w:val="auto"/>
          <w:highlight w:val="none"/>
        </w:rPr>
        <w:t>将被否决</w:t>
      </w:r>
      <w:r>
        <w:rPr>
          <w:color w:val="auto"/>
          <w:highlight w:val="none"/>
        </w:rPr>
        <w:t>。</w:t>
      </w:r>
    </w:p>
    <w:p w14:paraId="49B8EF09">
      <w:pPr>
        <w:spacing w:line="360" w:lineRule="exact"/>
        <w:ind w:firstLine="420" w:firstLineChars="200"/>
        <w:rPr>
          <w:color w:val="auto"/>
          <w:highlight w:val="none"/>
        </w:rPr>
      </w:pPr>
      <w:r>
        <w:rPr>
          <w:rFonts w:hint="eastAsia"/>
          <w:color w:val="auto"/>
          <w:highlight w:val="none"/>
        </w:rPr>
        <w:t>3</w:t>
      </w:r>
      <w:r>
        <w:rPr>
          <w:color w:val="auto"/>
          <w:highlight w:val="none"/>
        </w:rPr>
        <w:t>.2.4</w:t>
      </w:r>
      <w:r>
        <w:rPr>
          <w:rFonts w:hint="eastAsia"/>
          <w:color w:val="auto"/>
          <w:highlight w:val="none"/>
        </w:rPr>
        <w:t>本项目最高投标限价及要求详见投标人须知前附表。</w:t>
      </w:r>
    </w:p>
    <w:p w14:paraId="4A3BAE3C">
      <w:pPr>
        <w:spacing w:line="360" w:lineRule="exact"/>
        <w:ind w:firstLine="420" w:firstLineChars="200"/>
        <w:rPr>
          <w:color w:val="auto"/>
          <w:highlight w:val="none"/>
        </w:rPr>
      </w:pPr>
      <w:r>
        <w:rPr>
          <w:rFonts w:hint="eastAsia"/>
          <w:color w:val="auto"/>
          <w:highlight w:val="none"/>
        </w:rPr>
        <w:t>3.2.5投标报价的其他要求见投标人须知前附表。</w:t>
      </w:r>
    </w:p>
    <w:p w14:paraId="5AF4D2A1">
      <w:pPr>
        <w:pStyle w:val="25"/>
        <w:spacing w:line="360" w:lineRule="exact"/>
        <w:rPr>
          <w:color w:val="auto"/>
          <w:highlight w:val="none"/>
        </w:rPr>
      </w:pPr>
      <w:bookmarkStart w:id="147" w:name="_Toc179632567"/>
      <w:bookmarkStart w:id="148" w:name="_Toc144974517"/>
      <w:bookmarkStart w:id="149" w:name="_Toc256000026"/>
      <w:bookmarkStart w:id="150" w:name="_Toc166326862"/>
      <w:bookmarkStart w:id="151" w:name="_Toc152045549"/>
      <w:bookmarkStart w:id="152" w:name="_Toc152042325"/>
      <w:r>
        <w:rPr>
          <w:rFonts w:hint="eastAsia"/>
          <w:color w:val="auto"/>
          <w:highlight w:val="none"/>
        </w:rPr>
        <w:t>3.3 投标有效期</w:t>
      </w:r>
      <w:bookmarkEnd w:id="147"/>
      <w:bookmarkEnd w:id="148"/>
      <w:bookmarkEnd w:id="149"/>
      <w:bookmarkEnd w:id="150"/>
      <w:bookmarkEnd w:id="151"/>
      <w:bookmarkEnd w:id="152"/>
    </w:p>
    <w:p w14:paraId="6ADFBFD2">
      <w:pPr>
        <w:spacing w:line="360" w:lineRule="exact"/>
        <w:ind w:firstLine="420" w:firstLineChars="200"/>
        <w:rPr>
          <w:color w:val="auto"/>
          <w:highlight w:val="none"/>
        </w:rPr>
      </w:pPr>
      <w:r>
        <w:rPr>
          <w:rFonts w:hint="eastAsia"/>
          <w:color w:val="auto"/>
          <w:highlight w:val="none"/>
        </w:rPr>
        <w:t>3.3.1 在投标人须知前附表规定的投标有效期内，投标人不得要求撤销或修改其投标文件。</w:t>
      </w:r>
    </w:p>
    <w:p w14:paraId="38408982">
      <w:pPr>
        <w:spacing w:line="360" w:lineRule="exact"/>
        <w:ind w:firstLine="420" w:firstLineChars="20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5DEFB019">
      <w:pPr>
        <w:pStyle w:val="25"/>
        <w:spacing w:line="360" w:lineRule="exact"/>
        <w:rPr>
          <w:color w:val="auto"/>
          <w:highlight w:val="none"/>
        </w:rPr>
      </w:pPr>
      <w:bookmarkStart w:id="153" w:name="_Toc166326863"/>
      <w:bookmarkStart w:id="154" w:name="_Toc256000027"/>
      <w:bookmarkStart w:id="155" w:name="_Toc179632568"/>
      <w:bookmarkStart w:id="156" w:name="_Toc144974518"/>
      <w:bookmarkStart w:id="157" w:name="_Toc152042326"/>
      <w:bookmarkStart w:id="158" w:name="_Toc152045550"/>
      <w:r>
        <w:rPr>
          <w:rFonts w:hint="eastAsia"/>
          <w:color w:val="auto"/>
          <w:highlight w:val="none"/>
        </w:rPr>
        <w:t>3.4 投标保证金</w:t>
      </w:r>
      <w:bookmarkEnd w:id="153"/>
      <w:bookmarkEnd w:id="154"/>
      <w:bookmarkEnd w:id="155"/>
      <w:bookmarkEnd w:id="156"/>
      <w:bookmarkEnd w:id="157"/>
      <w:bookmarkEnd w:id="158"/>
    </w:p>
    <w:p w14:paraId="3C22C4C5">
      <w:pPr>
        <w:spacing w:line="360" w:lineRule="exact"/>
        <w:ind w:firstLine="420" w:firstLineChars="200"/>
        <w:rPr>
          <w:color w:val="auto"/>
          <w:highlight w:val="none"/>
        </w:rPr>
      </w:pPr>
      <w:r>
        <w:rPr>
          <w:rFonts w:hint="eastAsia"/>
          <w:color w:val="auto"/>
          <w:highlight w:val="none"/>
        </w:rPr>
        <w:t>3.4.1投标人须知前附表规定提交投标保证金的，投标人在递交投标文件的同时，应按投标人须知前附表规定的</w:t>
      </w:r>
      <w:r>
        <w:rPr>
          <w:color w:val="auto"/>
          <w:highlight w:val="none"/>
        </w:rPr>
        <w:t>形式</w:t>
      </w:r>
      <w:r>
        <w:rPr>
          <w:rFonts w:hint="eastAsia"/>
          <w:color w:val="auto"/>
          <w:highlight w:val="none"/>
        </w:rPr>
        <w:t>、</w:t>
      </w:r>
      <w:r>
        <w:rPr>
          <w:color w:val="auto"/>
          <w:highlight w:val="none"/>
        </w:rPr>
        <w:t>金额</w:t>
      </w:r>
      <w:r>
        <w:rPr>
          <w:rFonts w:hint="eastAsia"/>
          <w:color w:val="auto"/>
          <w:highlight w:val="none"/>
        </w:rPr>
        <w:t>、递交截止时间、递交方式提交投标保证金，并作为其投标文件的组成部分。联合体投标的，其投标保证金由牵头人递交，并应符合投标人须知前附表的规定。</w:t>
      </w:r>
    </w:p>
    <w:p w14:paraId="0524A6DB">
      <w:pPr>
        <w:spacing w:line="360" w:lineRule="exact"/>
        <w:ind w:firstLine="420" w:firstLineChars="200"/>
        <w:rPr>
          <w:color w:val="auto"/>
          <w:highlight w:val="none"/>
        </w:rPr>
      </w:pPr>
      <w:r>
        <w:rPr>
          <w:rFonts w:hint="eastAsia"/>
          <w:color w:val="auto"/>
          <w:highlight w:val="none"/>
        </w:rPr>
        <w:t>3.4.2 投标人不按本章第3.4.1项要求提交投标保证金的，</w:t>
      </w:r>
      <w:r>
        <w:rPr>
          <w:color w:val="auto"/>
          <w:highlight w:val="none"/>
        </w:rPr>
        <w:t>其投标</w:t>
      </w:r>
      <w:r>
        <w:rPr>
          <w:rFonts w:hint="eastAsia"/>
          <w:color w:val="auto"/>
          <w:highlight w:val="none"/>
        </w:rPr>
        <w:t>将被否决</w:t>
      </w:r>
      <w:r>
        <w:rPr>
          <w:color w:val="auto"/>
          <w:highlight w:val="none"/>
        </w:rPr>
        <w:t>。</w:t>
      </w:r>
    </w:p>
    <w:p w14:paraId="6AB5FC93">
      <w:pPr>
        <w:spacing w:line="360" w:lineRule="exact"/>
        <w:ind w:firstLine="420" w:firstLineChars="200"/>
        <w:rPr>
          <w:color w:val="auto"/>
          <w:highlight w:val="none"/>
        </w:rPr>
      </w:pPr>
      <w:r>
        <w:rPr>
          <w:rFonts w:hint="eastAsia"/>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7BD7CBBF">
      <w:pPr>
        <w:spacing w:line="360" w:lineRule="exact"/>
        <w:ind w:firstLine="420" w:firstLineChars="200"/>
        <w:rPr>
          <w:color w:val="auto"/>
          <w:highlight w:val="none"/>
        </w:rPr>
      </w:pPr>
      <w:r>
        <w:rPr>
          <w:rFonts w:hint="eastAsia"/>
          <w:color w:val="auto"/>
          <w:highlight w:val="none"/>
        </w:rPr>
        <w:t xml:space="preserve">3.4.4 有下列情形之一的，投标保证金将不予退还： </w:t>
      </w:r>
    </w:p>
    <w:p w14:paraId="244FB90E">
      <w:pPr>
        <w:spacing w:line="360" w:lineRule="exact"/>
        <w:ind w:firstLine="718" w:firstLineChars="342"/>
        <w:rPr>
          <w:color w:val="auto"/>
          <w:highlight w:val="none"/>
        </w:rPr>
      </w:pPr>
      <w:r>
        <w:rPr>
          <w:rFonts w:hint="eastAsia"/>
          <w:color w:val="auto"/>
          <w:highlight w:val="none"/>
        </w:rPr>
        <w:t>（1）投标人在规定的投标有效期内撤销或修改其投标文件；</w:t>
      </w:r>
    </w:p>
    <w:p w14:paraId="7F0E8CCC">
      <w:pPr>
        <w:spacing w:line="360" w:lineRule="exact"/>
        <w:ind w:firstLine="718" w:firstLineChars="342"/>
        <w:rPr>
          <w:color w:val="auto"/>
          <w:highlight w:val="none"/>
        </w:rPr>
      </w:pPr>
      <w:r>
        <w:rPr>
          <w:rFonts w:hint="eastAsia"/>
          <w:color w:val="auto"/>
          <w:highlight w:val="none"/>
        </w:rPr>
        <w:t>（2）中标人在收到中标通知书后，无正当理由拒签合同、在签订合同时向招标人提出附加条件或未按招标文件规定提交履约保证金。</w:t>
      </w:r>
    </w:p>
    <w:p w14:paraId="7EE33076">
      <w:pPr>
        <w:pStyle w:val="25"/>
        <w:spacing w:line="360" w:lineRule="exact"/>
        <w:ind w:firstLine="118"/>
        <w:rPr>
          <w:rFonts w:cs="Times New Roman"/>
          <w:color w:val="auto"/>
          <w:highlight w:val="none"/>
        </w:rPr>
      </w:pPr>
      <w:bookmarkStart w:id="159" w:name="_Toc166326864"/>
      <w:bookmarkStart w:id="160" w:name="_Toc247527576"/>
      <w:bookmarkStart w:id="161" w:name="_Toc144974519"/>
      <w:bookmarkStart w:id="162" w:name="_Toc247513975"/>
      <w:bookmarkStart w:id="163" w:name="_Toc162104038"/>
      <w:bookmarkStart w:id="164" w:name="_Toc152045551"/>
      <w:bookmarkStart w:id="165" w:name="_Toc152042327"/>
      <w:bookmarkStart w:id="166" w:name="_Toc256000028"/>
      <w:bookmarkStart w:id="167" w:name="_Toc145081434"/>
      <w:r>
        <w:rPr>
          <w:rFonts w:cs="Times New Roman"/>
          <w:color w:val="auto"/>
          <w:highlight w:val="none"/>
        </w:rPr>
        <w:t>3.5 资格审查资料（适用于已进行资格预审的）</w:t>
      </w:r>
      <w:bookmarkEnd w:id="159"/>
      <w:bookmarkEnd w:id="160"/>
      <w:bookmarkEnd w:id="161"/>
      <w:bookmarkEnd w:id="162"/>
      <w:bookmarkEnd w:id="163"/>
      <w:bookmarkEnd w:id="164"/>
      <w:bookmarkEnd w:id="165"/>
      <w:bookmarkEnd w:id="166"/>
      <w:bookmarkEnd w:id="167"/>
    </w:p>
    <w:p w14:paraId="1E8815CC">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13553900">
      <w:pPr>
        <w:pStyle w:val="25"/>
        <w:spacing w:line="360" w:lineRule="exact"/>
        <w:rPr>
          <w:color w:val="auto"/>
          <w:highlight w:val="none"/>
        </w:rPr>
      </w:pPr>
      <w:bookmarkStart w:id="168" w:name="_Toc152042328"/>
      <w:bookmarkStart w:id="169" w:name="_Toc179632570"/>
      <w:bookmarkStart w:id="170" w:name="_Toc152045552"/>
      <w:bookmarkStart w:id="171" w:name="_Toc144974520"/>
      <w:bookmarkStart w:id="172" w:name="_Toc256000029"/>
      <w:bookmarkStart w:id="173" w:name="_Toc166326865"/>
      <w:r>
        <w:rPr>
          <w:rFonts w:hint="eastAsia"/>
          <w:color w:val="auto"/>
          <w:highlight w:val="none"/>
        </w:rPr>
        <w:t>3.5 资格审查资料</w:t>
      </w:r>
      <w:bookmarkEnd w:id="168"/>
      <w:bookmarkEnd w:id="169"/>
      <w:bookmarkEnd w:id="170"/>
      <w:bookmarkEnd w:id="171"/>
      <w:r>
        <w:rPr>
          <w:rFonts w:cs="Times New Roman"/>
          <w:color w:val="auto"/>
          <w:highlight w:val="none"/>
        </w:rPr>
        <w:t>（适用于未进行资格预审的）</w:t>
      </w:r>
      <w:bookmarkEnd w:id="172"/>
      <w:bookmarkEnd w:id="173"/>
    </w:p>
    <w:p w14:paraId="2D55C3E2">
      <w:pPr>
        <w:spacing w:line="360" w:lineRule="exact"/>
        <w:ind w:firstLine="420" w:firstLineChars="200"/>
        <w:rPr>
          <w:color w:val="auto"/>
          <w:highlight w:val="none"/>
        </w:rPr>
      </w:pPr>
      <w:r>
        <w:rPr>
          <w:rFonts w:hint="eastAsia"/>
          <w:color w:val="auto"/>
          <w:highlight w:val="none"/>
        </w:rPr>
        <w:t>3.5.1“投标人基本情况表”应附投标人营业执照、资质证书和安全生产许可证等材料，具体要求见投标人须知前附表。</w:t>
      </w:r>
    </w:p>
    <w:p w14:paraId="2E61DEC2">
      <w:pPr>
        <w:spacing w:line="360" w:lineRule="exact"/>
        <w:ind w:firstLine="420" w:firstLineChars="200"/>
        <w:rPr>
          <w:color w:val="auto"/>
          <w:highlight w:val="none"/>
        </w:rPr>
      </w:pPr>
      <w:r>
        <w:rPr>
          <w:rFonts w:hint="eastAsia"/>
          <w:color w:val="auto"/>
          <w:highlight w:val="none"/>
        </w:rPr>
        <w:t>3.5.2 “近年财务状况表”应附经会计师事务所或审计机构审计的财务会计报表，具体年份要求见投标人须知前附表。</w:t>
      </w:r>
    </w:p>
    <w:p w14:paraId="4BF437D4">
      <w:pPr>
        <w:spacing w:line="360" w:lineRule="exact"/>
        <w:ind w:firstLine="420" w:firstLineChars="200"/>
        <w:rPr>
          <w:color w:val="auto"/>
          <w:highlight w:val="none"/>
        </w:rPr>
      </w:pPr>
      <w:r>
        <w:rPr>
          <w:rFonts w:hint="eastAsia"/>
          <w:color w:val="auto"/>
          <w:highlight w:val="none"/>
        </w:rPr>
        <w:t>3.5.3 “近年完成的类似项目情况表”应附中标通知书、合同、竣工验收等材料，具体年份要求见投标人须知前附表。每张表格只填写一个项目，并标明序号。</w:t>
      </w:r>
    </w:p>
    <w:p w14:paraId="334E1D73">
      <w:pPr>
        <w:spacing w:line="360" w:lineRule="exact"/>
        <w:ind w:firstLine="420" w:firstLineChars="200"/>
        <w:rPr>
          <w:color w:val="auto"/>
          <w:highlight w:val="none"/>
        </w:rPr>
      </w:pPr>
      <w:r>
        <w:rPr>
          <w:rFonts w:hint="eastAsia"/>
          <w:color w:val="auto"/>
          <w:highlight w:val="none"/>
        </w:rPr>
        <w:t>3.5.4 “正在施工和新承接的项目情况表”应附中标通知书、合同协议书等材料。每张表格只填写一个项目，并标明序号。</w:t>
      </w:r>
    </w:p>
    <w:p w14:paraId="4B23BF2F">
      <w:pPr>
        <w:spacing w:line="360" w:lineRule="exact"/>
        <w:ind w:firstLine="420" w:firstLineChars="200"/>
        <w:rPr>
          <w:color w:val="auto"/>
          <w:highlight w:val="none"/>
        </w:rPr>
      </w:pPr>
      <w:r>
        <w:rPr>
          <w:rFonts w:hint="eastAsia"/>
          <w:color w:val="auto"/>
          <w:highlight w:val="none"/>
        </w:rPr>
        <w:t>3.5.5 “近年发生的诉讼及仲裁情况”应说明相关情况，并附法院或仲裁机构作出的判决、裁决等有关法律文书，具体年份要求见投标人须知前附表。</w:t>
      </w:r>
    </w:p>
    <w:p w14:paraId="10578C3E">
      <w:pPr>
        <w:spacing w:line="360" w:lineRule="exact"/>
        <w:ind w:firstLine="420" w:firstLineChars="200"/>
        <w:rPr>
          <w:color w:val="auto"/>
          <w:highlight w:val="none"/>
        </w:rPr>
      </w:pPr>
      <w:r>
        <w:rPr>
          <w:rFonts w:hint="eastAsia"/>
          <w:color w:val="auto"/>
          <w:highlight w:val="none"/>
        </w:rPr>
        <w:t>3.5.</w:t>
      </w:r>
      <w:r>
        <w:rPr>
          <w:color w:val="auto"/>
          <w:highlight w:val="none"/>
        </w:rPr>
        <w:t>6</w:t>
      </w:r>
      <w:r>
        <w:rPr>
          <w:rFonts w:hint="eastAsia"/>
          <w:color w:val="auto"/>
          <w:highlight w:val="none"/>
        </w:rPr>
        <w:t>投标人须知前附表第1.4.2项规定接受联合体投标的，本章第3.5.1项规定的表格和资料应包括联合体各方相关情况。</w:t>
      </w:r>
    </w:p>
    <w:p w14:paraId="4E917693">
      <w:pPr>
        <w:spacing w:line="360" w:lineRule="exact"/>
        <w:ind w:firstLine="420" w:firstLineChars="200"/>
        <w:rPr>
          <w:color w:val="auto"/>
          <w:highlight w:val="none"/>
        </w:rPr>
      </w:pPr>
      <w:r>
        <w:rPr>
          <w:color w:val="auto"/>
          <w:highlight w:val="none"/>
        </w:rPr>
        <w:t>3.5.7</w:t>
      </w:r>
      <w:r>
        <w:rPr>
          <w:rFonts w:hint="eastAsia"/>
          <w:color w:val="auto"/>
          <w:highlight w:val="none"/>
        </w:rPr>
        <w:t>投标人应按招标文件第八章“投标文件格式”中规定的表格内容填写资格审查表，并按各资格审查表的具体要求提供相关证件及证明材料。</w:t>
      </w:r>
    </w:p>
    <w:p w14:paraId="58F97450">
      <w:pPr>
        <w:spacing w:line="360" w:lineRule="exact"/>
        <w:ind w:firstLine="420" w:firstLineChars="200"/>
        <w:rPr>
          <w:color w:val="auto"/>
          <w:highlight w:val="none"/>
        </w:rPr>
      </w:pPr>
      <w:r>
        <w:rPr>
          <w:color w:val="auto"/>
          <w:highlight w:val="none"/>
        </w:rPr>
        <w:t>3.5.8</w:t>
      </w:r>
      <w:r>
        <w:rPr>
          <w:rFonts w:hint="eastAsia"/>
          <w:color w:val="auto"/>
          <w:highlight w:val="none"/>
        </w:rPr>
        <w:t>本招标文件中“类似项目”的定义见投标人须知前附表第1</w:t>
      </w:r>
      <w:r>
        <w:rPr>
          <w:color w:val="auto"/>
          <w:highlight w:val="none"/>
        </w:rPr>
        <w:t>0.1.1</w:t>
      </w:r>
      <w:r>
        <w:rPr>
          <w:rFonts w:hint="eastAsia"/>
          <w:color w:val="auto"/>
          <w:highlight w:val="none"/>
        </w:rPr>
        <w:t>条目规定。</w:t>
      </w:r>
    </w:p>
    <w:p w14:paraId="29703BAA">
      <w:pPr>
        <w:spacing w:line="360" w:lineRule="exact"/>
        <w:ind w:firstLine="420" w:firstLineChars="200"/>
        <w:rPr>
          <w:color w:val="auto"/>
          <w:highlight w:val="none"/>
        </w:rPr>
      </w:pPr>
      <w:r>
        <w:rPr>
          <w:rFonts w:hint="eastAsia"/>
          <w:color w:val="auto"/>
          <w:highlight w:val="none"/>
        </w:rPr>
        <w:t>3</w:t>
      </w:r>
      <w:r>
        <w:rPr>
          <w:color w:val="auto"/>
          <w:highlight w:val="none"/>
        </w:rPr>
        <w:t>.5.9</w:t>
      </w:r>
      <w:r>
        <w:rPr>
          <w:rFonts w:hint="eastAsia"/>
          <w:color w:val="auto"/>
          <w:highlight w:val="none"/>
        </w:rPr>
        <w:t>项目经理的已完成的类似项目的业绩，具体年份要求见投标人须知前附表。</w:t>
      </w:r>
    </w:p>
    <w:p w14:paraId="5AC00618">
      <w:pPr>
        <w:pStyle w:val="25"/>
        <w:spacing w:line="360" w:lineRule="exact"/>
        <w:rPr>
          <w:color w:val="auto"/>
          <w:highlight w:val="none"/>
        </w:rPr>
      </w:pPr>
      <w:bookmarkStart w:id="174" w:name="_Toc152045553"/>
      <w:bookmarkStart w:id="175" w:name="_Toc166326866"/>
      <w:bookmarkStart w:id="176" w:name="_Toc256000030"/>
      <w:bookmarkStart w:id="177" w:name="_Toc144974521"/>
      <w:bookmarkStart w:id="178" w:name="_Toc179632571"/>
      <w:bookmarkStart w:id="179" w:name="_Toc152042329"/>
      <w:r>
        <w:rPr>
          <w:rFonts w:hint="eastAsia"/>
          <w:color w:val="auto"/>
          <w:highlight w:val="none"/>
        </w:rPr>
        <w:t>3.6 备选投标方案</w:t>
      </w:r>
      <w:bookmarkEnd w:id="174"/>
      <w:bookmarkEnd w:id="175"/>
      <w:bookmarkEnd w:id="176"/>
      <w:bookmarkEnd w:id="177"/>
      <w:bookmarkEnd w:id="178"/>
      <w:bookmarkEnd w:id="179"/>
    </w:p>
    <w:p w14:paraId="02E6BCAF">
      <w:pPr>
        <w:spacing w:line="36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6A29CE9">
      <w:pPr>
        <w:pStyle w:val="25"/>
        <w:spacing w:line="360" w:lineRule="exact"/>
        <w:rPr>
          <w:color w:val="auto"/>
          <w:highlight w:val="none"/>
        </w:rPr>
      </w:pPr>
      <w:bookmarkStart w:id="180" w:name="_Toc166326867"/>
      <w:bookmarkStart w:id="181" w:name="_Toc179632572"/>
      <w:bookmarkStart w:id="182" w:name="_Toc144974522"/>
      <w:bookmarkStart w:id="183" w:name="_Toc256000031"/>
      <w:bookmarkStart w:id="184" w:name="_Toc152042330"/>
      <w:bookmarkStart w:id="185" w:name="_Toc152045554"/>
      <w:r>
        <w:rPr>
          <w:rFonts w:hint="eastAsia"/>
          <w:color w:val="auto"/>
          <w:highlight w:val="none"/>
        </w:rPr>
        <w:t>3.7 投标文件的编制</w:t>
      </w:r>
      <w:bookmarkEnd w:id="180"/>
      <w:bookmarkEnd w:id="181"/>
      <w:bookmarkEnd w:id="182"/>
      <w:bookmarkEnd w:id="183"/>
      <w:bookmarkEnd w:id="184"/>
      <w:bookmarkEnd w:id="185"/>
    </w:p>
    <w:p w14:paraId="4DC8D6B5">
      <w:pPr>
        <w:spacing w:line="360" w:lineRule="exact"/>
        <w:ind w:firstLine="420" w:firstLineChars="20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1E523AD6">
      <w:pPr>
        <w:spacing w:line="36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工期、投标有效期、质量要求、技术标准和要求、招标范围等实质性内容作出响应。</w:t>
      </w:r>
    </w:p>
    <w:p w14:paraId="0AB3CBA7">
      <w:pPr>
        <w:spacing w:line="360" w:lineRule="exact"/>
        <w:ind w:firstLine="420" w:firstLineChars="200"/>
        <w:rPr>
          <w:color w:val="auto"/>
          <w:highlight w:val="none"/>
        </w:rPr>
      </w:pPr>
      <w:r>
        <w:rPr>
          <w:rFonts w:hint="eastAsia"/>
          <w:color w:val="auto"/>
          <w:highlight w:val="none"/>
        </w:rPr>
        <w:t xml:space="preserve">3.7.3 </w:t>
      </w:r>
      <w:r>
        <w:rPr>
          <w:color w:val="auto"/>
          <w:highlight w:val="none"/>
        </w:rPr>
        <w:t>投标文件制作</w:t>
      </w:r>
    </w:p>
    <w:p w14:paraId="1803B386">
      <w:pPr>
        <w:spacing w:line="360" w:lineRule="exact"/>
        <w:ind w:firstLine="420" w:firstLineChars="200"/>
        <w:rPr>
          <w:color w:val="auto"/>
          <w:highlight w:val="none"/>
        </w:rPr>
      </w:pPr>
      <w:bookmarkStart w:id="186" w:name="_Hlk166763903"/>
      <w:r>
        <w:rPr>
          <w:rFonts w:hint="eastAsia"/>
          <w:color w:val="auto"/>
          <w:highlight w:val="none"/>
        </w:rPr>
        <w:t>（1）</w:t>
      </w:r>
      <w:r>
        <w:rPr>
          <w:color w:val="auto"/>
          <w:highlight w:val="none"/>
        </w:rPr>
        <w:t>投标文件</w:t>
      </w:r>
      <w:r>
        <w:rPr>
          <w:rFonts w:hint="eastAsia"/>
          <w:color w:val="auto"/>
          <w:highlight w:val="none"/>
        </w:rPr>
        <w:t>由</w:t>
      </w:r>
      <w:r>
        <w:rPr>
          <w:color w:val="auto"/>
          <w:highlight w:val="none"/>
        </w:rPr>
        <w:t>投标人</w:t>
      </w:r>
      <w:r>
        <w:rPr>
          <w:rFonts w:hint="eastAsia"/>
          <w:color w:val="auto"/>
          <w:highlight w:val="none"/>
        </w:rPr>
        <w:t>使用符合标准的数字化</w:t>
      </w:r>
      <w:r>
        <w:rPr>
          <w:color w:val="auto"/>
          <w:highlight w:val="none"/>
        </w:rPr>
        <w:t>投标文件制作软件制作生成。</w:t>
      </w:r>
    </w:p>
    <w:p w14:paraId="484BDFC7">
      <w:pPr>
        <w:spacing w:line="360" w:lineRule="exact"/>
        <w:ind w:firstLine="420" w:firstLineChars="200"/>
        <w:rPr>
          <w:color w:val="auto"/>
          <w:highlight w:val="none"/>
        </w:rPr>
      </w:pPr>
      <w:r>
        <w:rPr>
          <w:rFonts w:hint="eastAsia"/>
          <w:color w:val="auto"/>
          <w:highlight w:val="none"/>
        </w:rPr>
        <w:t>（2）</w:t>
      </w:r>
      <w:r>
        <w:rPr>
          <w:color w:val="auto"/>
          <w:highlight w:val="none"/>
        </w:rPr>
        <w:t>投标人在编制投标文件时应当建立分级目录，并按照提示</w:t>
      </w:r>
      <w:r>
        <w:rPr>
          <w:rFonts w:hint="eastAsia"/>
          <w:color w:val="auto"/>
          <w:highlight w:val="none"/>
        </w:rPr>
        <w:t>录入或填写</w:t>
      </w:r>
      <w:r>
        <w:rPr>
          <w:color w:val="auto"/>
          <w:highlight w:val="none"/>
        </w:rPr>
        <w:t>相关内容。</w:t>
      </w:r>
    </w:p>
    <w:p w14:paraId="372944FF">
      <w:pPr>
        <w:spacing w:line="360" w:lineRule="exact"/>
        <w:ind w:firstLine="420" w:firstLineChars="200"/>
        <w:rPr>
          <w:color w:val="auto"/>
          <w:highlight w:val="none"/>
        </w:rPr>
      </w:pPr>
      <w:r>
        <w:rPr>
          <w:rFonts w:hint="eastAsia"/>
          <w:color w:val="auto"/>
          <w:highlight w:val="none"/>
        </w:rPr>
        <w:t>（3）投标人应当从企业主体信息库（2024年新版本</w:t>
      </w:r>
      <w:r>
        <w:rPr>
          <w:color w:val="auto"/>
          <w:highlight w:val="none"/>
        </w:rPr>
        <w:t>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7CD856ED">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721A7A60">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6AED118A">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bookmarkEnd w:id="186"/>
    <w:p w14:paraId="41EA4671">
      <w:pPr>
        <w:spacing w:line="360" w:lineRule="exact"/>
        <w:ind w:firstLine="420" w:firstLineChars="200"/>
        <w:rPr>
          <w:color w:val="auto"/>
          <w:highlight w:val="none"/>
        </w:rPr>
      </w:pPr>
      <w:r>
        <w:rPr>
          <w:rFonts w:hint="eastAsia"/>
          <w:color w:val="auto"/>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color w:val="auto"/>
          <w:highlight w:val="none"/>
        </w:rPr>
        <w:t>联合体投标的，投标文件由联合体牵头人按上述规定在</w:t>
      </w:r>
      <w:r>
        <w:rPr>
          <w:rFonts w:ascii="宋体" w:hAnsi="宋体"/>
          <w:color w:val="auto"/>
          <w:highlight w:val="none"/>
        </w:rPr>
        <w:t>要求</w:t>
      </w:r>
      <w:r>
        <w:rPr>
          <w:rFonts w:hint="eastAsia"/>
          <w:color w:val="auto"/>
          <w:highlight w:val="none"/>
        </w:rPr>
        <w:t>“盖单位章”的地方</w:t>
      </w:r>
      <w:r>
        <w:rPr>
          <w:rFonts w:hint="eastAsia" w:ascii="宋体" w:hAnsi="宋体"/>
          <w:color w:val="auto"/>
          <w:highlight w:val="none"/>
        </w:rPr>
        <w:t>加盖联合体牵头人单位电子印章；在</w:t>
      </w:r>
      <w:r>
        <w:rPr>
          <w:rFonts w:hint="eastAsia"/>
          <w:color w:val="auto"/>
          <w:highlight w:val="none"/>
        </w:rPr>
        <w:t>要求“签章”的地方加盖</w:t>
      </w:r>
      <w:r>
        <w:rPr>
          <w:rFonts w:hint="eastAsia" w:ascii="宋体" w:hAnsi="宋体"/>
          <w:color w:val="auto"/>
          <w:highlight w:val="none"/>
        </w:rPr>
        <w:t>联合体牵头人法定代表人</w:t>
      </w:r>
      <w:r>
        <w:rPr>
          <w:rFonts w:hint="eastAsia"/>
          <w:color w:val="auto"/>
          <w:highlight w:val="none"/>
        </w:rPr>
        <w:t>（授权委托人）</w:t>
      </w:r>
      <w:r>
        <w:rPr>
          <w:rFonts w:hint="eastAsia" w:ascii="宋体" w:hAnsi="宋体"/>
          <w:color w:val="auto"/>
          <w:highlight w:val="none"/>
        </w:rPr>
        <w:t>的个人电子印章或电子签名。</w:t>
      </w:r>
      <w:r>
        <w:rPr>
          <w:rFonts w:hint="eastAsia"/>
          <w:color w:val="auto"/>
          <w:highlight w:val="none"/>
        </w:rPr>
        <w:t>招标文件有特别说明的除外。</w:t>
      </w:r>
    </w:p>
    <w:p w14:paraId="15D35FFB">
      <w:pPr>
        <w:spacing w:line="360" w:lineRule="exact"/>
        <w:ind w:firstLine="420" w:firstLineChars="200"/>
        <w:rPr>
          <w:color w:val="auto"/>
          <w:szCs w:val="21"/>
          <w:highlight w:val="none"/>
        </w:rPr>
      </w:pPr>
      <w:r>
        <w:rPr>
          <w:rFonts w:hint="eastAsia"/>
          <w:color w:val="auto"/>
          <w:highlight w:val="none"/>
        </w:rPr>
        <w:t>（5）</w:t>
      </w:r>
      <w:r>
        <w:rPr>
          <w:color w:val="auto"/>
          <w:highlight w:val="none"/>
        </w:rPr>
        <w:t>投标文件中</w:t>
      </w:r>
      <w:r>
        <w:rPr>
          <w:rFonts w:hint="eastAsia"/>
          <w:color w:val="auto"/>
          <w:highlight w:val="none"/>
        </w:rPr>
        <w:t>的已标价工程量清单数据文件</w:t>
      </w:r>
      <w:r>
        <w:rPr>
          <w:rFonts w:hint="eastAsia"/>
          <w:color w:val="auto"/>
          <w:szCs w:val="21"/>
          <w:highlight w:val="none"/>
        </w:rPr>
        <w:t>应符合辽宁省建设工程造价数据规范的要求，多个专业分别编制时，应汇总合并为一个文件</w:t>
      </w:r>
      <w:r>
        <w:rPr>
          <w:color w:val="auto"/>
          <w:highlight w:val="none"/>
        </w:rPr>
        <w:t>导入</w:t>
      </w:r>
      <w:r>
        <w:rPr>
          <w:rFonts w:hint="eastAsia"/>
          <w:color w:val="auto"/>
          <w:szCs w:val="21"/>
          <w:highlight w:val="none"/>
        </w:rPr>
        <w:t>。</w:t>
      </w:r>
    </w:p>
    <w:p w14:paraId="2DFDD3ED">
      <w:pPr>
        <w:spacing w:line="360" w:lineRule="exact"/>
        <w:ind w:firstLine="420" w:firstLineChars="200"/>
        <w:rPr>
          <w:color w:val="auto"/>
          <w:highlight w:val="none"/>
        </w:rPr>
      </w:pPr>
      <w:r>
        <w:rPr>
          <w:rFonts w:hint="eastAsia"/>
          <w:color w:val="auto"/>
          <w:highlight w:val="none"/>
        </w:rPr>
        <w:t>（6）</w:t>
      </w:r>
      <w:r>
        <w:rPr>
          <w:color w:val="auto"/>
          <w:highlight w:val="none"/>
        </w:rPr>
        <w:t>投标文件</w:t>
      </w:r>
      <w:r>
        <w:rPr>
          <w:rFonts w:hint="eastAsia"/>
          <w:color w:val="auto"/>
          <w:highlight w:val="none"/>
        </w:rPr>
        <w:t>制作完成后</w:t>
      </w:r>
      <w:r>
        <w:rPr>
          <w:color w:val="auto"/>
          <w:highlight w:val="none"/>
        </w:rPr>
        <w:t>，</w:t>
      </w:r>
      <w:r>
        <w:rPr>
          <w:rFonts w:hint="eastAsia"/>
          <w:color w:val="auto"/>
          <w:highlight w:val="none"/>
        </w:rPr>
        <w:t>将生成一份加密的电子投标文件。</w:t>
      </w:r>
      <w:bookmarkStart w:id="187" w:name="_Hlk164708979"/>
      <w:r>
        <w:rPr>
          <w:rFonts w:hint="eastAsia"/>
          <w:color w:val="auto"/>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187"/>
    </w:p>
    <w:p w14:paraId="037FD3B8">
      <w:pPr>
        <w:spacing w:line="360" w:lineRule="exact"/>
        <w:ind w:firstLine="420" w:firstLineChars="200"/>
        <w:rPr>
          <w:color w:val="auto"/>
          <w:highlight w:val="none"/>
        </w:rPr>
      </w:pPr>
      <w:r>
        <w:rPr>
          <w:rFonts w:hint="eastAsia"/>
          <w:color w:val="auto"/>
          <w:highlight w:val="none"/>
        </w:rPr>
        <w:t>（7）</w:t>
      </w:r>
      <w:r>
        <w:rPr>
          <w:color w:val="auto"/>
          <w:highlight w:val="none"/>
        </w:rPr>
        <w:t>投标文件制作</w:t>
      </w:r>
      <w:r>
        <w:rPr>
          <w:rFonts w:hint="eastAsia"/>
          <w:color w:val="auto"/>
          <w:highlight w:val="none"/>
        </w:rPr>
        <w:t>的具体方法详见“数字化投标文件制作软件”中的操作说明。</w:t>
      </w:r>
    </w:p>
    <w:p w14:paraId="3981D6E6">
      <w:pPr>
        <w:spacing w:line="360" w:lineRule="exact"/>
        <w:ind w:firstLine="420" w:firstLineChars="200"/>
        <w:rPr>
          <w:color w:val="auto"/>
          <w:szCs w:val="21"/>
          <w:highlight w:val="none"/>
        </w:rPr>
      </w:pPr>
      <w:r>
        <w:rPr>
          <w:rFonts w:hint="eastAsia"/>
          <w:color w:val="auto"/>
          <w:highlight w:val="none"/>
        </w:rPr>
        <w:t>3.7.4</w:t>
      </w:r>
      <w:r>
        <w:rPr>
          <w:rFonts w:hint="eastAsia"/>
          <w:color w:val="auto"/>
          <w:szCs w:val="21"/>
          <w:highlight w:val="none"/>
        </w:rPr>
        <w:t xml:space="preserve"> 投标人须知前附表规定“施工组织设计”（技术标）采用“模块化暗标”，“施工组织设计”应按本章第3.7.3项制作</w:t>
      </w:r>
      <w:r>
        <w:rPr>
          <w:color w:val="auto"/>
          <w:highlight w:val="none"/>
        </w:rPr>
        <w:t>投标文件</w:t>
      </w:r>
      <w:r>
        <w:rPr>
          <w:rFonts w:hint="eastAsia"/>
          <w:color w:val="auto"/>
          <w:szCs w:val="21"/>
          <w:highlight w:val="none"/>
        </w:rPr>
        <w:t>并应满足下列要求：</w:t>
      </w:r>
    </w:p>
    <w:p w14:paraId="46E9978F">
      <w:pPr>
        <w:tabs>
          <w:tab w:val="left" w:pos="7980"/>
        </w:tabs>
        <w:spacing w:line="360" w:lineRule="exact"/>
        <w:ind w:firstLine="420" w:firstLineChars="200"/>
        <w:rPr>
          <w:color w:val="auto"/>
          <w:szCs w:val="21"/>
          <w:highlight w:val="none"/>
        </w:rPr>
      </w:pPr>
      <w:r>
        <w:rPr>
          <w:rFonts w:hint="eastAsia"/>
          <w:color w:val="auto"/>
          <w:szCs w:val="21"/>
          <w:highlight w:val="none"/>
        </w:rPr>
        <w:t>（1）</w:t>
      </w:r>
      <w:r>
        <w:rPr>
          <w:color w:val="auto"/>
          <w:szCs w:val="21"/>
          <w:highlight w:val="none"/>
        </w:rPr>
        <w:t>采用A4规格纸张，纸张方向为纵向，段落采用单倍行距</w:t>
      </w:r>
      <w:r>
        <w:rPr>
          <w:rFonts w:hint="eastAsia"/>
          <w:color w:val="auto"/>
          <w:szCs w:val="21"/>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2CD34682">
      <w:pPr>
        <w:spacing w:line="360" w:lineRule="exact"/>
        <w:ind w:firstLine="420" w:firstLineChars="200"/>
        <w:rPr>
          <w:color w:val="auto"/>
          <w:szCs w:val="21"/>
          <w:highlight w:val="none"/>
        </w:rPr>
      </w:pPr>
      <w:r>
        <w:rPr>
          <w:rFonts w:hint="eastAsia"/>
          <w:color w:val="auto"/>
          <w:szCs w:val="21"/>
          <w:highlight w:val="none"/>
        </w:rPr>
        <w:t>（2）</w:t>
      </w:r>
      <w:r>
        <w:rPr>
          <w:rFonts w:hint="eastAsia" w:ascii="宋体" w:hAnsi="宋体"/>
          <w:color w:val="auto"/>
          <w:szCs w:val="21"/>
          <w:highlight w:val="none"/>
        </w:rPr>
        <w:t>标题（包括章、节、条、款、项）、正文要求：</w:t>
      </w:r>
      <w:r>
        <w:rPr>
          <w:rFonts w:hint="eastAsia"/>
          <w:color w:val="auto"/>
          <w:szCs w:val="21"/>
          <w:highlight w:val="none"/>
        </w:rPr>
        <w:t>采用A4规格</w:t>
      </w:r>
      <w:r>
        <w:rPr>
          <w:color w:val="auto"/>
          <w:szCs w:val="21"/>
          <w:highlight w:val="none"/>
        </w:rPr>
        <w:t>纸张</w:t>
      </w:r>
      <w:r>
        <w:rPr>
          <w:rFonts w:hint="eastAsia"/>
          <w:color w:val="auto"/>
          <w:szCs w:val="21"/>
          <w:highlight w:val="none"/>
        </w:rPr>
        <w:t>，文字为黑色小四号宋体，标题可加粗。</w:t>
      </w:r>
    </w:p>
    <w:p w14:paraId="58B00BA2">
      <w:pPr>
        <w:spacing w:line="360" w:lineRule="exact"/>
        <w:ind w:firstLine="420" w:firstLineChars="200"/>
        <w:rPr>
          <w:color w:val="auto"/>
          <w:szCs w:val="21"/>
          <w:highlight w:val="none"/>
        </w:rPr>
      </w:pPr>
      <w:r>
        <w:rPr>
          <w:rFonts w:hint="eastAsia"/>
          <w:color w:val="auto"/>
          <w:szCs w:val="21"/>
          <w:highlight w:val="none"/>
        </w:rPr>
        <w:t>（3）图表要求：</w:t>
      </w:r>
      <w:r>
        <w:rPr>
          <w:rFonts w:hint="eastAsia" w:ascii="宋体" w:hAnsi="宋体"/>
          <w:color w:val="auto"/>
          <w:szCs w:val="21"/>
          <w:highlight w:val="none"/>
        </w:rPr>
        <w:t>图表应尽可能采用</w:t>
      </w:r>
      <w:r>
        <w:rPr>
          <w:rFonts w:hint="eastAsia"/>
          <w:color w:val="auto"/>
          <w:szCs w:val="21"/>
          <w:highlight w:val="none"/>
        </w:rPr>
        <w:t>A4规格白色底色，</w:t>
      </w:r>
      <w:r>
        <w:rPr>
          <w:rFonts w:hint="eastAsia" w:ascii="宋体" w:hAnsi="宋体"/>
          <w:color w:val="auto"/>
          <w:szCs w:val="21"/>
          <w:highlight w:val="none"/>
        </w:rPr>
        <w:t>对于比较大的图表可使用A3</w:t>
      </w:r>
      <w:r>
        <w:rPr>
          <w:rFonts w:hint="eastAsia"/>
          <w:color w:val="auto"/>
          <w:szCs w:val="21"/>
          <w:highlight w:val="none"/>
        </w:rPr>
        <w:t>规格白色底色。</w:t>
      </w:r>
      <w:bookmarkStart w:id="188" w:name="_Hlk154494018"/>
      <w:r>
        <w:rPr>
          <w:rFonts w:hint="eastAsia" w:ascii="宋体" w:hAnsi="宋体"/>
          <w:color w:val="auto"/>
          <w:szCs w:val="21"/>
          <w:highlight w:val="none"/>
        </w:rPr>
        <w:t>图表中的文字采用</w:t>
      </w:r>
      <w:r>
        <w:rPr>
          <w:rFonts w:hint="eastAsia"/>
          <w:color w:val="auto"/>
          <w:szCs w:val="21"/>
          <w:highlight w:val="none"/>
        </w:rPr>
        <w:t>黑色</w:t>
      </w:r>
      <w:r>
        <w:rPr>
          <w:rFonts w:hint="eastAsia" w:ascii="宋体" w:hAnsi="宋体"/>
          <w:color w:val="auto"/>
          <w:szCs w:val="21"/>
          <w:highlight w:val="none"/>
        </w:rPr>
        <w:t>，字体、字号不限（不包括纯表格，</w:t>
      </w:r>
      <w:r>
        <w:rPr>
          <w:rFonts w:hint="eastAsia"/>
          <w:color w:val="auto"/>
          <w:szCs w:val="21"/>
          <w:highlight w:val="none"/>
        </w:rPr>
        <w:t>纯表格中文字要求同正文要求</w:t>
      </w:r>
      <w:r>
        <w:rPr>
          <w:rFonts w:hint="eastAsia" w:ascii="宋体" w:hAnsi="宋体"/>
          <w:color w:val="auto"/>
          <w:szCs w:val="21"/>
          <w:highlight w:val="none"/>
        </w:rPr>
        <w:t>）。</w:t>
      </w:r>
      <w:bookmarkEnd w:id="188"/>
      <w:r>
        <w:rPr>
          <w:rFonts w:hint="eastAsia" w:ascii="宋体" w:hAnsi="宋体"/>
          <w:color w:val="auto"/>
          <w:szCs w:val="21"/>
          <w:highlight w:val="none"/>
        </w:rPr>
        <w:t>图表（包括框图、流程图、结构图等，不包括纯表格）内容需转换为“图片”格式插入到文件对应位置上。</w:t>
      </w:r>
    </w:p>
    <w:p w14:paraId="62E970B7">
      <w:pPr>
        <w:spacing w:line="360" w:lineRule="exact"/>
        <w:ind w:firstLine="420" w:firstLineChars="200"/>
        <w:rPr>
          <w:color w:val="auto"/>
          <w:szCs w:val="21"/>
          <w:highlight w:val="none"/>
        </w:rPr>
      </w:pPr>
      <w:r>
        <w:rPr>
          <w:rFonts w:hint="eastAsia"/>
          <w:color w:val="auto"/>
          <w:szCs w:val="21"/>
          <w:highlight w:val="none"/>
        </w:rPr>
        <w:t>（4）</w:t>
      </w:r>
      <w:r>
        <w:rPr>
          <w:rFonts w:ascii="宋体" w:hAnsi="宋体"/>
          <w:color w:val="auto"/>
          <w:szCs w:val="21"/>
          <w:highlight w:val="none"/>
        </w:rPr>
        <w:t>页眉和页脚</w:t>
      </w:r>
      <w:r>
        <w:rPr>
          <w:rFonts w:hint="eastAsia" w:ascii="宋体" w:hAnsi="宋体"/>
          <w:color w:val="auto"/>
          <w:szCs w:val="21"/>
          <w:highlight w:val="none"/>
        </w:rPr>
        <w:t>（包括页码）设置要求：不允许出现页眉，且页脚只准出现页码，页码格式采用阿拉伯数字格式，字体为五号宋体，设在页脚居中位置，页码应当连续。</w:t>
      </w:r>
    </w:p>
    <w:p w14:paraId="720DFC61">
      <w:pPr>
        <w:spacing w:line="360" w:lineRule="exact"/>
        <w:ind w:firstLine="420" w:firstLineChars="200"/>
        <w:rPr>
          <w:color w:val="auto"/>
          <w:szCs w:val="21"/>
          <w:highlight w:val="none"/>
        </w:rPr>
      </w:pPr>
      <w:r>
        <w:rPr>
          <w:rFonts w:hint="eastAsia"/>
          <w:color w:val="auto"/>
          <w:szCs w:val="21"/>
          <w:highlight w:val="none"/>
        </w:rPr>
        <w:t>（5）不允许有目录，不</w:t>
      </w:r>
      <w:r>
        <w:rPr>
          <w:rFonts w:ascii="宋体" w:hAnsi="宋体" w:cs="宋体"/>
          <w:color w:val="auto"/>
          <w:highlight w:val="none"/>
        </w:rPr>
        <w:t>允许涂改或删除痕迹</w:t>
      </w:r>
      <w:r>
        <w:rPr>
          <w:rFonts w:hint="eastAsia" w:ascii="宋体" w:hAnsi="宋体" w:cs="宋体"/>
          <w:color w:val="auto"/>
          <w:highlight w:val="none"/>
        </w:rPr>
        <w:t>，不</w:t>
      </w:r>
      <w:r>
        <w:rPr>
          <w:rFonts w:ascii="宋体" w:hAnsi="宋体" w:cs="宋体"/>
          <w:color w:val="auto"/>
          <w:highlight w:val="none"/>
        </w:rPr>
        <w:t>允许字体涂色</w:t>
      </w:r>
      <w:r>
        <w:rPr>
          <w:rFonts w:hint="eastAsia" w:ascii="宋体" w:hAnsi="宋体" w:cs="宋体"/>
          <w:color w:val="auto"/>
          <w:highlight w:val="none"/>
        </w:rPr>
        <w:t>。</w:t>
      </w:r>
    </w:p>
    <w:p w14:paraId="039450DE">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）任何情况下，施工组织设计中不得出现投标人的名称和其它</w:t>
      </w:r>
      <w:r>
        <w:rPr>
          <w:rFonts w:hint="eastAsia"/>
          <w:color w:val="auto"/>
          <w:szCs w:val="21"/>
          <w:highlight w:val="none"/>
          <w:lang w:val="en-US" w:eastAsia="zh-CN"/>
        </w:rPr>
        <w:t>可以</w:t>
      </w:r>
      <w:r>
        <w:rPr>
          <w:rFonts w:hint="eastAsia"/>
          <w:color w:val="auto"/>
          <w:szCs w:val="21"/>
          <w:highlight w:val="none"/>
        </w:rPr>
        <w:t>识别投标人身份的字符、徽标、人员名称等以及雷同性标记内容。</w:t>
      </w:r>
    </w:p>
    <w:p w14:paraId="11042503">
      <w:pPr>
        <w:pStyle w:val="23"/>
        <w:spacing w:line="360" w:lineRule="exact"/>
        <w:rPr>
          <w:color w:val="auto"/>
          <w:highlight w:val="none"/>
        </w:rPr>
      </w:pPr>
      <w:bookmarkStart w:id="189" w:name="_Toc144974523"/>
      <w:bookmarkStart w:id="190" w:name="_Toc152045555"/>
      <w:bookmarkStart w:id="191" w:name="_Toc179632573"/>
      <w:bookmarkStart w:id="192" w:name="_Toc152042331"/>
      <w:bookmarkStart w:id="193" w:name="_Toc166326868"/>
      <w:bookmarkStart w:id="194" w:name="_Toc256000032"/>
      <w:r>
        <w:rPr>
          <w:rFonts w:hint="eastAsia"/>
          <w:color w:val="auto"/>
          <w:highlight w:val="none"/>
        </w:rPr>
        <w:t>4. 投标</w:t>
      </w:r>
      <w:bookmarkEnd w:id="189"/>
      <w:bookmarkEnd w:id="190"/>
      <w:bookmarkEnd w:id="191"/>
      <w:bookmarkEnd w:id="192"/>
      <w:bookmarkEnd w:id="193"/>
      <w:bookmarkEnd w:id="194"/>
    </w:p>
    <w:p w14:paraId="6A0354F4">
      <w:pPr>
        <w:pStyle w:val="25"/>
        <w:spacing w:line="360" w:lineRule="exact"/>
        <w:rPr>
          <w:color w:val="auto"/>
          <w:highlight w:val="none"/>
        </w:rPr>
      </w:pPr>
      <w:bookmarkStart w:id="195" w:name="_Toc144974524"/>
      <w:bookmarkStart w:id="196" w:name="_Toc179632574"/>
      <w:bookmarkStart w:id="197" w:name="_Toc152045556"/>
      <w:bookmarkStart w:id="198" w:name="_Toc152042332"/>
      <w:bookmarkStart w:id="199" w:name="_Toc256000033"/>
      <w:bookmarkStart w:id="200" w:name="_Toc166326869"/>
      <w:r>
        <w:rPr>
          <w:rFonts w:hint="eastAsia"/>
          <w:color w:val="auto"/>
          <w:highlight w:val="none"/>
        </w:rPr>
        <w:t>4.1 投标文件的</w:t>
      </w:r>
      <w:bookmarkEnd w:id="195"/>
      <w:bookmarkEnd w:id="196"/>
      <w:bookmarkEnd w:id="197"/>
      <w:bookmarkEnd w:id="198"/>
      <w:r>
        <w:rPr>
          <w:rFonts w:hint="eastAsia"/>
          <w:color w:val="auto"/>
          <w:highlight w:val="none"/>
        </w:rPr>
        <w:t>加密</w:t>
      </w:r>
      <w:bookmarkEnd w:id="199"/>
      <w:bookmarkEnd w:id="200"/>
    </w:p>
    <w:p w14:paraId="1ACA7A7C">
      <w:pPr>
        <w:spacing w:line="360" w:lineRule="exact"/>
        <w:ind w:firstLine="420" w:firstLineChars="200"/>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投标文件，并在投标时上传加密的投标文件，未</w:t>
      </w:r>
      <w:r>
        <w:rPr>
          <w:color w:val="auto"/>
          <w:highlight w:val="none"/>
        </w:rPr>
        <w:t>加密的投标文件，</w:t>
      </w:r>
      <w:r>
        <w:rPr>
          <w:rFonts w:hint="eastAsia"/>
          <w:color w:val="auto"/>
          <w:highlight w:val="none"/>
        </w:rPr>
        <w:t>招标人（</w:t>
      </w:r>
      <w:bookmarkStart w:id="201" w:name="_Hlk157864029"/>
      <w:r>
        <w:rPr>
          <w:color w:val="auto"/>
          <w:highlight w:val="none"/>
        </w:rPr>
        <w:t>电子</w:t>
      </w:r>
      <w:r>
        <w:rPr>
          <w:rFonts w:hint="eastAsia"/>
          <w:color w:val="auto"/>
          <w:highlight w:val="none"/>
        </w:rPr>
        <w:t>招标投标系统</w:t>
      </w:r>
      <w:bookmarkEnd w:id="201"/>
      <w:r>
        <w:rPr>
          <w:rFonts w:hint="eastAsia"/>
          <w:color w:val="auto"/>
          <w:highlight w:val="none"/>
        </w:rPr>
        <w:t>）将拒收并提示。</w:t>
      </w:r>
    </w:p>
    <w:p w14:paraId="01ACA025">
      <w:pPr>
        <w:pStyle w:val="25"/>
        <w:spacing w:line="360" w:lineRule="exact"/>
        <w:rPr>
          <w:color w:val="auto"/>
          <w:highlight w:val="none"/>
        </w:rPr>
      </w:pPr>
      <w:bookmarkStart w:id="202" w:name="_Toc152045557"/>
      <w:bookmarkStart w:id="203" w:name="_Toc256000034"/>
      <w:bookmarkStart w:id="204" w:name="_Toc152042333"/>
      <w:bookmarkStart w:id="205" w:name="_Toc166326870"/>
      <w:bookmarkStart w:id="206" w:name="_Toc179632575"/>
      <w:bookmarkStart w:id="207" w:name="_Toc144974525"/>
      <w:r>
        <w:rPr>
          <w:rFonts w:hint="eastAsia"/>
          <w:color w:val="auto"/>
          <w:highlight w:val="none"/>
        </w:rPr>
        <w:t>4.2 投标文件的递交</w:t>
      </w:r>
      <w:bookmarkEnd w:id="202"/>
      <w:bookmarkEnd w:id="203"/>
      <w:bookmarkEnd w:id="204"/>
      <w:bookmarkEnd w:id="205"/>
      <w:bookmarkEnd w:id="206"/>
      <w:bookmarkEnd w:id="207"/>
    </w:p>
    <w:p w14:paraId="73674BA1">
      <w:pPr>
        <w:spacing w:line="360" w:lineRule="exact"/>
        <w:ind w:firstLine="420" w:firstLineChars="200"/>
        <w:rPr>
          <w:color w:val="auto"/>
          <w:highlight w:val="none"/>
        </w:rPr>
      </w:pPr>
      <w:r>
        <w:rPr>
          <w:rFonts w:hint="eastAsia"/>
          <w:color w:val="auto"/>
          <w:highlight w:val="none"/>
        </w:rPr>
        <w:t>4.2.1 投标人递交投标文件的截止时间（投标截止时间）：见投标人须知前附表。</w:t>
      </w:r>
    </w:p>
    <w:p w14:paraId="2A328708">
      <w:pPr>
        <w:spacing w:line="360" w:lineRule="exact"/>
        <w:ind w:firstLine="420" w:firstLineChars="200"/>
        <w:rPr>
          <w:color w:val="auto"/>
          <w:highlight w:val="none"/>
        </w:rPr>
      </w:pPr>
      <w:r>
        <w:rPr>
          <w:color w:val="auto"/>
          <w:highlight w:val="none"/>
        </w:rPr>
        <w:t>4.</w:t>
      </w:r>
      <w:r>
        <w:rPr>
          <w:rFonts w:hint="eastAsia"/>
          <w:color w:val="auto"/>
          <w:highlight w:val="none"/>
        </w:rPr>
        <w:t>2</w:t>
      </w:r>
      <w:r>
        <w:rPr>
          <w:color w:val="auto"/>
          <w:highlight w:val="none"/>
        </w:rPr>
        <w:t>.</w:t>
      </w:r>
      <w:r>
        <w:rPr>
          <w:rFonts w:hint="eastAsia"/>
          <w:color w:val="auto"/>
          <w:highlight w:val="none"/>
        </w:rPr>
        <w:t xml:space="preserve">2 </w:t>
      </w:r>
      <w:bookmarkStart w:id="208" w:name="_Hlk162093171"/>
      <w:r>
        <w:rPr>
          <w:rFonts w:hint="eastAsia"/>
          <w:color w:val="auto"/>
          <w:highlight w:val="none"/>
        </w:rPr>
        <w:t>投标人应当在投标截止时间前，</w:t>
      </w:r>
      <w:r>
        <w:rPr>
          <w:color w:val="auto"/>
          <w:highlight w:val="none"/>
        </w:rPr>
        <w:t>通过</w:t>
      </w:r>
      <w:bookmarkStart w:id="209" w:name="_Hlk164706052"/>
      <w:r>
        <w:rPr>
          <w:color w:val="auto"/>
          <w:highlight w:val="none"/>
        </w:rPr>
        <w:t>电子</w:t>
      </w:r>
      <w:r>
        <w:rPr>
          <w:rFonts w:hint="eastAsia"/>
          <w:color w:val="auto"/>
          <w:highlight w:val="none"/>
        </w:rPr>
        <w:t>交易系统（投标盲盒工具）</w:t>
      </w:r>
      <w:bookmarkEnd w:id="209"/>
      <w:r>
        <w:rPr>
          <w:rFonts w:hint="eastAsia"/>
          <w:color w:val="auto"/>
          <w:highlight w:val="none"/>
        </w:rPr>
        <w:t>选择所投标段将加密的投标文件上传至</w:t>
      </w:r>
      <w:r>
        <w:rPr>
          <w:color w:val="auto"/>
          <w:highlight w:val="none"/>
        </w:rPr>
        <w:t>电子</w:t>
      </w:r>
      <w:r>
        <w:rPr>
          <w:rFonts w:hint="eastAsia"/>
          <w:color w:val="auto"/>
          <w:highlight w:val="none"/>
        </w:rPr>
        <w:t>招标投标系统（辽宁省工程建设项目数字化开标评标系统）。投标人应充分考虑上传文件时的不可预见因素，投标文件</w:t>
      </w:r>
      <w:r>
        <w:rPr>
          <w:color w:val="auto"/>
          <w:highlight w:val="none"/>
        </w:rPr>
        <w:t>未在投标截止时间前完成上传</w:t>
      </w:r>
      <w:r>
        <w:rPr>
          <w:rFonts w:hint="eastAsia"/>
          <w:color w:val="auto"/>
          <w:highlight w:val="none"/>
        </w:rPr>
        <w:t>的，</w:t>
      </w:r>
      <w:r>
        <w:rPr>
          <w:color w:val="auto"/>
          <w:highlight w:val="none"/>
        </w:rPr>
        <w:t>视为逾期送达</w:t>
      </w:r>
      <w:r>
        <w:rPr>
          <w:rFonts w:hint="eastAsia"/>
          <w:color w:val="auto"/>
          <w:highlight w:val="none"/>
        </w:rPr>
        <w:t>，招标人（</w:t>
      </w:r>
      <w:r>
        <w:rPr>
          <w:color w:val="auto"/>
          <w:highlight w:val="none"/>
        </w:rPr>
        <w:t>电子</w:t>
      </w:r>
      <w:r>
        <w:rPr>
          <w:rFonts w:hint="eastAsia"/>
          <w:color w:val="auto"/>
          <w:highlight w:val="none"/>
        </w:rPr>
        <w:t>交易系统）将拒收其投标文件</w:t>
      </w:r>
      <w:r>
        <w:rPr>
          <w:color w:val="auto"/>
          <w:highlight w:val="none"/>
        </w:rPr>
        <w:t>。</w:t>
      </w:r>
    </w:p>
    <w:p w14:paraId="568A008D">
      <w:pPr>
        <w:spacing w:line="360" w:lineRule="exact"/>
        <w:ind w:firstLine="420" w:firstLineChars="200"/>
        <w:rPr>
          <w:color w:val="auto"/>
          <w:highlight w:val="none"/>
        </w:rPr>
      </w:pPr>
      <w:r>
        <w:rPr>
          <w:rFonts w:hint="eastAsia"/>
          <w:color w:val="auto"/>
          <w:highlight w:val="none"/>
        </w:rPr>
        <w:t>投标人完成投标文件上传成功后，</w:t>
      </w:r>
      <w:r>
        <w:rPr>
          <w:color w:val="auto"/>
          <w:highlight w:val="none"/>
        </w:rPr>
        <w:t>电子交易系统向投标人发出电子签收凭证</w:t>
      </w:r>
      <w:r>
        <w:rPr>
          <w:rFonts w:hint="eastAsia"/>
          <w:color w:val="auto"/>
          <w:highlight w:val="none"/>
        </w:rPr>
        <w:t>，递交时间以</w:t>
      </w:r>
      <w:r>
        <w:rPr>
          <w:color w:val="auto"/>
          <w:highlight w:val="none"/>
        </w:rPr>
        <w:t>电子签收凭证</w:t>
      </w:r>
      <w:r>
        <w:rPr>
          <w:rFonts w:hint="eastAsia"/>
          <w:color w:val="auto"/>
          <w:highlight w:val="none"/>
        </w:rPr>
        <w:t>载明的时间为准。</w:t>
      </w:r>
      <w:bookmarkEnd w:id="208"/>
    </w:p>
    <w:p w14:paraId="1B41F30A">
      <w:pPr>
        <w:spacing w:line="36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14:paraId="472B187B">
      <w:pPr>
        <w:pStyle w:val="25"/>
        <w:spacing w:line="360" w:lineRule="exact"/>
        <w:rPr>
          <w:color w:val="auto"/>
          <w:highlight w:val="none"/>
        </w:rPr>
      </w:pPr>
      <w:bookmarkStart w:id="210" w:name="_Toc152042334"/>
      <w:bookmarkStart w:id="211" w:name="_Toc152045558"/>
      <w:bookmarkStart w:id="212" w:name="_Toc256000035"/>
      <w:bookmarkStart w:id="213" w:name="_Toc179632576"/>
      <w:bookmarkStart w:id="214" w:name="_Toc144974526"/>
      <w:bookmarkStart w:id="215" w:name="_Toc166326871"/>
      <w:r>
        <w:rPr>
          <w:rFonts w:hint="eastAsia"/>
          <w:color w:val="auto"/>
          <w:highlight w:val="none"/>
        </w:rPr>
        <w:t>4.3 投标文件的修改与撤回</w:t>
      </w:r>
      <w:bookmarkEnd w:id="210"/>
      <w:bookmarkEnd w:id="211"/>
      <w:bookmarkEnd w:id="212"/>
      <w:bookmarkEnd w:id="213"/>
      <w:bookmarkEnd w:id="214"/>
      <w:bookmarkEnd w:id="215"/>
    </w:p>
    <w:p w14:paraId="095A856A">
      <w:pPr>
        <w:spacing w:line="360" w:lineRule="exact"/>
        <w:ind w:firstLine="420" w:firstLineChars="200"/>
        <w:rPr>
          <w:color w:val="auto"/>
          <w:highlight w:val="none"/>
        </w:rPr>
      </w:pPr>
      <w:r>
        <w:rPr>
          <w:color w:val="auto"/>
          <w:highlight w:val="none"/>
        </w:rPr>
        <w:t>4.3.1</w:t>
      </w:r>
      <w:r>
        <w:rPr>
          <w:rFonts w:hint="eastAsia"/>
          <w:color w:val="auto"/>
          <w:highlight w:val="none"/>
        </w:rPr>
        <w:t xml:space="preserve"> 在本章第4.2.1项规定的投标截止时间前，投标人可以修改或撤回已递交的投标文件。</w:t>
      </w:r>
    </w:p>
    <w:p w14:paraId="0F338C0C">
      <w:pPr>
        <w:spacing w:line="360" w:lineRule="exact"/>
        <w:ind w:firstLine="420" w:firstLineChars="200"/>
        <w:rPr>
          <w:color w:val="auto"/>
          <w:highlight w:val="none"/>
        </w:rPr>
      </w:pPr>
      <w:r>
        <w:rPr>
          <w:rFonts w:hint="eastAsia"/>
          <w:color w:val="auto"/>
          <w:highlight w:val="none"/>
        </w:rPr>
        <w:t>4.3.2 投标人撤回投标文件的，在电子交易系统（投标盲盒工具）直接进行撤回操作</w:t>
      </w:r>
      <w:r>
        <w:rPr>
          <w:color w:val="auto"/>
          <w:highlight w:val="none"/>
        </w:rPr>
        <w:t>。</w:t>
      </w:r>
    </w:p>
    <w:p w14:paraId="1E9DDE20">
      <w:pPr>
        <w:spacing w:line="360" w:lineRule="exact"/>
        <w:ind w:firstLine="420" w:firstLineChars="200"/>
        <w:rPr>
          <w:color w:val="auto"/>
          <w:highlight w:val="none"/>
        </w:rPr>
      </w:pPr>
      <w:r>
        <w:rPr>
          <w:rFonts w:hint="eastAsia"/>
          <w:color w:val="auto"/>
          <w:highlight w:val="none"/>
        </w:rPr>
        <w:t>4.3.3 投标人修改投标文件的，</w:t>
      </w:r>
      <w:r>
        <w:rPr>
          <w:color w:val="auto"/>
          <w:highlight w:val="none"/>
        </w:rPr>
        <w:t>应当</w:t>
      </w:r>
      <w:r>
        <w:rPr>
          <w:rFonts w:hint="eastAsia"/>
          <w:color w:val="auto"/>
          <w:highlight w:val="none"/>
        </w:rPr>
        <w:t>先按本章第</w:t>
      </w:r>
      <w:r>
        <w:rPr>
          <w:color w:val="auto"/>
          <w:highlight w:val="none"/>
        </w:rPr>
        <w:t>4.3.2</w:t>
      </w:r>
      <w:r>
        <w:rPr>
          <w:rFonts w:hint="eastAsia"/>
          <w:color w:val="auto"/>
          <w:highlight w:val="none"/>
        </w:rPr>
        <w:t>项的规定撤回投标文件，再</w:t>
      </w:r>
      <w:r>
        <w:rPr>
          <w:color w:val="auto"/>
          <w:highlight w:val="none"/>
        </w:rPr>
        <w:t>使用投标文件制作软件制作成完整的投标文件</w:t>
      </w:r>
      <w:r>
        <w:rPr>
          <w:rFonts w:hint="eastAsia"/>
          <w:color w:val="auto"/>
          <w:highlight w:val="none"/>
        </w:rPr>
        <w:t>，并按照本章第3条、第4条规定进行编制和递交</w:t>
      </w:r>
      <w:bookmarkStart w:id="216" w:name="_Hlk161477706"/>
      <w:bookmarkStart w:id="217" w:name="_Hlk161651407"/>
      <w:r>
        <w:rPr>
          <w:rFonts w:hint="eastAsia"/>
          <w:color w:val="auto"/>
          <w:highlight w:val="none"/>
        </w:rPr>
        <w:t>，递交时间以投标截止时间前最后完成上传的文件为准</w:t>
      </w:r>
      <w:bookmarkEnd w:id="216"/>
      <w:r>
        <w:rPr>
          <w:rFonts w:hint="eastAsia"/>
          <w:color w:val="auto"/>
          <w:highlight w:val="none"/>
        </w:rPr>
        <w:t>。</w:t>
      </w:r>
      <w:bookmarkEnd w:id="217"/>
    </w:p>
    <w:p w14:paraId="45A9EA6B">
      <w:pPr>
        <w:pStyle w:val="23"/>
        <w:spacing w:line="360" w:lineRule="exact"/>
        <w:rPr>
          <w:color w:val="auto"/>
          <w:highlight w:val="none"/>
        </w:rPr>
      </w:pPr>
      <w:bookmarkStart w:id="218" w:name="_Toc166326872"/>
      <w:bookmarkStart w:id="219" w:name="_Toc144974527"/>
      <w:bookmarkStart w:id="220" w:name="_Toc179632577"/>
      <w:bookmarkStart w:id="221" w:name="_Toc152042335"/>
      <w:bookmarkStart w:id="222" w:name="_Toc256000036"/>
      <w:bookmarkStart w:id="223" w:name="_Toc152045559"/>
      <w:r>
        <w:rPr>
          <w:rFonts w:hint="eastAsia"/>
          <w:color w:val="auto"/>
          <w:highlight w:val="none"/>
        </w:rPr>
        <w:t>5. 开标</w:t>
      </w:r>
      <w:bookmarkEnd w:id="218"/>
      <w:bookmarkEnd w:id="219"/>
      <w:bookmarkEnd w:id="220"/>
      <w:bookmarkEnd w:id="221"/>
      <w:bookmarkEnd w:id="222"/>
      <w:bookmarkEnd w:id="223"/>
    </w:p>
    <w:p w14:paraId="27E0F2F9">
      <w:pPr>
        <w:pStyle w:val="25"/>
        <w:spacing w:line="360" w:lineRule="exact"/>
        <w:rPr>
          <w:color w:val="auto"/>
          <w:highlight w:val="none"/>
        </w:rPr>
      </w:pPr>
      <w:bookmarkStart w:id="224" w:name="_Toc256000037"/>
      <w:bookmarkStart w:id="225" w:name="_Toc152045560"/>
      <w:bookmarkStart w:id="226" w:name="_Toc152042336"/>
      <w:bookmarkStart w:id="227" w:name="_Toc166326873"/>
      <w:bookmarkStart w:id="228" w:name="_Toc144974528"/>
      <w:bookmarkStart w:id="229" w:name="_Toc179632578"/>
      <w:r>
        <w:rPr>
          <w:rFonts w:hint="eastAsia"/>
          <w:color w:val="auto"/>
          <w:highlight w:val="none"/>
        </w:rPr>
        <w:t>5.1 开标时间和地点</w:t>
      </w:r>
      <w:bookmarkEnd w:id="224"/>
      <w:bookmarkEnd w:id="225"/>
      <w:bookmarkEnd w:id="226"/>
      <w:bookmarkEnd w:id="227"/>
      <w:bookmarkEnd w:id="228"/>
      <w:bookmarkEnd w:id="229"/>
    </w:p>
    <w:p w14:paraId="22D952C8">
      <w:pPr>
        <w:spacing w:line="360" w:lineRule="exact"/>
        <w:ind w:firstLine="420" w:firstLineChars="200"/>
        <w:rPr>
          <w:bCs/>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bookmarkStart w:id="230" w:name="_Hlk164709573"/>
      <w:r>
        <w:rPr>
          <w:rFonts w:hint="eastAsia"/>
          <w:color w:val="auto"/>
          <w:highlight w:val="none"/>
        </w:rPr>
        <w:t>电子招标投标系统（辽宁省工程建设项目数字化开标评标系统）</w:t>
      </w:r>
      <w:bookmarkEnd w:id="230"/>
      <w:r>
        <w:rPr>
          <w:rFonts w:hint="eastAsia"/>
          <w:bCs/>
          <w:iCs/>
          <w:color w:val="auto"/>
          <w:highlight w:val="none"/>
        </w:rPr>
        <w:t>上</w:t>
      </w:r>
      <w:r>
        <w:rPr>
          <w:rFonts w:hint="eastAsia"/>
          <w:bCs/>
          <w:color w:val="auto"/>
          <w:highlight w:val="none"/>
        </w:rPr>
        <w:t>公开进行开标，</w:t>
      </w:r>
      <w:r>
        <w:rPr>
          <w:rFonts w:hint="eastAsia"/>
          <w:bCs/>
          <w:iCs/>
          <w:color w:val="auto"/>
          <w:highlight w:val="none"/>
        </w:rPr>
        <w:t>所有投标人均应当参加开标。招标人按照</w:t>
      </w:r>
      <w:r>
        <w:rPr>
          <w:rFonts w:hint="eastAsia"/>
          <w:color w:val="auto"/>
          <w:highlight w:val="none"/>
        </w:rPr>
        <w:t>投标人须知前附表规定的方式组织开标。</w:t>
      </w:r>
    </w:p>
    <w:p w14:paraId="36E3682D">
      <w:pPr>
        <w:spacing w:line="360" w:lineRule="exact"/>
        <w:ind w:firstLine="420" w:firstLineChars="200"/>
        <w:rPr>
          <w:color w:val="auto"/>
          <w:highlight w:val="none"/>
        </w:rPr>
      </w:pPr>
      <w:r>
        <w:rPr>
          <w:rFonts w:hint="eastAsia"/>
          <w:color w:val="auto"/>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38EEFB91">
      <w:pPr>
        <w:spacing w:line="360" w:lineRule="exact"/>
        <w:ind w:firstLine="420" w:firstLineChars="200"/>
        <w:rPr>
          <w:color w:val="auto"/>
          <w:highlight w:val="none"/>
        </w:rPr>
      </w:pPr>
      <w:r>
        <w:rPr>
          <w:rFonts w:hint="eastAsia"/>
          <w:color w:val="auto"/>
          <w:highlight w:val="none"/>
        </w:rPr>
        <w:t>5.1.3 投标人应当在能够保证设施设备可靠、互联网畅通的任意地点，按照本章第</w:t>
      </w:r>
      <w:r>
        <w:rPr>
          <w:color w:val="auto"/>
          <w:highlight w:val="none"/>
        </w:rPr>
        <w:t>5.1.1</w:t>
      </w:r>
      <w:r>
        <w:rPr>
          <w:rFonts w:hint="eastAsia"/>
          <w:color w:val="auto"/>
          <w:highlight w:val="none"/>
        </w:rPr>
        <w:t>项规定的组织方式，通过互联网远程在线或现场集中参加开标，</w:t>
      </w:r>
      <w:r>
        <w:rPr>
          <w:color w:val="auto"/>
          <w:highlight w:val="none"/>
        </w:rPr>
        <w:t>使用</w:t>
      </w:r>
      <w:r>
        <w:rPr>
          <w:rFonts w:hint="eastAsia"/>
          <w:color w:val="auto"/>
          <w:highlight w:val="none"/>
        </w:rPr>
        <w:t>加密其投标文件的数字证书（CA）登录电子招标投标系统（</w:t>
      </w:r>
      <w:r>
        <w:rPr>
          <w:rFonts w:hint="eastAsia"/>
          <w:bCs/>
          <w:color w:val="auto"/>
          <w:highlight w:val="none"/>
        </w:rPr>
        <w:t>辽宁省</w:t>
      </w:r>
      <w:r>
        <w:rPr>
          <w:rFonts w:hint="eastAsia"/>
          <w:color w:val="auto"/>
          <w:highlight w:val="none"/>
        </w:rPr>
        <w:t>工程建设项目数字化开标评标系统）选择所投标段进行签到，并实时关注招标人的操作情况。</w:t>
      </w:r>
    </w:p>
    <w:p w14:paraId="0740B665">
      <w:pPr>
        <w:pStyle w:val="25"/>
        <w:spacing w:line="360" w:lineRule="exact"/>
        <w:rPr>
          <w:color w:val="auto"/>
          <w:highlight w:val="none"/>
        </w:rPr>
      </w:pPr>
      <w:bookmarkStart w:id="231" w:name="_Toc152045561"/>
      <w:bookmarkStart w:id="232" w:name="_Toc179632579"/>
      <w:bookmarkStart w:id="233" w:name="_Toc256000038"/>
      <w:bookmarkStart w:id="234" w:name="_Toc166326874"/>
      <w:bookmarkStart w:id="235" w:name="_Toc144974529"/>
      <w:bookmarkStart w:id="236" w:name="_Toc152042337"/>
      <w:r>
        <w:rPr>
          <w:rFonts w:hint="eastAsia"/>
          <w:color w:val="auto"/>
          <w:highlight w:val="none"/>
        </w:rPr>
        <w:t>5.2 开标程序</w:t>
      </w:r>
      <w:bookmarkEnd w:id="231"/>
      <w:bookmarkEnd w:id="232"/>
      <w:bookmarkEnd w:id="233"/>
      <w:bookmarkEnd w:id="234"/>
      <w:bookmarkEnd w:id="235"/>
      <w:bookmarkEnd w:id="236"/>
    </w:p>
    <w:p w14:paraId="28D060C0">
      <w:pPr>
        <w:spacing w:line="360" w:lineRule="exact"/>
        <w:ind w:firstLine="420" w:firstLineChars="200"/>
        <w:rPr>
          <w:color w:val="auto"/>
          <w:highlight w:val="none"/>
        </w:rPr>
      </w:pPr>
      <w:r>
        <w:rPr>
          <w:rFonts w:hint="eastAsia"/>
          <w:color w:val="auto"/>
          <w:highlight w:val="none"/>
        </w:rPr>
        <w:t>5.2.1 主持人按下列程序在电子招标投标系统（辽宁省工程建设项目数字化开标评标系统）进行开标：</w:t>
      </w:r>
    </w:p>
    <w:p w14:paraId="4A6BED8F">
      <w:pPr>
        <w:spacing w:line="360" w:lineRule="exact"/>
        <w:ind w:firstLine="420" w:firstLineChars="200"/>
        <w:rPr>
          <w:color w:val="auto"/>
          <w:highlight w:val="none"/>
        </w:rPr>
      </w:pPr>
      <w:r>
        <w:rPr>
          <w:color w:val="auto"/>
          <w:highlight w:val="none"/>
        </w:rPr>
        <w:t>（1）宣布开标纪律；</w:t>
      </w:r>
    </w:p>
    <w:p w14:paraId="5DBE9B43">
      <w:pPr>
        <w:spacing w:line="360" w:lineRule="exact"/>
        <w:ind w:firstLine="420" w:firstLineChars="200"/>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14:paraId="090E65BF">
      <w:pPr>
        <w:spacing w:line="3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14:paraId="2115EDB4">
      <w:pPr>
        <w:spacing w:line="3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公布投标保证金递交情况（对担保保函、保证保险进行实时验真）；</w:t>
      </w:r>
    </w:p>
    <w:p w14:paraId="61F5AA74">
      <w:pPr>
        <w:spacing w:line="3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14:paraId="31EB209D">
      <w:pPr>
        <w:spacing w:line="360" w:lineRule="exact"/>
        <w:ind w:firstLine="420" w:firstLineChars="200"/>
        <w:rPr>
          <w:color w:val="auto"/>
          <w:highlight w:val="none"/>
        </w:rPr>
      </w:pPr>
      <w:r>
        <w:rPr>
          <w:rFonts w:hint="eastAsia"/>
          <w:color w:val="auto"/>
          <w:highlight w:val="none"/>
        </w:rPr>
        <w:t>（6）读取已解密</w:t>
      </w:r>
      <w:r>
        <w:rPr>
          <w:rFonts w:hint="eastAsia"/>
          <w:color w:val="auto"/>
          <w:szCs w:val="21"/>
          <w:highlight w:val="none"/>
        </w:rPr>
        <w:t>的投标文件的内容</w:t>
      </w:r>
      <w:r>
        <w:rPr>
          <w:rFonts w:hint="eastAsia"/>
          <w:color w:val="auto"/>
          <w:highlight w:val="none"/>
        </w:rPr>
        <w:t>；</w:t>
      </w:r>
    </w:p>
    <w:p w14:paraId="480AC969">
      <w:pPr>
        <w:spacing w:line="360" w:lineRule="exact"/>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、项目经理姓名及其他内容，并</w:t>
      </w:r>
      <w:r>
        <w:rPr>
          <w:rFonts w:hint="eastAsia"/>
          <w:bCs/>
          <w:iCs/>
          <w:color w:val="auto"/>
          <w:highlight w:val="none"/>
        </w:rPr>
        <w:t>生成开标记录</w:t>
      </w:r>
      <w:r>
        <w:rPr>
          <w:rFonts w:hint="eastAsia"/>
          <w:color w:val="auto"/>
          <w:highlight w:val="none"/>
        </w:rPr>
        <w:t>；</w:t>
      </w:r>
    </w:p>
    <w:p w14:paraId="0754BE04">
      <w:pPr>
        <w:spacing w:line="360" w:lineRule="exact"/>
        <w:ind w:firstLine="420" w:firstLineChars="200"/>
        <w:rPr>
          <w:color w:val="auto"/>
          <w:highlight w:val="none"/>
        </w:rPr>
      </w:pPr>
      <w:r>
        <w:rPr>
          <w:rFonts w:hint="eastAsia"/>
          <w:color w:val="auto"/>
          <w:highlight w:val="none"/>
        </w:rPr>
        <w:t>（8）投标人对开标记录进行确认；</w:t>
      </w:r>
    </w:p>
    <w:p w14:paraId="1E45C545">
      <w:pPr>
        <w:spacing w:line="360" w:lineRule="exact"/>
        <w:ind w:firstLine="420" w:firstLineChars="200"/>
        <w:rPr>
          <w:color w:val="auto"/>
          <w:highlight w:val="none"/>
        </w:rPr>
      </w:pPr>
      <w:r>
        <w:rPr>
          <w:color w:val="auto"/>
          <w:highlight w:val="none"/>
        </w:rPr>
        <w:t>（9）开标结束。</w:t>
      </w:r>
    </w:p>
    <w:p w14:paraId="643D2773">
      <w:pPr>
        <w:spacing w:line="360" w:lineRule="exact"/>
        <w:ind w:firstLine="420" w:firstLineChars="200"/>
        <w:rPr>
          <w:color w:val="auto"/>
          <w:highlight w:val="none"/>
        </w:rPr>
      </w:pPr>
      <w:r>
        <w:rPr>
          <w:rFonts w:hint="eastAsia"/>
          <w:bCs/>
          <w:iCs/>
          <w:color w:val="auto"/>
          <w:highlight w:val="none"/>
        </w:rPr>
        <w:t>5</w:t>
      </w:r>
      <w:r>
        <w:rPr>
          <w:bCs/>
          <w:iCs/>
          <w:color w:val="auto"/>
          <w:highlight w:val="none"/>
        </w:rPr>
        <w:t>.2.2</w:t>
      </w:r>
      <w:r>
        <w:rPr>
          <w:rFonts w:hint="eastAsia"/>
          <w:color w:val="auto"/>
          <w:highlight w:val="none"/>
        </w:rPr>
        <w:t>生成开标记录后</w:t>
      </w:r>
      <w:r>
        <w:rPr>
          <w:color w:val="auto"/>
          <w:highlight w:val="none"/>
        </w:rPr>
        <w:t>10</w:t>
      </w:r>
      <w:r>
        <w:rPr>
          <w:rFonts w:hint="eastAsia"/>
          <w:color w:val="auto"/>
          <w:highlight w:val="none"/>
        </w:rPr>
        <w:t>分钟内，投标人通过电子招标投标系统（辽宁省工程建设项目数字化开标评标系统）对开标结果予以确认。未在规定时间内确认或未确认的视为对开标过程及结果无异议。</w:t>
      </w:r>
    </w:p>
    <w:p w14:paraId="0DD6721D">
      <w:pPr>
        <w:spacing w:line="360" w:lineRule="exact"/>
        <w:ind w:firstLine="420" w:firstLineChars="200"/>
        <w:rPr>
          <w:bCs/>
          <w:iCs/>
          <w:color w:val="auto"/>
          <w:highlight w:val="none"/>
        </w:rPr>
      </w:pPr>
      <w:r>
        <w:rPr>
          <w:rFonts w:hint="eastAsia"/>
          <w:color w:val="auto"/>
          <w:highlight w:val="none"/>
        </w:rPr>
        <w:t>5.2.</w:t>
      </w:r>
      <w:r>
        <w:rPr>
          <w:color w:val="auto"/>
          <w:highlight w:val="none"/>
        </w:rPr>
        <w:t>3</w:t>
      </w:r>
      <w:bookmarkStart w:id="237" w:name="_Hlk161477723"/>
      <w:r>
        <w:rPr>
          <w:rFonts w:hint="eastAsia"/>
          <w:bCs/>
          <w:iCs/>
          <w:color w:val="auto"/>
          <w:highlight w:val="none"/>
        </w:rPr>
        <w:t>在本章第5.2.1（5）目规定的时间内，已解密的投标文件少于三个的，招标失败；已解密的投标文件不少于三个，开标</w:t>
      </w:r>
      <w:r>
        <w:rPr>
          <w:rFonts w:hint="eastAsia"/>
          <w:color w:val="auto"/>
          <w:highlight w:val="none"/>
        </w:rPr>
        <w:t>继续</w:t>
      </w:r>
      <w:r>
        <w:rPr>
          <w:rFonts w:hint="eastAsia"/>
          <w:bCs/>
          <w:iCs/>
          <w:color w:val="auto"/>
          <w:highlight w:val="none"/>
        </w:rPr>
        <w:t>进行。</w:t>
      </w:r>
    </w:p>
    <w:p w14:paraId="7E3F8ACD">
      <w:pPr>
        <w:spacing w:line="360" w:lineRule="exact"/>
        <w:ind w:firstLine="420" w:firstLineChars="200"/>
        <w:rPr>
          <w:bCs/>
          <w:iCs/>
          <w:color w:val="auto"/>
          <w:highlight w:val="none"/>
        </w:rPr>
      </w:pPr>
      <w:r>
        <w:rPr>
          <w:rFonts w:hint="eastAsia"/>
          <w:bCs/>
          <w:iCs/>
          <w:color w:val="auto"/>
          <w:highlight w:val="none"/>
        </w:rPr>
        <w:t>因投标人原因（如数字证书（CA）损坏或密码丢失或输入错误、投标人自身网络中断等非开标系统原因）造成投标文件未解密的，视为投标人撤回投标文件。</w:t>
      </w:r>
    </w:p>
    <w:p w14:paraId="2CFE5639">
      <w:pPr>
        <w:spacing w:line="360" w:lineRule="exact"/>
        <w:ind w:firstLine="420" w:firstLineChars="200"/>
        <w:rPr>
          <w:bCs/>
          <w:iCs/>
          <w:color w:val="auto"/>
          <w:highlight w:val="none"/>
        </w:rPr>
      </w:pPr>
      <w:r>
        <w:rPr>
          <w:rFonts w:hint="eastAsia"/>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37"/>
    </w:p>
    <w:p w14:paraId="23AAE843">
      <w:pPr>
        <w:pStyle w:val="25"/>
        <w:spacing w:line="360" w:lineRule="exact"/>
        <w:rPr>
          <w:color w:val="auto"/>
          <w:highlight w:val="none"/>
        </w:rPr>
      </w:pPr>
      <w:bookmarkStart w:id="238" w:name="_Toc300834983"/>
      <w:bookmarkStart w:id="239" w:name="_Toc256000039"/>
      <w:bookmarkStart w:id="240" w:name="_Toc166326875"/>
      <w:r>
        <w:rPr>
          <w:rFonts w:hint="eastAsia"/>
          <w:color w:val="auto"/>
          <w:highlight w:val="none"/>
        </w:rPr>
        <w:t>5.3 开标异议</w:t>
      </w:r>
      <w:bookmarkEnd w:id="238"/>
      <w:bookmarkEnd w:id="239"/>
      <w:bookmarkEnd w:id="240"/>
    </w:p>
    <w:p w14:paraId="5685A330">
      <w:pPr>
        <w:spacing w:line="360" w:lineRule="exact"/>
        <w:ind w:firstLine="420" w:firstLineChars="200"/>
        <w:rPr>
          <w:color w:val="auto"/>
          <w:highlight w:val="none"/>
        </w:rPr>
      </w:pPr>
      <w:r>
        <w:rPr>
          <w:rFonts w:hint="eastAsia"/>
          <w:color w:val="auto"/>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6FD74208">
      <w:pPr>
        <w:spacing w:line="360" w:lineRule="exact"/>
        <w:ind w:firstLine="420" w:firstLineChars="200"/>
        <w:rPr>
          <w:color w:val="auto"/>
          <w:highlight w:val="none"/>
        </w:rPr>
      </w:pPr>
      <w:r>
        <w:rPr>
          <w:rFonts w:hint="eastAsia"/>
          <w:color w:val="auto"/>
          <w:highlight w:val="none"/>
        </w:rPr>
        <w:t>本</w:t>
      </w:r>
      <w:r>
        <w:rPr>
          <w:rFonts w:hint="eastAsia"/>
          <w:color w:val="auto"/>
          <w:highlight w:val="none"/>
          <w:lang w:val="en-US" w:eastAsia="zh-CN"/>
        </w:rPr>
        <w:t>条</w:t>
      </w:r>
      <w:r>
        <w:rPr>
          <w:rFonts w:hint="eastAsia"/>
          <w:color w:val="auto"/>
          <w:highlight w:val="none"/>
        </w:rPr>
        <w:t>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14:paraId="7C4FF7B3">
      <w:pPr>
        <w:spacing w:line="360" w:lineRule="exact"/>
        <w:ind w:firstLine="420" w:firstLineChars="200"/>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14:paraId="51D7D2F6">
      <w:pPr>
        <w:spacing w:line="360" w:lineRule="exact"/>
        <w:ind w:firstLine="420" w:firstLineChars="200"/>
        <w:rPr>
          <w:color w:val="auto"/>
          <w:highlight w:val="none"/>
        </w:rPr>
      </w:pPr>
      <w:r>
        <w:rPr>
          <w:rFonts w:hint="eastAsia"/>
          <w:color w:val="auto"/>
          <w:highlight w:val="none"/>
        </w:rPr>
        <w:t>5</w:t>
      </w:r>
      <w:r>
        <w:rPr>
          <w:color w:val="auto"/>
          <w:highlight w:val="none"/>
        </w:rPr>
        <w:t>.3.3</w:t>
      </w:r>
      <w:r>
        <w:rPr>
          <w:rFonts w:hint="eastAsia"/>
          <w:color w:val="auto"/>
          <w:highlight w:val="none"/>
        </w:rPr>
        <w:t>投标人未</w:t>
      </w:r>
      <w:r>
        <w:rPr>
          <w:rFonts w:hint="eastAsia"/>
          <w:color w:val="auto"/>
          <w:highlight w:val="none"/>
          <w:lang w:val="en-US" w:eastAsia="zh-CN"/>
        </w:rPr>
        <w:t>在开标</w:t>
      </w:r>
      <w:r>
        <w:rPr>
          <w:rFonts w:hint="eastAsia"/>
          <w:color w:val="auto"/>
          <w:highlight w:val="none"/>
        </w:rPr>
        <w:t>现场提出异议，视为异议权利灭失，不可再对开标提出异议。</w:t>
      </w:r>
    </w:p>
    <w:p w14:paraId="438D0F72">
      <w:pPr>
        <w:pStyle w:val="25"/>
        <w:spacing w:line="360" w:lineRule="exact"/>
        <w:rPr>
          <w:color w:val="auto"/>
          <w:highlight w:val="none"/>
        </w:rPr>
      </w:pPr>
      <w:bookmarkStart w:id="241" w:name="_Toc166326876"/>
      <w:bookmarkStart w:id="242" w:name="_Toc256000040"/>
      <w:bookmarkStart w:id="243" w:name="_Toc400530224"/>
      <w:bookmarkStart w:id="244" w:name="_Toc402465011"/>
      <w:r>
        <w:rPr>
          <w:color w:val="auto"/>
          <w:highlight w:val="none"/>
        </w:rPr>
        <w:t>5.</w:t>
      </w:r>
      <w:r>
        <w:rPr>
          <w:rFonts w:hint="eastAsia"/>
          <w:color w:val="auto"/>
          <w:highlight w:val="none"/>
        </w:rPr>
        <w:t xml:space="preserve">4 </w:t>
      </w:r>
      <w:r>
        <w:rPr>
          <w:color w:val="auto"/>
          <w:highlight w:val="none"/>
        </w:rPr>
        <w:t>特殊情况的处置</w:t>
      </w:r>
      <w:bookmarkEnd w:id="241"/>
      <w:bookmarkEnd w:id="242"/>
    </w:p>
    <w:p w14:paraId="210DD275">
      <w:pPr>
        <w:spacing w:line="360" w:lineRule="exact"/>
        <w:ind w:firstLine="420" w:firstLineChars="200"/>
        <w:rPr>
          <w:color w:val="auto"/>
          <w:highlight w:val="none"/>
        </w:rPr>
      </w:pPr>
      <w:r>
        <w:rPr>
          <w:rFonts w:hint="eastAsia"/>
          <w:color w:val="auto"/>
          <w:highlight w:val="none"/>
        </w:rPr>
        <w:t>5.4.1</w:t>
      </w:r>
      <w:r>
        <w:rPr>
          <w:color w:val="auto"/>
          <w:highlight w:val="none"/>
        </w:rPr>
        <w:t>因</w:t>
      </w:r>
      <w:r>
        <w:rPr>
          <w:rFonts w:hint="eastAsia"/>
          <w:bCs/>
          <w:iCs/>
          <w:color w:val="auto"/>
          <w:highlight w:val="none"/>
        </w:rPr>
        <w:t>电</w:t>
      </w:r>
      <w:r>
        <w:rPr>
          <w:rFonts w:hint="eastAsia"/>
          <w:color w:val="auto"/>
          <w:highlight w:val="none"/>
        </w:rPr>
        <w:t>子招标投标系统（辽宁省工程建设项目数字化开标评标系统）故障</w:t>
      </w:r>
      <w:r>
        <w:rPr>
          <w:color w:val="auto"/>
          <w:highlight w:val="none"/>
        </w:rPr>
        <w:t>导致</w:t>
      </w:r>
      <w:r>
        <w:rPr>
          <w:rFonts w:hint="eastAsia"/>
          <w:color w:val="auto"/>
          <w:highlight w:val="none"/>
        </w:rPr>
        <w:t>无法投标的，管理部门及时通知招标人，招标人视情况决定是否顺延投标截止时间。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14:paraId="1FA62A74">
      <w:pPr>
        <w:spacing w:line="360" w:lineRule="exact"/>
        <w:ind w:firstLine="420" w:firstLineChars="200"/>
        <w:rPr>
          <w:color w:val="auto"/>
          <w:highlight w:val="none"/>
        </w:rPr>
      </w:pPr>
      <w:r>
        <w:rPr>
          <w:rFonts w:hint="eastAsia"/>
          <w:color w:val="auto"/>
          <w:highlight w:val="none"/>
        </w:rPr>
        <w:t>5.4.2</w:t>
      </w:r>
      <w:r>
        <w:rPr>
          <w:color w:val="auto"/>
          <w:highlight w:val="none"/>
        </w:rPr>
        <w:t>因</w:t>
      </w:r>
      <w:r>
        <w:rPr>
          <w:rFonts w:hint="eastAsia"/>
          <w:color w:val="auto"/>
          <w:highlight w:val="none"/>
        </w:rPr>
        <w:t>电子招标投标系统（辽宁省工程建设项目数字化开标评标系统）故障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14:paraId="2D9E669C">
      <w:pPr>
        <w:spacing w:line="360" w:lineRule="exact"/>
        <w:ind w:firstLine="420" w:firstLineChars="200"/>
        <w:rPr>
          <w:color w:val="auto"/>
          <w:highlight w:val="none"/>
        </w:rPr>
      </w:pPr>
      <w:r>
        <w:rPr>
          <w:rFonts w:hint="eastAsia"/>
          <w:color w:val="auto"/>
          <w:highlight w:val="none"/>
        </w:rPr>
        <w:t>电子招标投标系统（辽宁省工程建设项目数字化开标评标系统）</w:t>
      </w:r>
      <w:r>
        <w:rPr>
          <w:rFonts w:hint="eastAsia"/>
          <w:bCs/>
          <w:color w:val="auto"/>
          <w:highlight w:val="none"/>
        </w:rPr>
        <w:t>技术服务单位将立即启动应急响应机制，积极排查系统故障，解决问题。</w:t>
      </w:r>
    </w:p>
    <w:p w14:paraId="2D068940">
      <w:pPr>
        <w:spacing w:line="360" w:lineRule="exact"/>
        <w:ind w:firstLine="420" w:firstLineChars="200"/>
        <w:rPr>
          <w:color w:val="auto"/>
          <w:highlight w:val="none"/>
        </w:rPr>
      </w:pPr>
      <w:r>
        <w:rPr>
          <w:rFonts w:hint="eastAsia"/>
          <w:color w:val="auto"/>
          <w:highlight w:val="none"/>
        </w:rPr>
        <w:t>5.4.3 电子招标投标系统（辽宁省工程建设项目数字化开标评标系统）故障是指下列情形：</w:t>
      </w:r>
    </w:p>
    <w:p w14:paraId="5B214BC6">
      <w:pPr>
        <w:spacing w:line="360" w:lineRule="exact"/>
        <w:ind w:firstLine="420" w:firstLineChars="200"/>
        <w:rPr>
          <w:color w:val="auto"/>
          <w:highlight w:val="none"/>
        </w:rPr>
      </w:pPr>
      <w:r>
        <w:rPr>
          <w:color w:val="auto"/>
          <w:highlight w:val="none"/>
        </w:rPr>
        <w:t>（1）系统服务器发生故障，无法访问或无法使用系统；</w:t>
      </w:r>
    </w:p>
    <w:p w14:paraId="068E1DDF">
      <w:pPr>
        <w:spacing w:line="360" w:lineRule="exact"/>
        <w:ind w:firstLine="420" w:firstLineChars="200"/>
        <w:rPr>
          <w:color w:val="auto"/>
          <w:highlight w:val="none"/>
        </w:rPr>
      </w:pPr>
      <w:r>
        <w:rPr>
          <w:color w:val="auto"/>
          <w:highlight w:val="none"/>
        </w:rPr>
        <w:t>（2）系统的软件或数据库出现错误，不能进行正常操作；</w:t>
      </w:r>
    </w:p>
    <w:p w14:paraId="3C8D7EA4">
      <w:pPr>
        <w:spacing w:line="360" w:lineRule="exact"/>
        <w:ind w:firstLine="420" w:firstLineChars="200"/>
        <w:rPr>
          <w:color w:val="auto"/>
          <w:highlight w:val="none"/>
        </w:rPr>
      </w:pPr>
      <w:r>
        <w:rPr>
          <w:color w:val="auto"/>
          <w:highlight w:val="none"/>
        </w:rPr>
        <w:t>（3）系统发现有安全漏洞，有潜在的泄密危险；</w:t>
      </w:r>
    </w:p>
    <w:p w14:paraId="6CCF8730">
      <w:pPr>
        <w:spacing w:line="360" w:lineRule="exact"/>
        <w:ind w:firstLine="420" w:firstLineChars="200"/>
        <w:rPr>
          <w:color w:val="auto"/>
          <w:highlight w:val="none"/>
        </w:rPr>
      </w:pPr>
      <w:r>
        <w:rPr>
          <w:rFonts w:hint="eastAsia"/>
          <w:color w:val="auto"/>
          <w:highlight w:val="none"/>
        </w:rPr>
        <w:t>（4）系统出现网络攻击；</w:t>
      </w:r>
    </w:p>
    <w:p w14:paraId="65F6D306">
      <w:pPr>
        <w:spacing w:line="36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）出现断电、断网事故；</w:t>
      </w:r>
    </w:p>
    <w:p w14:paraId="4B5C042A">
      <w:pPr>
        <w:spacing w:line="360" w:lineRule="exact"/>
        <w:ind w:firstLine="420" w:firstLineChars="200"/>
        <w:rPr>
          <w:color w:val="auto"/>
          <w:highlight w:val="none"/>
        </w:rPr>
      </w:pPr>
      <w:r>
        <w:rPr>
          <w:rFonts w:hint="eastAsia"/>
          <w:color w:val="auto"/>
          <w:highlight w:val="none"/>
        </w:rPr>
        <w:t>（6）出现法定不可抗力因素；</w:t>
      </w:r>
    </w:p>
    <w:p w14:paraId="096EDC4B">
      <w:pPr>
        <w:spacing w:line="360" w:lineRule="exact"/>
        <w:ind w:firstLine="420" w:firstLineChars="200"/>
        <w:rPr>
          <w:color w:val="auto"/>
          <w:highlight w:val="none"/>
        </w:rPr>
      </w:pPr>
      <w:r>
        <w:rPr>
          <w:color w:val="auto"/>
          <w:highlight w:val="none"/>
        </w:rPr>
        <w:t>（7）其他无法保证招投标过程</w:t>
      </w:r>
      <w:r>
        <w:rPr>
          <w:rFonts w:hint="eastAsia"/>
          <w:color w:val="auto"/>
          <w:highlight w:val="none"/>
        </w:rPr>
        <w:t>正常进行</w:t>
      </w:r>
      <w:r>
        <w:rPr>
          <w:color w:val="auto"/>
          <w:highlight w:val="none"/>
        </w:rPr>
        <w:t>的情形。</w:t>
      </w:r>
      <w:bookmarkEnd w:id="243"/>
      <w:bookmarkEnd w:id="244"/>
    </w:p>
    <w:p w14:paraId="40D3BC49">
      <w:pPr>
        <w:pStyle w:val="23"/>
        <w:spacing w:line="360" w:lineRule="exact"/>
        <w:rPr>
          <w:color w:val="auto"/>
          <w:highlight w:val="none"/>
        </w:rPr>
      </w:pPr>
      <w:bookmarkStart w:id="245" w:name="_Toc166326877"/>
      <w:bookmarkStart w:id="246" w:name="_Toc152045562"/>
      <w:bookmarkStart w:id="247" w:name="_Toc256000041"/>
      <w:bookmarkStart w:id="248" w:name="_Toc144974530"/>
      <w:bookmarkStart w:id="249" w:name="_Toc179632580"/>
      <w:bookmarkStart w:id="250" w:name="_Toc152042338"/>
      <w:r>
        <w:rPr>
          <w:rFonts w:hint="eastAsia"/>
          <w:color w:val="auto"/>
          <w:highlight w:val="none"/>
        </w:rPr>
        <w:t>6. 评标</w:t>
      </w:r>
      <w:bookmarkEnd w:id="245"/>
      <w:bookmarkEnd w:id="246"/>
      <w:bookmarkEnd w:id="247"/>
      <w:bookmarkEnd w:id="248"/>
      <w:bookmarkEnd w:id="249"/>
      <w:bookmarkEnd w:id="250"/>
    </w:p>
    <w:p w14:paraId="394DA8DB">
      <w:pPr>
        <w:pStyle w:val="25"/>
        <w:spacing w:line="360" w:lineRule="exact"/>
        <w:rPr>
          <w:color w:val="auto"/>
          <w:highlight w:val="none"/>
        </w:rPr>
      </w:pPr>
      <w:bookmarkStart w:id="251" w:name="_Toc152045563"/>
      <w:bookmarkStart w:id="252" w:name="_Toc152042339"/>
      <w:bookmarkStart w:id="253" w:name="_Toc179632581"/>
      <w:bookmarkStart w:id="254" w:name="_Toc144974531"/>
      <w:bookmarkStart w:id="255" w:name="_Toc256000042"/>
      <w:bookmarkStart w:id="256" w:name="_Toc166326878"/>
      <w:r>
        <w:rPr>
          <w:rFonts w:hint="eastAsia"/>
          <w:color w:val="auto"/>
          <w:highlight w:val="none"/>
        </w:rPr>
        <w:t>6.1 评标委员会</w:t>
      </w:r>
      <w:bookmarkEnd w:id="251"/>
      <w:bookmarkEnd w:id="252"/>
      <w:bookmarkEnd w:id="253"/>
      <w:bookmarkEnd w:id="254"/>
      <w:bookmarkEnd w:id="255"/>
      <w:bookmarkEnd w:id="256"/>
    </w:p>
    <w:p w14:paraId="6E28B9DF">
      <w:pPr>
        <w:spacing w:line="36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C9F6F46">
      <w:pPr>
        <w:spacing w:line="360" w:lineRule="exact"/>
        <w:ind w:firstLine="420" w:firstLineChars="200"/>
        <w:rPr>
          <w:color w:val="auto"/>
          <w:highlight w:val="none"/>
        </w:rPr>
      </w:pPr>
      <w:r>
        <w:rPr>
          <w:rFonts w:hint="eastAsia"/>
          <w:color w:val="auto"/>
          <w:highlight w:val="none"/>
        </w:rPr>
        <w:t>6.1.2 评标委员会成员有下列情形之一的，应当回避：</w:t>
      </w:r>
    </w:p>
    <w:p w14:paraId="1AB98257">
      <w:pPr>
        <w:spacing w:line="360" w:lineRule="exact"/>
        <w:ind w:firstLine="420" w:firstLineChars="200"/>
        <w:rPr>
          <w:color w:val="auto"/>
          <w:highlight w:val="none"/>
        </w:rPr>
      </w:pPr>
      <w:r>
        <w:rPr>
          <w:rFonts w:hint="eastAsia"/>
          <w:color w:val="auto"/>
          <w:highlight w:val="none"/>
        </w:rPr>
        <w:t>（1）投标人或投标人的主要负责人的近亲属；</w:t>
      </w:r>
    </w:p>
    <w:p w14:paraId="7BDDCD0E">
      <w:pPr>
        <w:spacing w:line="360" w:lineRule="exact"/>
        <w:ind w:firstLine="420" w:firstLineChars="200"/>
        <w:rPr>
          <w:color w:val="auto"/>
          <w:highlight w:val="none"/>
        </w:rPr>
      </w:pPr>
      <w:r>
        <w:rPr>
          <w:rFonts w:hint="eastAsia"/>
          <w:color w:val="auto"/>
          <w:highlight w:val="none"/>
        </w:rPr>
        <w:t>（2）项目主管部门或者行政监督部门的人员；</w:t>
      </w:r>
    </w:p>
    <w:p w14:paraId="08DFFB97">
      <w:pPr>
        <w:spacing w:line="360" w:lineRule="exact"/>
        <w:ind w:firstLine="420" w:firstLineChars="200"/>
        <w:rPr>
          <w:color w:val="auto"/>
          <w:highlight w:val="none"/>
        </w:rPr>
      </w:pPr>
      <w:r>
        <w:rPr>
          <w:rFonts w:hint="eastAsia"/>
          <w:color w:val="auto"/>
          <w:highlight w:val="none"/>
        </w:rPr>
        <w:t>（3）与投标人有经济利益关系或其他利害关系，可能影响对投标公正评审的；</w:t>
      </w:r>
    </w:p>
    <w:p w14:paraId="58152AC5">
      <w:pPr>
        <w:spacing w:line="360" w:lineRule="exact"/>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0C4E0F91">
      <w:pPr>
        <w:pStyle w:val="25"/>
        <w:tabs>
          <w:tab w:val="left" w:pos="2620"/>
        </w:tabs>
        <w:spacing w:line="360" w:lineRule="exact"/>
        <w:rPr>
          <w:color w:val="auto"/>
          <w:highlight w:val="none"/>
        </w:rPr>
      </w:pPr>
      <w:bookmarkStart w:id="257" w:name="_Toc166326879"/>
      <w:bookmarkStart w:id="258" w:name="_Toc152042340"/>
      <w:bookmarkStart w:id="259" w:name="_Toc179632582"/>
      <w:bookmarkStart w:id="260" w:name="_Toc152045564"/>
      <w:bookmarkStart w:id="261" w:name="_Toc144974532"/>
      <w:bookmarkStart w:id="262" w:name="_Toc256000043"/>
      <w:r>
        <w:rPr>
          <w:rFonts w:hint="eastAsia"/>
          <w:color w:val="auto"/>
          <w:highlight w:val="none"/>
        </w:rPr>
        <w:t>6.2 评标原则</w:t>
      </w:r>
      <w:bookmarkEnd w:id="257"/>
      <w:bookmarkEnd w:id="258"/>
      <w:bookmarkEnd w:id="259"/>
      <w:bookmarkEnd w:id="260"/>
      <w:bookmarkEnd w:id="261"/>
      <w:bookmarkEnd w:id="262"/>
      <w:r>
        <w:rPr>
          <w:color w:val="auto"/>
          <w:highlight w:val="none"/>
        </w:rPr>
        <w:tab/>
      </w:r>
    </w:p>
    <w:p w14:paraId="524AD28A">
      <w:pPr>
        <w:spacing w:line="360" w:lineRule="exact"/>
        <w:ind w:firstLine="420" w:firstLineChars="200"/>
        <w:rPr>
          <w:color w:val="auto"/>
          <w:highlight w:val="none"/>
        </w:rPr>
      </w:pPr>
      <w:r>
        <w:rPr>
          <w:rFonts w:hint="eastAsia"/>
          <w:color w:val="auto"/>
          <w:highlight w:val="none"/>
        </w:rPr>
        <w:t>评标活动遵循公平、公正、科学和择优的原则。</w:t>
      </w:r>
    </w:p>
    <w:p w14:paraId="121693B2">
      <w:pPr>
        <w:pStyle w:val="25"/>
        <w:spacing w:line="360" w:lineRule="exact"/>
        <w:rPr>
          <w:color w:val="auto"/>
          <w:highlight w:val="none"/>
        </w:rPr>
      </w:pPr>
      <w:bookmarkStart w:id="263" w:name="_Toc179632583"/>
      <w:bookmarkStart w:id="264" w:name="_Toc152042341"/>
      <w:bookmarkStart w:id="265" w:name="_Toc152045565"/>
      <w:bookmarkStart w:id="266" w:name="_Toc166326880"/>
      <w:bookmarkStart w:id="267" w:name="_Toc144974533"/>
      <w:bookmarkStart w:id="268" w:name="_Toc256000044"/>
      <w:r>
        <w:rPr>
          <w:rFonts w:hint="eastAsia"/>
          <w:color w:val="auto"/>
          <w:highlight w:val="none"/>
        </w:rPr>
        <w:t>6.3 评标</w:t>
      </w:r>
      <w:bookmarkEnd w:id="263"/>
      <w:bookmarkEnd w:id="264"/>
      <w:bookmarkEnd w:id="265"/>
      <w:bookmarkEnd w:id="266"/>
      <w:bookmarkEnd w:id="267"/>
      <w:bookmarkEnd w:id="268"/>
    </w:p>
    <w:p w14:paraId="283BC2D8">
      <w:pPr>
        <w:spacing w:line="36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08BD096E">
      <w:pPr>
        <w:spacing w:line="360" w:lineRule="exact"/>
        <w:ind w:firstLine="420" w:firstLineChars="200"/>
        <w:rPr>
          <w:color w:val="auto"/>
          <w:highlight w:val="none"/>
        </w:rPr>
      </w:pPr>
      <w:r>
        <w:rPr>
          <w:rFonts w:hint="eastAsia"/>
          <w:color w:val="auto"/>
          <w:highlight w:val="none"/>
        </w:rPr>
        <w:t>评标采用方式详见投标人须知前附表。</w:t>
      </w:r>
    </w:p>
    <w:p w14:paraId="6CF3CAD0">
      <w:pPr>
        <w:pStyle w:val="25"/>
        <w:spacing w:line="360" w:lineRule="exact"/>
        <w:rPr>
          <w:color w:val="auto"/>
          <w:highlight w:val="none"/>
        </w:rPr>
      </w:pPr>
      <w:bookmarkStart w:id="269" w:name="_Toc256000045"/>
      <w:bookmarkStart w:id="270" w:name="_Toc166326881"/>
      <w:bookmarkStart w:id="271" w:name="_Toc426495249"/>
      <w:r>
        <w:rPr>
          <w:rFonts w:hint="eastAsia"/>
          <w:color w:val="auto"/>
          <w:highlight w:val="none"/>
        </w:rPr>
        <w:t>6.4 评标结果公示</w:t>
      </w:r>
      <w:bookmarkEnd w:id="269"/>
      <w:bookmarkEnd w:id="270"/>
      <w:bookmarkEnd w:id="271"/>
    </w:p>
    <w:p w14:paraId="09A87D58">
      <w:pPr>
        <w:spacing w:line="360" w:lineRule="exact"/>
        <w:ind w:firstLine="420" w:firstLineChars="200"/>
        <w:rPr>
          <w:color w:val="auto"/>
          <w:highlight w:val="none"/>
        </w:rPr>
      </w:pPr>
      <w:bookmarkStart w:id="272" w:name="_Hlk166315849"/>
      <w:r>
        <w:rPr>
          <w:rFonts w:hint="eastAsia"/>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2E89426B">
      <w:pPr>
        <w:spacing w:line="360" w:lineRule="exact"/>
        <w:ind w:firstLine="420" w:firstLineChars="200"/>
        <w:rPr>
          <w:color w:val="auto"/>
          <w:highlight w:val="none"/>
        </w:rPr>
      </w:pPr>
      <w:r>
        <w:rPr>
          <w:rFonts w:hint="eastAsia"/>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异议与答复应通过电子招标投标系统（辽宁省工程建设项目招标投标异议投诉处理系统）以书面形式进行。</w:t>
      </w:r>
    </w:p>
    <w:bookmarkEnd w:id="272"/>
    <w:p w14:paraId="43FF1E59">
      <w:pPr>
        <w:pStyle w:val="25"/>
        <w:spacing w:line="360" w:lineRule="exact"/>
        <w:rPr>
          <w:color w:val="auto"/>
          <w:highlight w:val="none"/>
        </w:rPr>
      </w:pPr>
      <w:bookmarkStart w:id="273" w:name="_Toc426495250"/>
      <w:bookmarkStart w:id="274" w:name="_Toc166326882"/>
      <w:bookmarkStart w:id="275" w:name="_Toc256000046"/>
      <w:bookmarkStart w:id="276" w:name="_Hlk162095977"/>
      <w:r>
        <w:rPr>
          <w:rFonts w:hint="eastAsia"/>
          <w:color w:val="auto"/>
          <w:highlight w:val="none"/>
        </w:rPr>
        <w:t>6</w:t>
      </w:r>
      <w:r>
        <w:rPr>
          <w:color w:val="auto"/>
          <w:highlight w:val="none"/>
        </w:rPr>
        <w:t>.</w:t>
      </w:r>
      <w:r>
        <w:rPr>
          <w:rFonts w:hint="eastAsia"/>
          <w:color w:val="auto"/>
          <w:highlight w:val="none"/>
        </w:rPr>
        <w:t>5</w:t>
      </w:r>
      <w:r>
        <w:rPr>
          <w:color w:val="auto"/>
          <w:highlight w:val="none"/>
        </w:rPr>
        <w:t xml:space="preserve"> </w:t>
      </w:r>
      <w:r>
        <w:rPr>
          <w:rFonts w:hint="eastAsia"/>
          <w:color w:val="auto"/>
          <w:highlight w:val="none"/>
        </w:rPr>
        <w:t>履约能力的</w:t>
      </w:r>
      <w:bookmarkStart w:id="277" w:name="_Hlk165124918"/>
      <w:r>
        <w:rPr>
          <w:rFonts w:hint="eastAsia"/>
          <w:color w:val="auto"/>
          <w:highlight w:val="none"/>
        </w:rPr>
        <w:t>核查</w:t>
      </w:r>
      <w:bookmarkEnd w:id="277"/>
      <w:r>
        <w:rPr>
          <w:rFonts w:hint="eastAsia"/>
          <w:color w:val="auto"/>
          <w:highlight w:val="none"/>
        </w:rPr>
        <w:t>（如有）</w:t>
      </w:r>
      <w:bookmarkEnd w:id="273"/>
      <w:bookmarkEnd w:id="274"/>
      <w:bookmarkEnd w:id="275"/>
    </w:p>
    <w:p w14:paraId="0CEB9143">
      <w:pPr>
        <w:spacing w:line="360" w:lineRule="exact"/>
        <w:ind w:firstLine="420" w:firstLineChars="200"/>
        <w:rPr>
          <w:color w:val="auto"/>
          <w:highlight w:val="none"/>
        </w:rPr>
      </w:pPr>
      <w:r>
        <w:rPr>
          <w:rFonts w:hint="eastAsia"/>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78" w:name="_Hlk164708770"/>
      <w:r>
        <w:rPr>
          <w:rFonts w:hint="eastAsia"/>
          <w:color w:val="auto"/>
          <w:highlight w:val="none"/>
        </w:rPr>
        <w:t>核查</w:t>
      </w:r>
      <w:bookmarkEnd w:id="278"/>
      <w:r>
        <w:rPr>
          <w:rFonts w:hint="eastAsia"/>
          <w:color w:val="auto"/>
          <w:highlight w:val="none"/>
        </w:rPr>
        <w:t>确认。</w:t>
      </w:r>
    </w:p>
    <w:bookmarkEnd w:id="276"/>
    <w:p w14:paraId="314BC0D4">
      <w:pPr>
        <w:pStyle w:val="23"/>
        <w:spacing w:line="360" w:lineRule="exact"/>
        <w:rPr>
          <w:color w:val="auto"/>
          <w:highlight w:val="none"/>
        </w:rPr>
      </w:pPr>
      <w:bookmarkStart w:id="279" w:name="_Toc152042342"/>
      <w:bookmarkStart w:id="280" w:name="_Toc166326883"/>
      <w:bookmarkStart w:id="281" w:name="_Toc144974534"/>
      <w:bookmarkStart w:id="282" w:name="_Toc152045566"/>
      <w:bookmarkStart w:id="283" w:name="_Toc179632584"/>
      <w:bookmarkStart w:id="284" w:name="_Toc256000047"/>
      <w:r>
        <w:rPr>
          <w:rFonts w:hint="eastAsia"/>
          <w:color w:val="auto"/>
          <w:highlight w:val="none"/>
        </w:rPr>
        <w:t>7. 合同授予</w:t>
      </w:r>
      <w:bookmarkEnd w:id="279"/>
      <w:bookmarkEnd w:id="280"/>
      <w:bookmarkEnd w:id="281"/>
      <w:bookmarkEnd w:id="282"/>
      <w:bookmarkEnd w:id="283"/>
      <w:bookmarkEnd w:id="284"/>
    </w:p>
    <w:p w14:paraId="10522EED">
      <w:pPr>
        <w:pStyle w:val="25"/>
        <w:spacing w:line="360" w:lineRule="exact"/>
        <w:rPr>
          <w:color w:val="auto"/>
          <w:highlight w:val="none"/>
        </w:rPr>
      </w:pPr>
      <w:bookmarkStart w:id="285" w:name="_Toc166326884"/>
      <w:bookmarkStart w:id="286" w:name="_Toc152045567"/>
      <w:bookmarkStart w:id="287" w:name="_Toc179632585"/>
      <w:bookmarkStart w:id="288" w:name="_Toc144974535"/>
      <w:bookmarkStart w:id="289" w:name="_Toc256000048"/>
      <w:bookmarkStart w:id="290" w:name="_Toc152042343"/>
      <w:r>
        <w:rPr>
          <w:rFonts w:hint="eastAsia"/>
          <w:color w:val="auto"/>
          <w:highlight w:val="none"/>
        </w:rPr>
        <w:t>7.1 定标方式</w:t>
      </w:r>
      <w:bookmarkEnd w:id="285"/>
      <w:bookmarkEnd w:id="286"/>
      <w:bookmarkEnd w:id="287"/>
      <w:bookmarkEnd w:id="288"/>
      <w:bookmarkEnd w:id="289"/>
      <w:bookmarkEnd w:id="290"/>
    </w:p>
    <w:p w14:paraId="61F98717">
      <w:pPr>
        <w:spacing w:line="360" w:lineRule="exact"/>
        <w:ind w:firstLine="420" w:firstLineChars="200"/>
        <w:rPr>
          <w:color w:val="auto"/>
          <w:highlight w:val="none"/>
        </w:rPr>
      </w:pPr>
      <w:bookmarkStart w:id="291"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92" w:name="_Hlk166315975"/>
      <w:r>
        <w:rPr>
          <w:rFonts w:hint="eastAsia"/>
          <w:color w:val="auto"/>
          <w:highlight w:val="none"/>
        </w:rPr>
        <w:t>评标委员会推荐中标候选人的人数见投标人须知前附表。</w:t>
      </w:r>
      <w:bookmarkEnd w:id="291"/>
      <w:bookmarkEnd w:id="292"/>
    </w:p>
    <w:p w14:paraId="79643B13">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93"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93"/>
    </w:p>
    <w:p w14:paraId="29A3E978">
      <w:pPr>
        <w:pStyle w:val="25"/>
        <w:spacing w:line="360" w:lineRule="exact"/>
        <w:rPr>
          <w:color w:val="auto"/>
          <w:highlight w:val="none"/>
        </w:rPr>
      </w:pPr>
      <w:bookmarkStart w:id="294" w:name="_Toc152042344"/>
      <w:bookmarkStart w:id="295" w:name="_Toc256000049"/>
      <w:bookmarkStart w:id="296" w:name="_Toc166326885"/>
      <w:bookmarkStart w:id="297" w:name="_Toc144974536"/>
      <w:bookmarkStart w:id="298" w:name="_Toc152045568"/>
      <w:bookmarkStart w:id="299" w:name="_Toc179632586"/>
      <w:r>
        <w:rPr>
          <w:rFonts w:hint="eastAsia"/>
          <w:color w:val="auto"/>
          <w:highlight w:val="none"/>
        </w:rPr>
        <w:t>7.2 中标通知</w:t>
      </w:r>
      <w:bookmarkEnd w:id="294"/>
      <w:bookmarkEnd w:id="295"/>
      <w:bookmarkEnd w:id="296"/>
      <w:bookmarkEnd w:id="297"/>
      <w:bookmarkEnd w:id="298"/>
      <w:bookmarkEnd w:id="299"/>
    </w:p>
    <w:p w14:paraId="03E82586">
      <w:pPr>
        <w:spacing w:line="360" w:lineRule="exact"/>
        <w:ind w:firstLine="420" w:firstLineChars="200"/>
        <w:rPr>
          <w:color w:val="auto"/>
          <w:highlight w:val="none"/>
        </w:rPr>
      </w:pPr>
      <w:r>
        <w:rPr>
          <w:rFonts w:hint="eastAsia"/>
          <w:color w:val="auto"/>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088B3C22">
      <w:pPr>
        <w:spacing w:line="360" w:lineRule="exact"/>
        <w:ind w:firstLine="420" w:firstLineChars="200"/>
        <w:rPr>
          <w:color w:val="auto"/>
          <w:highlight w:val="none"/>
        </w:rPr>
      </w:pPr>
      <w:r>
        <w:rPr>
          <w:rFonts w:hint="eastAsia"/>
          <w:color w:val="auto"/>
          <w:highlight w:val="none"/>
        </w:rPr>
        <w:t>中标通知书发出的同时，招标人将在投标人须知前附表第6.4款规定的媒介发布中标结果公示。</w:t>
      </w:r>
    </w:p>
    <w:p w14:paraId="794E5FF4">
      <w:pPr>
        <w:pStyle w:val="25"/>
        <w:spacing w:line="360" w:lineRule="exact"/>
        <w:rPr>
          <w:color w:val="auto"/>
          <w:highlight w:val="none"/>
        </w:rPr>
      </w:pPr>
      <w:bookmarkStart w:id="300" w:name="_Toc144974537"/>
      <w:bookmarkStart w:id="301" w:name="_Toc179632587"/>
      <w:bookmarkStart w:id="302" w:name="_Toc152045569"/>
      <w:bookmarkStart w:id="303" w:name="_Toc152042345"/>
      <w:bookmarkStart w:id="304" w:name="_Toc166326886"/>
      <w:bookmarkStart w:id="305" w:name="_Toc256000050"/>
      <w:r>
        <w:rPr>
          <w:rFonts w:hint="eastAsia"/>
          <w:color w:val="auto"/>
          <w:highlight w:val="none"/>
        </w:rPr>
        <w:t>7.3 履约</w:t>
      </w:r>
      <w:bookmarkEnd w:id="300"/>
      <w:bookmarkEnd w:id="301"/>
      <w:bookmarkEnd w:id="302"/>
      <w:bookmarkEnd w:id="303"/>
      <w:r>
        <w:rPr>
          <w:rFonts w:hint="eastAsia"/>
          <w:color w:val="auto"/>
          <w:highlight w:val="none"/>
        </w:rPr>
        <w:t>保证金</w:t>
      </w:r>
      <w:bookmarkEnd w:id="304"/>
      <w:bookmarkEnd w:id="305"/>
    </w:p>
    <w:p w14:paraId="5823CD4E">
      <w:pPr>
        <w:spacing w:line="360" w:lineRule="exact"/>
        <w:ind w:firstLine="420" w:firstLineChars="200"/>
        <w:rPr>
          <w:color w:val="auto"/>
          <w:highlight w:val="none"/>
        </w:rPr>
      </w:pPr>
      <w:r>
        <w:rPr>
          <w:rFonts w:hint="eastAsia"/>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2A391486">
      <w:pPr>
        <w:spacing w:line="360" w:lineRule="exact"/>
        <w:ind w:firstLine="420" w:firstLineChars="200"/>
        <w:rPr>
          <w:color w:val="auto"/>
          <w:highlight w:val="none"/>
        </w:rPr>
      </w:pPr>
      <w:r>
        <w:rPr>
          <w:rFonts w:hint="eastAsia"/>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5773338B">
      <w:pPr>
        <w:pStyle w:val="25"/>
        <w:spacing w:line="360" w:lineRule="exact"/>
        <w:rPr>
          <w:color w:val="auto"/>
          <w:highlight w:val="none"/>
        </w:rPr>
      </w:pPr>
      <w:bookmarkStart w:id="306" w:name="_Toc144974538"/>
      <w:bookmarkStart w:id="307" w:name="_Toc152042346"/>
      <w:bookmarkStart w:id="308" w:name="_Toc256000051"/>
      <w:bookmarkStart w:id="309" w:name="_Toc166326887"/>
      <w:bookmarkStart w:id="310" w:name="_Toc179632588"/>
      <w:bookmarkStart w:id="311" w:name="_Toc152045570"/>
      <w:r>
        <w:rPr>
          <w:rFonts w:hint="eastAsia"/>
          <w:color w:val="auto"/>
          <w:highlight w:val="none"/>
        </w:rPr>
        <w:t>7.4 签订合同</w:t>
      </w:r>
      <w:bookmarkEnd w:id="306"/>
      <w:bookmarkEnd w:id="307"/>
      <w:bookmarkEnd w:id="308"/>
      <w:bookmarkEnd w:id="309"/>
      <w:bookmarkEnd w:id="310"/>
      <w:bookmarkEnd w:id="311"/>
    </w:p>
    <w:p w14:paraId="699D9E0B">
      <w:pPr>
        <w:spacing w:line="360" w:lineRule="exact"/>
        <w:ind w:firstLine="420" w:firstLineChars="200"/>
        <w:rPr>
          <w:color w:val="auto"/>
          <w:highlight w:val="none"/>
        </w:rPr>
      </w:pPr>
      <w:r>
        <w:rPr>
          <w:rFonts w:hint="eastAsia"/>
          <w:color w:val="auto"/>
          <w:highlight w:val="none"/>
        </w:rPr>
        <w:t>7.4.1招标人和中标人应当在投标有效期内并自中标通知书发出之日起30日内，根据招标文件和中标人的投标文件</w:t>
      </w:r>
      <w:r>
        <w:rPr>
          <w:rFonts w:hint="eastAsia" w:ascii="宋体" w:hAnsi="宋体"/>
          <w:color w:val="auto"/>
          <w:szCs w:val="21"/>
          <w:highlight w:val="none"/>
        </w:rPr>
        <w:t>（</w:t>
      </w:r>
      <w:r>
        <w:rPr>
          <w:rFonts w:ascii="宋体" w:hAnsi="宋体"/>
          <w:color w:val="auto"/>
          <w:szCs w:val="21"/>
          <w:highlight w:val="none"/>
        </w:rPr>
        <w:t>以</w:t>
      </w:r>
      <w:r>
        <w:rPr>
          <w:rFonts w:hint="eastAsia" w:ascii="宋体" w:hAnsi="宋体"/>
          <w:color w:val="auto"/>
          <w:szCs w:val="21"/>
          <w:highlight w:val="none"/>
        </w:rPr>
        <w:t>经评标委员会</w:t>
      </w:r>
      <w:r>
        <w:rPr>
          <w:rFonts w:ascii="宋体" w:hAnsi="宋体"/>
          <w:color w:val="auto"/>
          <w:szCs w:val="21"/>
          <w:highlight w:val="none"/>
        </w:rPr>
        <w:t>评审的文件</w:t>
      </w:r>
      <w:r>
        <w:rPr>
          <w:rFonts w:hint="eastAsia" w:ascii="宋体" w:hAnsi="宋体"/>
          <w:color w:val="auto"/>
          <w:szCs w:val="21"/>
          <w:highlight w:val="none"/>
        </w:rPr>
        <w:t>版本</w:t>
      </w:r>
      <w:r>
        <w:rPr>
          <w:rFonts w:ascii="宋体" w:hAnsi="宋体"/>
          <w:color w:val="auto"/>
          <w:szCs w:val="21"/>
          <w:highlight w:val="none"/>
        </w:rPr>
        <w:t>为准）</w:t>
      </w:r>
      <w:r>
        <w:rPr>
          <w:rFonts w:hint="eastAsia"/>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AE17C77">
      <w:pPr>
        <w:spacing w:line="360" w:lineRule="exact"/>
        <w:ind w:firstLine="420" w:firstLineChars="200"/>
        <w:rPr>
          <w:color w:val="auto"/>
          <w:highlight w:val="none"/>
        </w:rPr>
      </w:pPr>
      <w:r>
        <w:rPr>
          <w:rFonts w:hint="eastAsia"/>
          <w:color w:val="auto"/>
          <w:highlight w:val="none"/>
        </w:rPr>
        <w:t xml:space="preserve">7.4.2 发出中标通知书后，招标人无正当理由拒签合同的，招标人向中标人退还投标保证金；给中标人造成损失的，还应当赔偿损失。 </w:t>
      </w:r>
    </w:p>
    <w:p w14:paraId="437602E4">
      <w:pPr>
        <w:spacing w:line="360" w:lineRule="exact"/>
        <w:ind w:firstLine="420" w:firstLineChars="200"/>
        <w:rPr>
          <w:color w:val="auto"/>
          <w:highlight w:val="none"/>
        </w:rPr>
      </w:pPr>
      <w:bookmarkStart w:id="312" w:name="_Hlk162096665"/>
      <w:r>
        <w:rPr>
          <w:color w:val="auto"/>
          <w:highlight w:val="none"/>
        </w:rPr>
        <w:t>7.</w:t>
      </w:r>
      <w:r>
        <w:rPr>
          <w:rFonts w:hint="eastAsia"/>
          <w:color w:val="auto"/>
          <w:highlight w:val="none"/>
        </w:rPr>
        <w:t>4</w:t>
      </w:r>
      <w:r>
        <w:rPr>
          <w:color w:val="auto"/>
          <w:highlight w:val="none"/>
        </w:rPr>
        <w:t>.3 联合体中标的，联合体各方应当共同与招标人签订合同，就中标项目向招标人承担连带责任。</w:t>
      </w:r>
    </w:p>
    <w:bookmarkEnd w:id="312"/>
    <w:p w14:paraId="06EC9942">
      <w:pPr>
        <w:spacing w:line="360" w:lineRule="exact"/>
        <w:ind w:firstLine="420" w:firstLineChars="200"/>
        <w:rPr>
          <w:color w:val="auto"/>
          <w:highlight w:val="none"/>
        </w:rPr>
      </w:pPr>
      <w:r>
        <w:rPr>
          <w:rFonts w:hint="eastAsia"/>
          <w:color w:val="auto"/>
          <w:highlight w:val="none"/>
        </w:rPr>
        <w:t>7.4.4 签约合同价的确定原则如下：</w:t>
      </w:r>
    </w:p>
    <w:p w14:paraId="0481F472">
      <w:pPr>
        <w:spacing w:line="360" w:lineRule="exact"/>
        <w:ind w:firstLine="420" w:firstLineChars="200"/>
        <w:rPr>
          <w:color w:val="auto"/>
          <w:highlight w:val="none"/>
        </w:rPr>
      </w:pPr>
      <w:r>
        <w:rPr>
          <w:rFonts w:hint="eastAsia"/>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1387424F">
      <w:pPr>
        <w:spacing w:line="360" w:lineRule="exact"/>
        <w:ind w:firstLine="420" w:firstLineChars="200"/>
        <w:rPr>
          <w:color w:val="auto"/>
          <w:highlight w:val="none"/>
        </w:rPr>
      </w:pPr>
      <w:r>
        <w:rPr>
          <w:rFonts w:hint="eastAsia"/>
          <w:color w:val="auto"/>
          <w:highlight w:val="none"/>
        </w:rPr>
        <w:t>7.4.5 招标人和中标人应当在中标通知书发出之日起30日内，登录辽宁省工程建设项目合同履约管理系统签订合同并向电子监督系统</w:t>
      </w:r>
      <w:r>
        <w:rPr>
          <w:rFonts w:hint="eastAsia"/>
          <w:color w:val="auto"/>
          <w:highlight w:val="none"/>
          <w:shd w:val="clear" w:color="auto" w:fill="FFFFFF"/>
        </w:rPr>
        <w:t>提交电子合同文件归档</w:t>
      </w:r>
      <w:r>
        <w:rPr>
          <w:rFonts w:hint="eastAsia"/>
          <w:color w:val="auto"/>
          <w:sz w:val="19"/>
          <w:szCs w:val="19"/>
          <w:highlight w:val="none"/>
          <w:shd w:val="clear" w:color="auto" w:fill="FFFFFF"/>
        </w:rPr>
        <w:t>。</w:t>
      </w:r>
      <w:r>
        <w:rPr>
          <w:rFonts w:hint="eastAsia"/>
          <w:color w:val="auto"/>
          <w:highlight w:val="none"/>
        </w:rPr>
        <w:t>按照信息公示规定对合同签订等信息进行公示公开，依法应当保护的商业秘密除外。</w:t>
      </w:r>
    </w:p>
    <w:p w14:paraId="6E2226B2">
      <w:pPr>
        <w:pStyle w:val="23"/>
        <w:spacing w:line="360" w:lineRule="exact"/>
        <w:rPr>
          <w:color w:val="auto"/>
          <w:highlight w:val="none"/>
        </w:rPr>
      </w:pPr>
      <w:bookmarkStart w:id="313" w:name="_Toc144974539"/>
      <w:bookmarkStart w:id="314" w:name="_Toc152045571"/>
      <w:bookmarkStart w:id="315" w:name="_Toc152042347"/>
      <w:bookmarkStart w:id="316" w:name="_Toc179632589"/>
      <w:bookmarkStart w:id="317" w:name="_Toc166326888"/>
      <w:bookmarkStart w:id="318" w:name="_Toc256000052"/>
      <w:r>
        <w:rPr>
          <w:rFonts w:hint="eastAsia"/>
          <w:color w:val="auto"/>
          <w:highlight w:val="none"/>
        </w:rPr>
        <w:t>8. 重新招标、不再招标</w:t>
      </w:r>
      <w:bookmarkEnd w:id="313"/>
      <w:bookmarkEnd w:id="314"/>
      <w:bookmarkEnd w:id="315"/>
      <w:bookmarkEnd w:id="316"/>
      <w:r>
        <w:rPr>
          <w:rFonts w:hint="eastAsia"/>
          <w:color w:val="auto"/>
          <w:highlight w:val="none"/>
        </w:rPr>
        <w:t>和终止招标</w:t>
      </w:r>
      <w:bookmarkEnd w:id="317"/>
      <w:bookmarkEnd w:id="318"/>
    </w:p>
    <w:p w14:paraId="0AFAD6FC">
      <w:pPr>
        <w:pStyle w:val="25"/>
        <w:spacing w:line="360" w:lineRule="exact"/>
        <w:rPr>
          <w:color w:val="auto"/>
          <w:highlight w:val="none"/>
        </w:rPr>
      </w:pPr>
      <w:bookmarkStart w:id="319" w:name="_Toc179632590"/>
      <w:bookmarkStart w:id="320" w:name="_Toc152042348"/>
      <w:bookmarkStart w:id="321" w:name="_Toc152045572"/>
      <w:bookmarkStart w:id="322" w:name="_Toc144974540"/>
      <w:bookmarkStart w:id="323" w:name="_Toc166326889"/>
      <w:bookmarkStart w:id="324" w:name="_Toc256000053"/>
      <w:r>
        <w:rPr>
          <w:rFonts w:hint="eastAsia"/>
          <w:color w:val="auto"/>
          <w:highlight w:val="none"/>
        </w:rPr>
        <w:t>8.1 重新招标</w:t>
      </w:r>
      <w:bookmarkEnd w:id="319"/>
      <w:bookmarkEnd w:id="320"/>
      <w:bookmarkEnd w:id="321"/>
      <w:bookmarkEnd w:id="322"/>
      <w:bookmarkEnd w:id="323"/>
      <w:bookmarkEnd w:id="324"/>
    </w:p>
    <w:p w14:paraId="6E311A67">
      <w:pPr>
        <w:spacing w:line="360" w:lineRule="exact"/>
        <w:ind w:firstLine="359" w:firstLineChars="171"/>
        <w:rPr>
          <w:color w:val="auto"/>
          <w:highlight w:val="none"/>
        </w:rPr>
      </w:pPr>
      <w:r>
        <w:rPr>
          <w:rFonts w:hint="eastAsia"/>
          <w:color w:val="auto"/>
          <w:highlight w:val="none"/>
        </w:rPr>
        <w:t>有下列情形之一的，招标人将重新招标：</w:t>
      </w:r>
    </w:p>
    <w:p w14:paraId="09EFDB9F">
      <w:pPr>
        <w:spacing w:line="360" w:lineRule="exact"/>
        <w:ind w:firstLine="359" w:firstLineChars="171"/>
        <w:rPr>
          <w:color w:val="auto"/>
          <w:highlight w:val="none"/>
        </w:rPr>
      </w:pPr>
      <w:r>
        <w:rPr>
          <w:rFonts w:hint="eastAsia"/>
          <w:color w:val="auto"/>
          <w:highlight w:val="none"/>
        </w:rPr>
        <w:t>（1）投标截止时间止，投标人少于3个的；</w:t>
      </w:r>
    </w:p>
    <w:p w14:paraId="1B69202D">
      <w:pPr>
        <w:spacing w:line="360" w:lineRule="exact"/>
        <w:ind w:firstLine="359" w:firstLineChars="171"/>
        <w:rPr>
          <w:color w:val="auto"/>
          <w:highlight w:val="none"/>
        </w:rPr>
      </w:pPr>
      <w:r>
        <w:rPr>
          <w:rFonts w:hint="eastAsia"/>
          <w:color w:val="auto"/>
          <w:highlight w:val="none"/>
        </w:rPr>
        <w:t>（2）经评标委员会评审后否决所有投标的；</w:t>
      </w:r>
    </w:p>
    <w:p w14:paraId="2B062DB9">
      <w:pPr>
        <w:spacing w:line="360" w:lineRule="exact"/>
        <w:ind w:firstLine="359" w:firstLineChars="171"/>
        <w:rPr>
          <w:color w:val="auto"/>
          <w:highlight w:val="none"/>
        </w:rPr>
      </w:pPr>
      <w:r>
        <w:rPr>
          <w:rFonts w:hint="eastAsia"/>
          <w:color w:val="auto"/>
          <w:highlight w:val="none"/>
        </w:rPr>
        <w:t>（3）第一中标候选人或所有中标候选人存在不同程度的问题，不能签订合同的；</w:t>
      </w:r>
    </w:p>
    <w:p w14:paraId="75F839FE">
      <w:pPr>
        <w:spacing w:line="36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）在投标有效期内同意延长投标有效期的投标人少于三个的；</w:t>
      </w:r>
    </w:p>
    <w:p w14:paraId="6B4D0D17">
      <w:pPr>
        <w:spacing w:line="36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）法律、法规规定的其他情形。</w:t>
      </w:r>
    </w:p>
    <w:p w14:paraId="3EB3E409">
      <w:pPr>
        <w:pStyle w:val="25"/>
        <w:spacing w:line="360" w:lineRule="exact"/>
        <w:rPr>
          <w:color w:val="auto"/>
          <w:highlight w:val="none"/>
        </w:rPr>
      </w:pPr>
      <w:bookmarkStart w:id="325" w:name="_Toc179632591"/>
      <w:bookmarkStart w:id="326" w:name="_Toc152042349"/>
      <w:bookmarkStart w:id="327" w:name="_Toc166326890"/>
      <w:bookmarkStart w:id="328" w:name="_Toc152045573"/>
      <w:bookmarkStart w:id="329" w:name="_Toc256000054"/>
      <w:bookmarkStart w:id="330" w:name="_Toc144974541"/>
      <w:r>
        <w:rPr>
          <w:rFonts w:hint="eastAsia"/>
          <w:color w:val="auto"/>
          <w:highlight w:val="none"/>
        </w:rPr>
        <w:t>8.2 不再招标</w:t>
      </w:r>
      <w:bookmarkEnd w:id="325"/>
      <w:bookmarkEnd w:id="326"/>
      <w:bookmarkEnd w:id="327"/>
      <w:bookmarkEnd w:id="328"/>
      <w:bookmarkEnd w:id="329"/>
      <w:bookmarkEnd w:id="330"/>
    </w:p>
    <w:p w14:paraId="32F24B74">
      <w:pPr>
        <w:spacing w:line="36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1463D046">
      <w:pPr>
        <w:pStyle w:val="25"/>
        <w:spacing w:line="360" w:lineRule="exact"/>
        <w:rPr>
          <w:color w:val="auto"/>
          <w:highlight w:val="none"/>
        </w:rPr>
      </w:pPr>
      <w:bookmarkStart w:id="331" w:name="_Toc166326891"/>
      <w:bookmarkStart w:id="332" w:name="_Toc256000055"/>
      <w:r>
        <w:rPr>
          <w:rFonts w:hint="eastAsia"/>
          <w:color w:val="auto"/>
          <w:highlight w:val="none"/>
        </w:rPr>
        <w:t>8.3 终止招标</w:t>
      </w:r>
      <w:bookmarkEnd w:id="331"/>
      <w:bookmarkEnd w:id="332"/>
    </w:p>
    <w:p w14:paraId="6963D611">
      <w:pPr>
        <w:spacing w:line="360" w:lineRule="exact"/>
        <w:ind w:firstLine="420" w:firstLineChars="200"/>
        <w:rPr>
          <w:color w:val="auto"/>
          <w:highlight w:val="none"/>
        </w:rPr>
      </w:pPr>
      <w:r>
        <w:rPr>
          <w:rFonts w:hint="eastAsia"/>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0F1DE991">
      <w:pPr>
        <w:pStyle w:val="23"/>
        <w:spacing w:line="360" w:lineRule="exact"/>
        <w:rPr>
          <w:color w:val="auto"/>
          <w:highlight w:val="none"/>
        </w:rPr>
      </w:pPr>
      <w:bookmarkStart w:id="333" w:name="_Toc152042350"/>
      <w:bookmarkStart w:id="334" w:name="_Toc144974542"/>
      <w:bookmarkStart w:id="335" w:name="_Toc179632592"/>
      <w:bookmarkStart w:id="336" w:name="_Toc152045574"/>
      <w:bookmarkStart w:id="337" w:name="_Toc256000056"/>
      <w:bookmarkStart w:id="338" w:name="_Toc166326892"/>
      <w:r>
        <w:rPr>
          <w:rFonts w:hint="eastAsia"/>
          <w:color w:val="auto"/>
          <w:highlight w:val="none"/>
        </w:rPr>
        <w:t>9. 纪律和监督</w:t>
      </w:r>
      <w:bookmarkEnd w:id="333"/>
      <w:bookmarkEnd w:id="334"/>
      <w:bookmarkEnd w:id="335"/>
      <w:bookmarkEnd w:id="336"/>
      <w:bookmarkEnd w:id="337"/>
      <w:bookmarkEnd w:id="338"/>
    </w:p>
    <w:p w14:paraId="26CCD530">
      <w:pPr>
        <w:pStyle w:val="25"/>
        <w:spacing w:line="360" w:lineRule="exact"/>
        <w:rPr>
          <w:color w:val="auto"/>
          <w:highlight w:val="none"/>
        </w:rPr>
      </w:pPr>
      <w:bookmarkStart w:id="339" w:name="_Toc179632593"/>
      <w:bookmarkStart w:id="340" w:name="_Toc166326893"/>
      <w:bookmarkStart w:id="341" w:name="_Toc256000057"/>
      <w:bookmarkStart w:id="342" w:name="_Toc152042351"/>
      <w:bookmarkStart w:id="343" w:name="_Toc152045575"/>
      <w:bookmarkStart w:id="344" w:name="_Toc144974543"/>
      <w:r>
        <w:rPr>
          <w:rFonts w:hint="eastAsia"/>
          <w:color w:val="auto"/>
          <w:highlight w:val="none"/>
        </w:rPr>
        <w:t>9.1 对招标人的纪律要求</w:t>
      </w:r>
      <w:bookmarkEnd w:id="339"/>
      <w:bookmarkEnd w:id="340"/>
      <w:bookmarkEnd w:id="341"/>
      <w:bookmarkEnd w:id="342"/>
      <w:bookmarkEnd w:id="343"/>
      <w:bookmarkEnd w:id="344"/>
    </w:p>
    <w:p w14:paraId="1013E6CB">
      <w:pPr>
        <w:spacing w:line="36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14D11B38">
      <w:pPr>
        <w:pStyle w:val="25"/>
        <w:spacing w:line="360" w:lineRule="exact"/>
        <w:rPr>
          <w:color w:val="auto"/>
          <w:highlight w:val="none"/>
        </w:rPr>
      </w:pPr>
      <w:bookmarkStart w:id="345" w:name="_Toc152042352"/>
      <w:bookmarkStart w:id="346" w:name="_Toc166326894"/>
      <w:bookmarkStart w:id="347" w:name="_Toc152045576"/>
      <w:bookmarkStart w:id="348" w:name="_Toc256000058"/>
      <w:bookmarkStart w:id="349" w:name="_Toc144974544"/>
      <w:bookmarkStart w:id="350" w:name="_Toc179632594"/>
      <w:r>
        <w:rPr>
          <w:rFonts w:hint="eastAsia"/>
          <w:color w:val="auto"/>
          <w:highlight w:val="none"/>
        </w:rPr>
        <w:t>9.2 对投标人的纪律要求</w:t>
      </w:r>
      <w:bookmarkEnd w:id="345"/>
      <w:bookmarkEnd w:id="346"/>
      <w:bookmarkEnd w:id="347"/>
      <w:bookmarkEnd w:id="348"/>
      <w:bookmarkEnd w:id="349"/>
      <w:bookmarkEnd w:id="350"/>
    </w:p>
    <w:p w14:paraId="364F1005">
      <w:pPr>
        <w:spacing w:line="36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631714F">
      <w:pPr>
        <w:pStyle w:val="25"/>
        <w:spacing w:line="360" w:lineRule="exact"/>
        <w:rPr>
          <w:color w:val="auto"/>
          <w:highlight w:val="none"/>
        </w:rPr>
      </w:pPr>
      <w:bookmarkStart w:id="351" w:name="_Toc179632595"/>
      <w:bookmarkStart w:id="352" w:name="_Toc152042353"/>
      <w:bookmarkStart w:id="353" w:name="_Toc166326895"/>
      <w:bookmarkStart w:id="354" w:name="_Toc256000059"/>
      <w:bookmarkStart w:id="355" w:name="_Toc152045577"/>
      <w:bookmarkStart w:id="356" w:name="_Toc144974545"/>
      <w:r>
        <w:rPr>
          <w:rFonts w:hint="eastAsia"/>
          <w:color w:val="auto"/>
          <w:highlight w:val="none"/>
        </w:rPr>
        <w:t>9.3 对评标委员会成员的纪律要求</w:t>
      </w:r>
      <w:bookmarkEnd w:id="351"/>
      <w:bookmarkEnd w:id="352"/>
      <w:bookmarkEnd w:id="353"/>
      <w:bookmarkEnd w:id="354"/>
      <w:bookmarkEnd w:id="355"/>
      <w:bookmarkEnd w:id="356"/>
    </w:p>
    <w:p w14:paraId="01F1282E">
      <w:pPr>
        <w:spacing w:line="360" w:lineRule="exact"/>
        <w:ind w:firstLine="420" w:firstLineChars="200"/>
        <w:rPr>
          <w:color w:val="auto"/>
          <w:highlight w:val="none"/>
        </w:rPr>
      </w:pPr>
      <w:r>
        <w:rPr>
          <w:rFonts w:hint="eastAsia"/>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A5E1DD8">
      <w:pPr>
        <w:pStyle w:val="25"/>
        <w:spacing w:line="360" w:lineRule="exact"/>
        <w:rPr>
          <w:color w:val="auto"/>
          <w:highlight w:val="none"/>
        </w:rPr>
      </w:pPr>
      <w:bookmarkStart w:id="357" w:name="_Toc179632596"/>
      <w:bookmarkStart w:id="358" w:name="_Toc256000060"/>
      <w:bookmarkStart w:id="359" w:name="_Toc166326896"/>
      <w:bookmarkStart w:id="360" w:name="_Toc152045578"/>
      <w:bookmarkStart w:id="361" w:name="_Toc152042354"/>
      <w:bookmarkStart w:id="362" w:name="_Toc144974546"/>
      <w:r>
        <w:rPr>
          <w:rFonts w:hint="eastAsia"/>
          <w:color w:val="auto"/>
          <w:highlight w:val="none"/>
        </w:rPr>
        <w:t>9.4 对与评标活动有关的工作人员的纪律要求</w:t>
      </w:r>
      <w:bookmarkEnd w:id="357"/>
      <w:bookmarkEnd w:id="358"/>
      <w:bookmarkEnd w:id="359"/>
      <w:bookmarkEnd w:id="360"/>
      <w:bookmarkEnd w:id="361"/>
    </w:p>
    <w:p w14:paraId="1B465A1F">
      <w:pPr>
        <w:spacing w:line="360" w:lineRule="exact"/>
        <w:ind w:firstLine="420" w:firstLineChars="200"/>
        <w:rPr>
          <w:color w:val="auto"/>
          <w:highlight w:val="none"/>
        </w:rPr>
      </w:pPr>
      <w:bookmarkStart w:id="363"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3"/>
    </w:p>
    <w:p w14:paraId="2D0A7D4E">
      <w:pPr>
        <w:pStyle w:val="25"/>
        <w:spacing w:line="360" w:lineRule="exact"/>
        <w:rPr>
          <w:color w:val="auto"/>
          <w:highlight w:val="none"/>
        </w:rPr>
      </w:pPr>
      <w:bookmarkStart w:id="364" w:name="_Toc256000061"/>
      <w:bookmarkStart w:id="365" w:name="_Toc166326897"/>
      <w:bookmarkStart w:id="366" w:name="_Toc152045579"/>
      <w:bookmarkStart w:id="367" w:name="_Toc179632597"/>
      <w:bookmarkStart w:id="368" w:name="_Toc152042356"/>
      <w:r>
        <w:rPr>
          <w:rFonts w:hint="eastAsia"/>
          <w:color w:val="auto"/>
          <w:highlight w:val="none"/>
        </w:rPr>
        <w:t>9.5 投诉</w:t>
      </w:r>
      <w:bookmarkEnd w:id="362"/>
      <w:bookmarkEnd w:id="364"/>
      <w:bookmarkEnd w:id="365"/>
      <w:bookmarkEnd w:id="366"/>
      <w:bookmarkEnd w:id="367"/>
      <w:bookmarkEnd w:id="368"/>
    </w:p>
    <w:p w14:paraId="6AF7923B">
      <w:pPr>
        <w:spacing w:line="360" w:lineRule="exact"/>
        <w:ind w:firstLine="420" w:firstLineChars="200"/>
        <w:rPr>
          <w:color w:val="auto"/>
          <w:highlight w:val="none"/>
          <w:bdr w:val="single" w:color="auto" w:sz="4" w:space="0"/>
        </w:rPr>
      </w:pPr>
      <w:r>
        <w:rPr>
          <w:rFonts w:hint="eastAsia"/>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color w:val="auto"/>
          <w:highlight w:val="none"/>
        </w:rPr>
        <w:t>投诉时效</w:t>
      </w:r>
      <w:r>
        <w:rPr>
          <w:rFonts w:hint="eastAsia"/>
          <w:color w:val="auto"/>
          <w:highlight w:val="none"/>
        </w:rPr>
        <w:t>期限内。</w:t>
      </w:r>
    </w:p>
    <w:p w14:paraId="16DC2218">
      <w:pPr>
        <w:spacing w:line="360" w:lineRule="exact"/>
        <w:ind w:firstLine="420" w:firstLineChars="200"/>
        <w:rPr>
          <w:color w:val="auto"/>
          <w:highlight w:val="none"/>
        </w:rPr>
      </w:pPr>
      <w:r>
        <w:rPr>
          <w:rFonts w:hint="eastAsia"/>
          <w:color w:val="auto"/>
          <w:highlight w:val="none"/>
        </w:rPr>
        <w:t>投标人和其他利害关系人的投诉应按照《工程建设项目招标投标活动投诉处理办法》的规定进行。</w:t>
      </w:r>
    </w:p>
    <w:p w14:paraId="62264820">
      <w:pPr>
        <w:spacing w:line="360" w:lineRule="exact"/>
        <w:ind w:firstLine="420" w:firstLineChars="200"/>
        <w:rPr>
          <w:color w:val="auto"/>
          <w:highlight w:val="none"/>
        </w:rPr>
      </w:pPr>
      <w:r>
        <w:rPr>
          <w:rFonts w:hint="eastAsia"/>
          <w:color w:val="auto"/>
          <w:highlight w:val="none"/>
        </w:rPr>
        <w:t>有关行政监督部门的联系方式见投标人须知前附表。</w:t>
      </w:r>
    </w:p>
    <w:p w14:paraId="2BF60F2D">
      <w:pPr>
        <w:pStyle w:val="23"/>
        <w:spacing w:line="360" w:lineRule="exact"/>
        <w:rPr>
          <w:color w:val="auto"/>
          <w:highlight w:val="none"/>
        </w:rPr>
      </w:pPr>
      <w:bookmarkStart w:id="369" w:name="_Toc166326898"/>
      <w:bookmarkStart w:id="370" w:name="_Toc152042357"/>
      <w:bookmarkStart w:id="371" w:name="_Toc152045580"/>
      <w:bookmarkStart w:id="372" w:name="_Toc179632598"/>
      <w:bookmarkStart w:id="373" w:name="_Toc144974547"/>
      <w:bookmarkStart w:id="374" w:name="_Toc256000062"/>
      <w:r>
        <w:rPr>
          <w:rFonts w:hint="eastAsia"/>
          <w:color w:val="auto"/>
          <w:highlight w:val="none"/>
        </w:rPr>
        <w:t>10. 需要补充的其他内容</w:t>
      </w:r>
      <w:bookmarkEnd w:id="369"/>
      <w:bookmarkEnd w:id="370"/>
      <w:bookmarkEnd w:id="371"/>
      <w:bookmarkEnd w:id="372"/>
      <w:bookmarkEnd w:id="373"/>
      <w:bookmarkEnd w:id="374"/>
    </w:p>
    <w:p w14:paraId="0844317B">
      <w:pPr>
        <w:pStyle w:val="25"/>
        <w:spacing w:line="360" w:lineRule="exact"/>
        <w:rPr>
          <w:color w:val="auto"/>
          <w:highlight w:val="none"/>
        </w:rPr>
      </w:pPr>
      <w:bookmarkStart w:id="375" w:name="_Toc256000063"/>
      <w:bookmarkStart w:id="376" w:name="_Toc166326899"/>
      <w:bookmarkStart w:id="377" w:name="_Toc426495265"/>
      <w:r>
        <w:rPr>
          <w:rFonts w:hint="eastAsia"/>
          <w:color w:val="auto"/>
          <w:highlight w:val="none"/>
        </w:rPr>
        <w:t xml:space="preserve">10.1 </w:t>
      </w:r>
      <w:r>
        <w:rPr>
          <w:rFonts w:hint="eastAsia"/>
          <w:color w:val="auto"/>
          <w:szCs w:val="21"/>
          <w:highlight w:val="none"/>
        </w:rPr>
        <w:t>词语定义</w:t>
      </w:r>
      <w:bookmarkEnd w:id="375"/>
      <w:bookmarkEnd w:id="376"/>
    </w:p>
    <w:p w14:paraId="393BD6A8">
      <w:pPr>
        <w:spacing w:line="360" w:lineRule="exact"/>
        <w:ind w:firstLine="420" w:firstLineChars="200"/>
        <w:rPr>
          <w:color w:val="auto"/>
          <w:highlight w:val="none"/>
        </w:rPr>
      </w:pPr>
      <w:r>
        <w:rPr>
          <w:rFonts w:hint="eastAsia"/>
          <w:color w:val="auto"/>
          <w:highlight w:val="none"/>
        </w:rPr>
        <w:t>词语定义规定：见投标人须知前附表。</w:t>
      </w:r>
    </w:p>
    <w:bookmarkEnd w:id="377"/>
    <w:p w14:paraId="3B18D0FD">
      <w:pPr>
        <w:pStyle w:val="25"/>
        <w:spacing w:line="360" w:lineRule="exact"/>
        <w:rPr>
          <w:color w:val="auto"/>
          <w:highlight w:val="none"/>
        </w:rPr>
      </w:pPr>
      <w:bookmarkStart w:id="378" w:name="_Toc456173253"/>
      <w:bookmarkStart w:id="379" w:name="_Toc256000064"/>
      <w:bookmarkStart w:id="380" w:name="_Toc166326900"/>
      <w:bookmarkStart w:id="381" w:name="_Toc387753565"/>
      <w:r>
        <w:rPr>
          <w:rFonts w:hint="eastAsia"/>
          <w:color w:val="auto"/>
          <w:highlight w:val="none"/>
        </w:rPr>
        <w:t>10.</w:t>
      </w:r>
      <w:r>
        <w:rPr>
          <w:color w:val="auto"/>
          <w:highlight w:val="none"/>
        </w:rPr>
        <w:t>2</w:t>
      </w:r>
      <w:r>
        <w:rPr>
          <w:rFonts w:hint="eastAsia"/>
          <w:color w:val="auto"/>
          <w:highlight w:val="none"/>
        </w:rPr>
        <w:t xml:space="preserve"> 中标人的投标文件</w:t>
      </w:r>
      <w:bookmarkEnd w:id="378"/>
      <w:bookmarkEnd w:id="379"/>
      <w:bookmarkEnd w:id="380"/>
      <w:bookmarkEnd w:id="381"/>
    </w:p>
    <w:p w14:paraId="338F1E7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中标人在签订合同前须向招标人另行提交的纸质投标文件份数：见投标人须知前附表。</w:t>
      </w:r>
    </w:p>
    <w:p w14:paraId="31E3EE3E">
      <w:pPr>
        <w:pStyle w:val="25"/>
        <w:spacing w:line="360" w:lineRule="exact"/>
        <w:rPr>
          <w:color w:val="auto"/>
          <w:highlight w:val="none"/>
        </w:rPr>
      </w:pPr>
      <w:bookmarkStart w:id="382" w:name="_Toc256000065"/>
      <w:bookmarkStart w:id="383" w:name="_Toc166326901"/>
      <w:bookmarkStart w:id="384" w:name="_Toc426495266"/>
      <w:r>
        <w:rPr>
          <w:rFonts w:hint="eastAsia"/>
          <w:color w:val="auto"/>
          <w:highlight w:val="none"/>
        </w:rPr>
        <w:t>10.</w:t>
      </w:r>
      <w:r>
        <w:rPr>
          <w:color w:val="auto"/>
          <w:highlight w:val="none"/>
        </w:rPr>
        <w:t xml:space="preserve">3 </w:t>
      </w:r>
      <w:r>
        <w:rPr>
          <w:rFonts w:hint="eastAsia"/>
          <w:color w:val="auto"/>
          <w:highlight w:val="none"/>
        </w:rPr>
        <w:t>知识产权</w:t>
      </w:r>
      <w:bookmarkEnd w:id="382"/>
      <w:bookmarkEnd w:id="383"/>
      <w:bookmarkEnd w:id="384"/>
    </w:p>
    <w:p w14:paraId="57D87AF9">
      <w:pPr>
        <w:spacing w:line="360" w:lineRule="exact"/>
        <w:ind w:firstLine="420" w:firstLineChars="200"/>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546B52B9">
      <w:pPr>
        <w:pStyle w:val="25"/>
        <w:spacing w:line="360" w:lineRule="exact"/>
        <w:rPr>
          <w:color w:val="auto"/>
          <w:highlight w:val="none"/>
        </w:rPr>
      </w:pPr>
      <w:bookmarkStart w:id="385" w:name="_Toc426495267"/>
      <w:bookmarkStart w:id="386" w:name="_Toc256000066"/>
      <w:bookmarkStart w:id="387" w:name="_Toc166326902"/>
      <w:r>
        <w:rPr>
          <w:rFonts w:hint="eastAsia"/>
          <w:color w:val="auto"/>
          <w:highlight w:val="none"/>
        </w:rPr>
        <w:t>10.</w:t>
      </w:r>
      <w:r>
        <w:rPr>
          <w:color w:val="auto"/>
          <w:highlight w:val="none"/>
        </w:rPr>
        <w:t xml:space="preserve">4 </w:t>
      </w:r>
      <w:r>
        <w:rPr>
          <w:rFonts w:hint="eastAsia"/>
          <w:color w:val="auto"/>
          <w:highlight w:val="none"/>
        </w:rPr>
        <w:t>同义词语</w:t>
      </w:r>
      <w:bookmarkEnd w:id="385"/>
      <w:bookmarkEnd w:id="386"/>
      <w:bookmarkEnd w:id="387"/>
    </w:p>
    <w:p w14:paraId="2B86F06D">
      <w:pPr>
        <w:spacing w:line="360" w:lineRule="exact"/>
        <w:ind w:firstLine="420" w:firstLineChars="200"/>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4EE77B31">
      <w:pPr>
        <w:pStyle w:val="25"/>
        <w:spacing w:line="360" w:lineRule="exact"/>
        <w:rPr>
          <w:color w:val="auto"/>
          <w:highlight w:val="none"/>
        </w:rPr>
      </w:pPr>
      <w:bookmarkStart w:id="388" w:name="_Toc256000067"/>
      <w:bookmarkStart w:id="389" w:name="_Toc426495268"/>
      <w:bookmarkStart w:id="390" w:name="_Toc166326903"/>
      <w:r>
        <w:rPr>
          <w:rFonts w:hint="eastAsia"/>
          <w:color w:val="auto"/>
          <w:highlight w:val="none"/>
        </w:rPr>
        <w:t>10.</w:t>
      </w:r>
      <w:r>
        <w:rPr>
          <w:color w:val="auto"/>
          <w:highlight w:val="none"/>
        </w:rPr>
        <w:t>5</w:t>
      </w:r>
      <w:r>
        <w:rPr>
          <w:rFonts w:hint="eastAsia"/>
          <w:color w:val="auto"/>
          <w:highlight w:val="none"/>
        </w:rPr>
        <w:t xml:space="preserve"> 解释权</w:t>
      </w:r>
      <w:bookmarkEnd w:id="388"/>
      <w:bookmarkEnd w:id="389"/>
      <w:bookmarkEnd w:id="390"/>
    </w:p>
    <w:p w14:paraId="0E9F3FAB">
      <w:pPr>
        <w:spacing w:line="360" w:lineRule="exact"/>
        <w:ind w:firstLine="420" w:firstLineChars="200"/>
        <w:rPr>
          <w:color w:val="auto"/>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8D0EB90">
      <w:pPr>
        <w:pStyle w:val="25"/>
        <w:spacing w:line="360" w:lineRule="exact"/>
        <w:rPr>
          <w:color w:val="auto"/>
          <w:highlight w:val="none"/>
        </w:rPr>
      </w:pPr>
      <w:bookmarkStart w:id="391" w:name="_Toc256000068"/>
      <w:bookmarkStart w:id="392" w:name="_Toc426495269"/>
      <w:bookmarkStart w:id="393" w:name="_Toc166326904"/>
      <w:r>
        <w:rPr>
          <w:rFonts w:hint="eastAsia"/>
          <w:color w:val="auto"/>
          <w:highlight w:val="none"/>
        </w:rPr>
        <w:t>10.6 招标人补充的其他内容</w:t>
      </w:r>
      <w:bookmarkEnd w:id="391"/>
      <w:bookmarkEnd w:id="392"/>
      <w:bookmarkEnd w:id="393"/>
    </w:p>
    <w:p w14:paraId="2B13AE06">
      <w:pPr>
        <w:spacing w:line="360" w:lineRule="exact"/>
        <w:ind w:firstLine="420" w:firstLineChars="200"/>
        <w:rPr>
          <w:color w:val="auto"/>
          <w:highlight w:val="none"/>
        </w:rPr>
      </w:pPr>
      <w:r>
        <w:rPr>
          <w:rFonts w:hint="eastAsia"/>
          <w:color w:val="auto"/>
          <w:highlight w:val="none"/>
        </w:rPr>
        <w:t>招标人补充的其他内容：见投标人须知前附表。</w:t>
      </w:r>
    </w:p>
    <w:p w14:paraId="6D435488">
      <w:pPr>
        <w:spacing w:line="400" w:lineRule="exact"/>
        <w:ind w:firstLine="420" w:firstLineChars="200"/>
        <w:rPr>
          <w:color w:val="auto"/>
          <w:highlight w:val="none"/>
        </w:rPr>
      </w:pPr>
    </w:p>
    <w:p w14:paraId="37E8C812">
      <w:pPr>
        <w:spacing w:line="400" w:lineRule="exact"/>
        <w:rPr>
          <w:color w:val="auto"/>
          <w:highlight w:val="none"/>
        </w:rPr>
      </w:pPr>
      <w:r>
        <w:rPr>
          <w:color w:val="auto"/>
          <w:highlight w:val="none"/>
        </w:rPr>
        <w:br w:type="page"/>
      </w:r>
    </w:p>
    <w:p w14:paraId="0658B816">
      <w:pPr>
        <w:pStyle w:val="3"/>
        <w:rPr>
          <w:rFonts w:ascii="仿宋_GB2312" w:hAnsi="黑体" w:eastAsia="仿宋_GB2312"/>
          <w:b w:val="0"/>
          <w:bCs w:val="0"/>
          <w:color w:val="auto"/>
          <w:spacing w:val="12"/>
          <w:sz w:val="24"/>
          <w:highlight w:val="none"/>
        </w:rPr>
      </w:pPr>
      <w:bookmarkStart w:id="394" w:name="_Toc353544000"/>
      <w:bookmarkStart w:id="395" w:name="_Toc256000069"/>
      <w:bookmarkStart w:id="396" w:name="_Toc165804340"/>
      <w:r>
        <w:rPr>
          <w:rFonts w:hint="eastAsia"/>
          <w:b w:val="0"/>
          <w:color w:val="auto"/>
          <w:sz w:val="24"/>
          <w:szCs w:val="24"/>
          <w:highlight w:val="none"/>
        </w:rPr>
        <w:t>附表一：招标文件澄清申请函</w:t>
      </w:r>
      <w:bookmarkEnd w:id="394"/>
      <w:bookmarkEnd w:id="395"/>
      <w:bookmarkEnd w:id="396"/>
    </w:p>
    <w:p w14:paraId="6FAD44AD">
      <w:pPr>
        <w:rPr>
          <w:rFonts w:ascii="仿宋_GB2312" w:eastAsia="仿宋_GB2312"/>
          <w:color w:val="auto"/>
          <w:highlight w:val="none"/>
        </w:rPr>
      </w:pPr>
    </w:p>
    <w:p w14:paraId="198FA02F">
      <w:pPr>
        <w:spacing w:before="120" w:beforeLines="50" w:after="120" w:afterLines="50"/>
        <w:jc w:val="center"/>
        <w:rPr>
          <w:rFonts w:ascii="仿宋_GB2312" w:eastAsia="仿宋_GB2312"/>
          <w:color w:val="auto"/>
          <w:sz w:val="28"/>
          <w:szCs w:val="28"/>
          <w:highlight w:val="none"/>
        </w:rPr>
      </w:pPr>
    </w:p>
    <w:p w14:paraId="204897B3">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4EC50101">
      <w:pPr>
        <w:rPr>
          <w:rFonts w:ascii="宋体" w:hAnsi="宋体"/>
          <w:color w:val="auto"/>
          <w:highlight w:val="none"/>
        </w:rPr>
      </w:pPr>
    </w:p>
    <w:p w14:paraId="7D8EB799">
      <w:pPr>
        <w:ind w:firstLine="6195" w:firstLineChars="2950"/>
        <w:rPr>
          <w:rFonts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4465E36">
      <w:pPr>
        <w:spacing w:line="560" w:lineRule="exact"/>
        <w:ind w:firstLine="420" w:firstLineChars="200"/>
        <w:rPr>
          <w:rFonts w:ascii="宋体" w:hAnsi="宋体"/>
          <w:color w:val="auto"/>
          <w:szCs w:val="21"/>
          <w:highlight w:val="none"/>
          <w:u w:val="single"/>
        </w:rPr>
      </w:pPr>
    </w:p>
    <w:p w14:paraId="7C276D65">
      <w:pPr>
        <w:spacing w:line="56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2E5699D4">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5757A4DB">
      <w:pPr>
        <w:spacing w:line="560" w:lineRule="exact"/>
        <w:ind w:firstLine="105" w:firstLineChars="50"/>
        <w:rPr>
          <w:rFonts w:ascii="宋体" w:hAnsi="宋体"/>
          <w:color w:val="auto"/>
          <w:szCs w:val="21"/>
          <w:highlight w:val="none"/>
        </w:rPr>
      </w:pPr>
      <w:bookmarkStart w:id="397" w:name="_Hlt269064826"/>
      <w:r>
        <w:rPr>
          <w:rFonts w:hint="eastAsia" w:ascii="宋体" w:hAnsi="宋体"/>
          <w:color w:val="auto"/>
          <w:szCs w:val="21"/>
          <w:highlight w:val="none"/>
        </w:rPr>
        <w:t>　1.……</w:t>
      </w:r>
    </w:p>
    <w:p w14:paraId="5031D0CF">
      <w:pPr>
        <w:spacing w:line="560" w:lineRule="exact"/>
        <w:ind w:firstLine="315" w:firstLineChars="150"/>
        <w:rPr>
          <w:rFonts w:ascii="宋体" w:hAnsi="宋体"/>
          <w:color w:val="auto"/>
          <w:szCs w:val="21"/>
          <w:highlight w:val="none"/>
        </w:rPr>
      </w:pPr>
      <w:r>
        <w:rPr>
          <w:rFonts w:hint="eastAsia" w:ascii="宋体" w:hAnsi="宋体"/>
          <w:color w:val="auto"/>
          <w:szCs w:val="21"/>
          <w:highlight w:val="none"/>
        </w:rPr>
        <w:t>2.……</w:t>
      </w:r>
    </w:p>
    <w:p w14:paraId="41B4E8CF">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E2F0DAD">
      <w:pPr>
        <w:spacing w:line="560" w:lineRule="exact"/>
        <w:ind w:firstLine="420" w:firstLineChars="200"/>
        <w:rPr>
          <w:rFonts w:ascii="宋体" w:hAnsi="宋体"/>
          <w:color w:val="auto"/>
          <w:szCs w:val="21"/>
          <w:highlight w:val="none"/>
        </w:rPr>
      </w:pPr>
    </w:p>
    <w:bookmarkEnd w:id="397"/>
    <w:p w14:paraId="0FD2E19C">
      <w:pPr>
        <w:spacing w:line="560" w:lineRule="exact"/>
        <w:ind w:firstLine="420" w:firstLineChars="200"/>
        <w:rPr>
          <w:rFonts w:ascii="宋体" w:hAnsi="宋体"/>
          <w:color w:val="auto"/>
          <w:szCs w:val="21"/>
          <w:highlight w:val="none"/>
        </w:rPr>
      </w:pPr>
    </w:p>
    <w:p w14:paraId="43F296B6">
      <w:pPr>
        <w:wordWrap w:val="0"/>
        <w:jc w:val="right"/>
        <w:rPr>
          <w:rFonts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000065D8">
      <w:pPr>
        <w:jc w:val="right"/>
        <w:rPr>
          <w:rFonts w:ascii="宋体" w:hAnsi="宋体"/>
          <w:color w:val="auto"/>
          <w:highlight w:val="none"/>
        </w:rPr>
      </w:pPr>
    </w:p>
    <w:p w14:paraId="7EA96E4E">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EE80419">
      <w:pPr>
        <w:spacing w:line="560" w:lineRule="exact"/>
        <w:ind w:firstLine="420" w:firstLineChars="200"/>
        <w:rPr>
          <w:rFonts w:ascii="宋体" w:hAnsi="宋体"/>
          <w:color w:val="auto"/>
          <w:szCs w:val="21"/>
          <w:highlight w:val="none"/>
        </w:rPr>
      </w:pPr>
    </w:p>
    <w:p w14:paraId="79136541">
      <w:pPr>
        <w:spacing w:line="560" w:lineRule="exact"/>
        <w:ind w:firstLine="420" w:firstLineChars="200"/>
        <w:rPr>
          <w:rFonts w:ascii="宋体" w:hAnsi="宋体"/>
          <w:color w:val="auto"/>
          <w:szCs w:val="21"/>
          <w:highlight w:val="none"/>
        </w:rPr>
      </w:pPr>
    </w:p>
    <w:p w14:paraId="619398D8">
      <w:pPr>
        <w:spacing w:line="560" w:lineRule="exact"/>
        <w:ind w:firstLine="420" w:firstLineChars="200"/>
        <w:rPr>
          <w:rFonts w:ascii="宋体" w:hAnsi="宋体"/>
          <w:color w:val="auto"/>
          <w:szCs w:val="21"/>
          <w:highlight w:val="none"/>
        </w:rPr>
      </w:pPr>
    </w:p>
    <w:p w14:paraId="0F3D9661">
      <w:pPr>
        <w:spacing w:line="560" w:lineRule="exact"/>
        <w:ind w:firstLine="420" w:firstLineChars="200"/>
        <w:rPr>
          <w:rFonts w:ascii="宋体" w:hAnsi="宋体"/>
          <w:color w:val="auto"/>
          <w:szCs w:val="21"/>
          <w:highlight w:val="none"/>
        </w:rPr>
      </w:pPr>
    </w:p>
    <w:p w14:paraId="2F4247D4">
      <w:pPr>
        <w:spacing w:line="560" w:lineRule="exact"/>
        <w:rPr>
          <w:rFonts w:ascii="宋体" w:hAnsi="宋体"/>
          <w:color w:val="auto"/>
          <w:szCs w:val="21"/>
          <w:highlight w:val="none"/>
        </w:rPr>
      </w:pPr>
    </w:p>
    <w:p w14:paraId="2AC4F04C">
      <w:pPr>
        <w:spacing w:line="560" w:lineRule="exact"/>
        <w:ind w:right="840" w:rightChars="400"/>
        <w:rPr>
          <w:rFonts w:ascii="宋体" w:hAnsi="宋体"/>
          <w:color w:val="auto"/>
          <w:sz w:val="24"/>
          <w:highlight w:val="none"/>
        </w:rPr>
      </w:pPr>
      <w:r>
        <w:rPr>
          <w:rFonts w:ascii="宋体" w:hAnsi="宋体"/>
          <w:color w:val="auto"/>
          <w:sz w:val="24"/>
          <w:highlight w:val="none"/>
        </w:rPr>
        <w:br w:type="page"/>
      </w:r>
    </w:p>
    <w:p w14:paraId="06FF4C16">
      <w:pPr>
        <w:pStyle w:val="3"/>
        <w:rPr>
          <w:b w:val="0"/>
          <w:color w:val="auto"/>
          <w:sz w:val="24"/>
          <w:szCs w:val="24"/>
          <w:highlight w:val="none"/>
        </w:rPr>
      </w:pPr>
      <w:bookmarkStart w:id="398" w:name="_Toc353544001"/>
      <w:bookmarkStart w:id="399" w:name="_Toc256000070"/>
      <w:bookmarkStart w:id="400" w:name="_Toc165804341"/>
      <w:r>
        <w:rPr>
          <w:rFonts w:hint="eastAsia"/>
          <w:b w:val="0"/>
          <w:color w:val="auto"/>
          <w:sz w:val="24"/>
          <w:szCs w:val="24"/>
          <w:highlight w:val="none"/>
        </w:rPr>
        <w:t>附表二：招标文件澄清通知</w:t>
      </w:r>
      <w:bookmarkEnd w:id="398"/>
      <w:bookmarkEnd w:id="399"/>
      <w:bookmarkEnd w:id="400"/>
    </w:p>
    <w:p w14:paraId="006A064F">
      <w:pPr>
        <w:spacing w:line="560" w:lineRule="exact"/>
        <w:ind w:right="840" w:rightChars="400"/>
        <w:rPr>
          <w:rFonts w:ascii="仿宋_GB2312" w:eastAsia="仿宋_GB2312"/>
          <w:color w:val="auto"/>
          <w:sz w:val="24"/>
          <w:highlight w:val="none"/>
        </w:rPr>
      </w:pPr>
    </w:p>
    <w:p w14:paraId="78181FFB">
      <w:pPr>
        <w:rPr>
          <w:rFonts w:ascii="仿宋_GB2312" w:eastAsia="仿宋_GB2312"/>
          <w:color w:val="auto"/>
          <w:highlight w:val="none"/>
        </w:rPr>
      </w:pPr>
    </w:p>
    <w:p w14:paraId="0B295D4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30AF129">
      <w:pPr>
        <w:rPr>
          <w:rFonts w:ascii="宋体" w:hAnsi="宋体"/>
          <w:color w:val="auto"/>
          <w:highlight w:val="none"/>
        </w:rPr>
      </w:pPr>
    </w:p>
    <w:p w14:paraId="299F4020">
      <w:pPr>
        <w:ind w:firstLine="5985" w:firstLineChars="2850"/>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6475445C">
      <w:pPr>
        <w:rPr>
          <w:rFonts w:ascii="宋体" w:hAnsi="宋体"/>
          <w:color w:val="auto"/>
          <w:highlight w:val="none"/>
        </w:rPr>
      </w:pPr>
    </w:p>
    <w:p w14:paraId="67A3E146">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38251040">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66B73FCE">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2B124763">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2FAA36E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3346822A">
      <w:pPr>
        <w:spacing w:line="560" w:lineRule="exact"/>
        <w:rPr>
          <w:rFonts w:ascii="宋体" w:hAnsi="宋体"/>
          <w:color w:val="auto"/>
          <w:szCs w:val="21"/>
          <w:highlight w:val="none"/>
        </w:rPr>
      </w:pPr>
    </w:p>
    <w:p w14:paraId="71BB5778">
      <w:pPr>
        <w:spacing w:line="560" w:lineRule="exact"/>
        <w:ind w:firstLine="420" w:firstLineChars="200"/>
        <w:rPr>
          <w:rFonts w:ascii="宋体" w:hAnsi="宋体"/>
          <w:color w:val="auto"/>
          <w:szCs w:val="21"/>
          <w:highlight w:val="none"/>
        </w:rPr>
      </w:pPr>
    </w:p>
    <w:p w14:paraId="1C49FDC4">
      <w:pPr>
        <w:spacing w:line="560" w:lineRule="exact"/>
        <w:ind w:firstLine="420" w:firstLineChars="200"/>
        <w:rPr>
          <w:rFonts w:ascii="宋体" w:hAnsi="宋体"/>
          <w:color w:val="auto"/>
          <w:szCs w:val="21"/>
          <w:highlight w:val="none"/>
        </w:rPr>
      </w:pPr>
    </w:p>
    <w:p w14:paraId="39756859">
      <w:pPr>
        <w:spacing w:line="560" w:lineRule="exact"/>
        <w:ind w:firstLine="420" w:firstLineChars="200"/>
        <w:rPr>
          <w:rFonts w:ascii="宋体" w:hAnsi="宋体"/>
          <w:color w:val="auto"/>
          <w:szCs w:val="21"/>
          <w:highlight w:val="none"/>
        </w:rPr>
      </w:pPr>
    </w:p>
    <w:p w14:paraId="324D968F">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CD7F713">
      <w:pPr>
        <w:spacing w:line="560" w:lineRule="exact"/>
        <w:ind w:firstLine="420" w:firstLineChars="200"/>
        <w:rPr>
          <w:rFonts w:ascii="宋体" w:hAnsi="宋体"/>
          <w:color w:val="auto"/>
          <w:highlight w:val="none"/>
        </w:rPr>
      </w:pPr>
    </w:p>
    <w:p w14:paraId="5F945AC9">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288B39E">
      <w:pPr>
        <w:spacing w:line="560" w:lineRule="exact"/>
        <w:rPr>
          <w:rFonts w:ascii="宋体" w:hAnsi="宋体"/>
          <w:color w:val="auto"/>
          <w:szCs w:val="21"/>
          <w:highlight w:val="none"/>
        </w:rPr>
      </w:pPr>
    </w:p>
    <w:p w14:paraId="6C8F9721">
      <w:pPr>
        <w:spacing w:line="560" w:lineRule="exact"/>
        <w:rPr>
          <w:rFonts w:ascii="宋体" w:hAnsi="宋体"/>
          <w:color w:val="auto"/>
          <w:szCs w:val="21"/>
          <w:highlight w:val="none"/>
        </w:rPr>
      </w:pPr>
    </w:p>
    <w:p w14:paraId="54C2338A">
      <w:pPr>
        <w:spacing w:line="560" w:lineRule="exact"/>
        <w:ind w:firstLine="420" w:firstLineChars="200"/>
        <w:rPr>
          <w:rFonts w:ascii="仿宋_GB2312" w:eastAsia="仿宋_GB2312"/>
          <w:color w:val="auto"/>
          <w:szCs w:val="21"/>
          <w:highlight w:val="none"/>
        </w:rPr>
      </w:pPr>
      <w:r>
        <w:rPr>
          <w:rFonts w:ascii="仿宋_GB2312" w:eastAsia="仿宋_GB2312"/>
          <w:color w:val="auto"/>
          <w:szCs w:val="21"/>
          <w:highlight w:val="none"/>
        </w:rPr>
        <w:br w:type="page"/>
      </w:r>
    </w:p>
    <w:p w14:paraId="5AC3B68F">
      <w:pPr>
        <w:pStyle w:val="3"/>
        <w:rPr>
          <w:b w:val="0"/>
          <w:color w:val="auto"/>
          <w:sz w:val="24"/>
          <w:szCs w:val="24"/>
          <w:highlight w:val="none"/>
        </w:rPr>
      </w:pPr>
      <w:bookmarkStart w:id="401" w:name="_Toc165804342"/>
      <w:bookmarkStart w:id="402" w:name="_Toc256000071"/>
      <w:bookmarkStart w:id="403" w:name="_Toc353544002"/>
      <w:r>
        <w:rPr>
          <w:rFonts w:hint="eastAsia"/>
          <w:b w:val="0"/>
          <w:color w:val="auto"/>
          <w:sz w:val="24"/>
          <w:szCs w:val="24"/>
          <w:highlight w:val="none"/>
        </w:rPr>
        <w:t>附表三：招标文件修改通知</w:t>
      </w:r>
      <w:bookmarkEnd w:id="401"/>
      <w:bookmarkEnd w:id="402"/>
      <w:bookmarkEnd w:id="403"/>
    </w:p>
    <w:p w14:paraId="5E7691C6">
      <w:pPr>
        <w:spacing w:line="560" w:lineRule="exact"/>
        <w:ind w:right="840" w:rightChars="400"/>
        <w:rPr>
          <w:rFonts w:ascii="仿宋_GB2312" w:eastAsia="仿宋_GB2312"/>
          <w:color w:val="auto"/>
          <w:sz w:val="24"/>
          <w:highlight w:val="none"/>
        </w:rPr>
      </w:pPr>
    </w:p>
    <w:p w14:paraId="51CD8323">
      <w:pPr>
        <w:rPr>
          <w:rFonts w:ascii="仿宋_GB2312" w:eastAsia="仿宋_GB2312"/>
          <w:color w:val="auto"/>
          <w:highlight w:val="none"/>
        </w:rPr>
      </w:pPr>
    </w:p>
    <w:p w14:paraId="090BD43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0DB2C912">
      <w:pPr>
        <w:rPr>
          <w:rFonts w:ascii="宋体" w:hAnsi="宋体"/>
          <w:color w:val="auto"/>
          <w:highlight w:val="none"/>
        </w:rPr>
      </w:pPr>
    </w:p>
    <w:p w14:paraId="5F2A9B96">
      <w:pPr>
        <w:ind w:left="5985" w:leftChars="2850"/>
        <w:rPr>
          <w:rFonts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65B1035">
      <w:pPr>
        <w:rPr>
          <w:rFonts w:ascii="宋体" w:hAnsi="宋体"/>
          <w:color w:val="auto"/>
          <w:highlight w:val="none"/>
        </w:rPr>
      </w:pPr>
    </w:p>
    <w:p w14:paraId="4054F7CD">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6C4492EF">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650BBA3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25599941">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6F9EF08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08A1189C">
      <w:pPr>
        <w:spacing w:line="560" w:lineRule="exact"/>
        <w:rPr>
          <w:rFonts w:ascii="宋体" w:hAnsi="宋体"/>
          <w:color w:val="auto"/>
          <w:szCs w:val="21"/>
          <w:highlight w:val="none"/>
        </w:rPr>
      </w:pPr>
    </w:p>
    <w:p w14:paraId="6F659980">
      <w:pPr>
        <w:spacing w:line="560" w:lineRule="exact"/>
        <w:ind w:firstLine="420" w:firstLineChars="200"/>
        <w:rPr>
          <w:rFonts w:ascii="宋体" w:hAnsi="宋体"/>
          <w:color w:val="auto"/>
          <w:szCs w:val="21"/>
          <w:highlight w:val="none"/>
          <w:bdr w:val="single" w:color="auto" w:sz="4" w:space="0"/>
        </w:rPr>
      </w:pPr>
    </w:p>
    <w:p w14:paraId="08BA4AF4">
      <w:pPr>
        <w:spacing w:line="560" w:lineRule="exact"/>
        <w:ind w:firstLine="420" w:firstLineChars="200"/>
        <w:rPr>
          <w:rFonts w:ascii="宋体" w:hAnsi="宋体"/>
          <w:color w:val="auto"/>
          <w:szCs w:val="21"/>
          <w:highlight w:val="none"/>
        </w:rPr>
      </w:pPr>
    </w:p>
    <w:p w14:paraId="58ED9A89">
      <w:pPr>
        <w:spacing w:line="560" w:lineRule="exact"/>
        <w:ind w:firstLine="420" w:firstLineChars="200"/>
        <w:rPr>
          <w:rFonts w:ascii="宋体" w:hAnsi="宋体"/>
          <w:color w:val="auto"/>
          <w:szCs w:val="21"/>
          <w:highlight w:val="none"/>
        </w:rPr>
      </w:pPr>
    </w:p>
    <w:p w14:paraId="7260182A">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003448A8">
      <w:pPr>
        <w:spacing w:line="560" w:lineRule="exact"/>
        <w:ind w:firstLine="420" w:firstLineChars="200"/>
        <w:rPr>
          <w:rFonts w:ascii="宋体" w:hAnsi="宋体"/>
          <w:color w:val="auto"/>
          <w:highlight w:val="none"/>
        </w:rPr>
      </w:pPr>
    </w:p>
    <w:p w14:paraId="1792EE74">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4C8787E">
      <w:pPr>
        <w:spacing w:line="560" w:lineRule="exact"/>
        <w:rPr>
          <w:rFonts w:ascii="宋体" w:hAnsi="宋体"/>
          <w:color w:val="auto"/>
          <w:szCs w:val="21"/>
          <w:highlight w:val="none"/>
        </w:rPr>
      </w:pPr>
    </w:p>
    <w:p w14:paraId="7D8B9B59">
      <w:pPr>
        <w:spacing w:line="560" w:lineRule="exact"/>
        <w:rPr>
          <w:rFonts w:ascii="宋体" w:hAnsi="宋体"/>
          <w:color w:val="auto"/>
          <w:szCs w:val="21"/>
          <w:highlight w:val="none"/>
        </w:rPr>
      </w:pPr>
    </w:p>
    <w:p w14:paraId="0B484276">
      <w:pPr>
        <w:spacing w:after="360" w:afterLines="150"/>
        <w:rPr>
          <w:rFonts w:ascii="仿宋_GB2312" w:eastAsia="仿宋_GB2312"/>
          <w:color w:val="auto"/>
          <w:sz w:val="24"/>
          <w:highlight w:val="none"/>
        </w:rPr>
      </w:pPr>
      <w:r>
        <w:rPr>
          <w:rFonts w:ascii="仿宋_GB2312" w:eastAsia="仿宋_GB2312"/>
          <w:color w:val="auto"/>
          <w:sz w:val="24"/>
          <w:highlight w:val="none"/>
        </w:rPr>
        <w:br w:type="page"/>
      </w:r>
    </w:p>
    <w:p w14:paraId="3F3E5060">
      <w:pPr>
        <w:pStyle w:val="3"/>
        <w:rPr>
          <w:b w:val="0"/>
          <w:color w:val="auto"/>
          <w:sz w:val="24"/>
          <w:szCs w:val="24"/>
          <w:highlight w:val="none"/>
        </w:rPr>
      </w:pPr>
      <w:bookmarkStart w:id="404" w:name="_Toc256000072"/>
      <w:bookmarkStart w:id="405" w:name="_Toc165804343"/>
      <w:bookmarkStart w:id="406" w:name="_Toc353544004"/>
      <w:r>
        <w:rPr>
          <w:rFonts w:hint="eastAsia"/>
          <w:b w:val="0"/>
          <w:color w:val="auto"/>
          <w:sz w:val="24"/>
          <w:szCs w:val="24"/>
          <w:highlight w:val="none"/>
        </w:rPr>
        <w:t>附表四：投标文件递交电子签收凭证</w:t>
      </w:r>
      <w:bookmarkEnd w:id="404"/>
      <w:bookmarkEnd w:id="405"/>
      <w:bookmarkEnd w:id="406"/>
    </w:p>
    <w:p w14:paraId="2EB83327">
      <w:pPr>
        <w:spacing w:before="240" w:beforeLines="100" w:after="240" w:afterLines="100" w:line="480" w:lineRule="exact"/>
        <w:jc w:val="center"/>
        <w:rPr>
          <w:rFonts w:ascii="黑体" w:eastAsia="黑体"/>
          <w:color w:val="auto"/>
          <w:sz w:val="28"/>
          <w:szCs w:val="28"/>
          <w:highlight w:val="none"/>
        </w:rPr>
      </w:pPr>
    </w:p>
    <w:p w14:paraId="0A255E7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04446E8E">
      <w:pPr>
        <w:spacing w:before="72" w:beforeLines="30"/>
        <w:jc w:val="right"/>
        <w:rPr>
          <w:rFonts w:ascii="宋体" w:hAnsi="宋体" w:cs="宋体"/>
          <w:color w:val="auto"/>
          <w:kern w:val="0"/>
          <w:szCs w:val="21"/>
          <w:highlight w:val="none"/>
        </w:rPr>
      </w:pPr>
      <w:bookmarkStart w:id="407" w:name="_Hlk152086657"/>
    </w:p>
    <w:p w14:paraId="66E5648A">
      <w:pPr>
        <w:spacing w:before="72" w:beforeLines="30"/>
        <w:jc w:val="right"/>
        <w:rPr>
          <w:rFonts w:ascii="宋体" w:hAnsi="宋体" w:cs="宋体"/>
          <w:color w:val="auto"/>
          <w:kern w:val="0"/>
          <w:szCs w:val="21"/>
          <w:highlight w:val="none"/>
        </w:rPr>
      </w:pPr>
    </w:p>
    <w:p w14:paraId="5BCF99A6">
      <w:pPr>
        <w:pStyle w:val="10"/>
        <w:spacing w:line="480" w:lineRule="auto"/>
        <w:ind w:firstLine="0"/>
        <w:rPr>
          <w:rFonts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0288ABA0">
      <w:pPr>
        <w:spacing w:line="360" w:lineRule="auto"/>
        <w:ind w:firstLine="420" w:firstLineChars="200"/>
        <w:jc w:val="left"/>
        <w:rPr>
          <w:rFonts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52675C36">
      <w:pPr>
        <w:spacing w:line="360" w:lineRule="auto"/>
        <w:ind w:firstLine="420" w:firstLineChars="200"/>
        <w:jc w:val="left"/>
        <w:rPr>
          <w:rFonts w:ascii="宋体" w:hAnsi="宋体" w:cs="仿宋_GB2312"/>
          <w:color w:val="auto"/>
          <w:szCs w:val="21"/>
          <w:highlight w:val="none"/>
        </w:rPr>
      </w:pPr>
    </w:p>
    <w:p w14:paraId="02360F43">
      <w:pPr>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项目经理：</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712A3AB2">
      <w:pPr>
        <w:spacing w:before="72" w:beforeLines="30" w:line="360" w:lineRule="auto"/>
        <w:ind w:firstLine="420" w:firstLineChars="200"/>
        <w:rPr>
          <w:rFonts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bookmarkEnd w:id="407"/>
    <w:p w14:paraId="4FB7B2F4">
      <w:pPr>
        <w:spacing w:before="72" w:beforeLines="30"/>
        <w:ind w:firstLine="4305" w:firstLineChars="2050"/>
        <w:rPr>
          <w:rFonts w:ascii="宋体" w:hAnsi="宋体"/>
          <w:color w:val="auto"/>
          <w:highlight w:val="none"/>
        </w:rPr>
      </w:pPr>
    </w:p>
    <w:p w14:paraId="3E5A4877">
      <w:pPr>
        <w:spacing w:line="400" w:lineRule="exact"/>
        <w:rPr>
          <w:rFonts w:ascii="宋体" w:hAnsi="宋体"/>
          <w:color w:val="auto"/>
          <w:highlight w:val="none"/>
        </w:rPr>
      </w:pPr>
    </w:p>
    <w:p w14:paraId="2D38F065">
      <w:pPr>
        <w:spacing w:line="400" w:lineRule="exact"/>
        <w:rPr>
          <w:color w:val="auto"/>
          <w:sz w:val="24"/>
          <w:highlight w:val="none"/>
        </w:rPr>
      </w:pPr>
    </w:p>
    <w:p w14:paraId="353EFB24">
      <w:pPr>
        <w:pStyle w:val="3"/>
        <w:rPr>
          <w:b w:val="0"/>
          <w:color w:val="auto"/>
          <w:sz w:val="24"/>
          <w:szCs w:val="24"/>
          <w:highlight w:val="none"/>
        </w:rPr>
        <w:sectPr>
          <w:pgSz w:w="11906" w:h="16838"/>
          <w:pgMar w:top="1440" w:right="1797" w:bottom="1440" w:left="1797" w:header="851" w:footer="851" w:gutter="0"/>
          <w:cols w:space="720" w:num="1"/>
          <w:docGrid w:linePitch="312" w:charSpace="0"/>
        </w:sectPr>
      </w:pPr>
    </w:p>
    <w:p w14:paraId="67CE843F">
      <w:pPr>
        <w:pStyle w:val="3"/>
        <w:rPr>
          <w:b w:val="0"/>
          <w:color w:val="auto"/>
          <w:sz w:val="24"/>
          <w:szCs w:val="24"/>
          <w:highlight w:val="none"/>
        </w:rPr>
      </w:pPr>
      <w:bookmarkStart w:id="408" w:name="_Toc256000073"/>
      <w:bookmarkStart w:id="409" w:name="_Toc165804344"/>
      <w:r>
        <w:rPr>
          <w:rFonts w:hint="eastAsia"/>
          <w:b w:val="0"/>
          <w:color w:val="auto"/>
          <w:sz w:val="24"/>
          <w:szCs w:val="24"/>
          <w:highlight w:val="none"/>
        </w:rPr>
        <w:t>附表五：开标记录表</w:t>
      </w:r>
      <w:bookmarkEnd w:id="408"/>
      <w:bookmarkEnd w:id="409"/>
    </w:p>
    <w:p w14:paraId="59837C92">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376D5E3F">
      <w:pPr>
        <w:spacing w:line="400" w:lineRule="exact"/>
        <w:ind w:firstLine="105" w:firstLineChars="50"/>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7"/>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578B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77CD605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68BE658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1671E63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42C7F2C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工期</w:t>
            </w:r>
          </w:p>
          <w:p w14:paraId="25E4B19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A2654A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质量目标</w:t>
            </w:r>
          </w:p>
        </w:tc>
        <w:tc>
          <w:tcPr>
            <w:tcW w:w="1134" w:type="dxa"/>
            <w:vMerge w:val="restart"/>
            <w:vAlign w:val="center"/>
          </w:tcPr>
          <w:p w14:paraId="4CFCE14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654BC03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项目经理</w:t>
            </w:r>
          </w:p>
          <w:p w14:paraId="6498F61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2410" w:type="dxa"/>
            <w:gridSpan w:val="2"/>
          </w:tcPr>
          <w:p w14:paraId="4E01DB4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3CD60CE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2239B7B4">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联系电话</w:t>
            </w:r>
          </w:p>
        </w:tc>
      </w:tr>
      <w:tr w14:paraId="017F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7EB2C59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vMerge w:val="continue"/>
            <w:tcMar>
              <w:left w:w="28" w:type="dxa"/>
              <w:right w:w="28" w:type="dxa"/>
            </w:tcMar>
            <w:vAlign w:val="center"/>
          </w:tcPr>
          <w:p w14:paraId="3745ACB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vMerge w:val="continue"/>
            <w:tcMar>
              <w:left w:w="28" w:type="dxa"/>
              <w:right w:w="28" w:type="dxa"/>
            </w:tcMar>
            <w:vAlign w:val="center"/>
          </w:tcPr>
          <w:p w14:paraId="10CDB99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5ACABBB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6A30137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vAlign w:val="center"/>
          </w:tcPr>
          <w:p w14:paraId="116F4D9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70096FE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BACC22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723259A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77FC6AB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Merge w:val="continue"/>
            <w:vAlign w:val="center"/>
          </w:tcPr>
          <w:p w14:paraId="77AC1E6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F48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39A790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B75B36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440A493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3F1243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D2296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6F007F2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7B2F26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B0297A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06A3607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549E4A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FB8F8F8">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C91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CED725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1A5C33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E36710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CC2107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135C4A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8B6A66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FA60B3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2269641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60FD1E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1363AA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580EC031">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3EB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D29B21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84A952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3344390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DF2E2D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A4A65B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885DED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999DA5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564B48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5DDE69C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F7F6DC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6BE6C56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261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CD1FA4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615FEE2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7A11946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E8C511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4731F4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6BFE37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02982E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D7FA47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3FC1207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10A423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30E486EB">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70F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985F4D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3FABFF9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0BD3ED5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9D946D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E53BDA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E7F889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09C664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02E1244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F6808C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670CC23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5C5A2BFF">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1D0D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0DCF40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5EFB7D0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3075E4A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0BE158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40DEEE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F18C89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4ADC69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16C4B14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3626813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1E76819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E601454">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8E7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EDB4D4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499106F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469A06E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FB6B43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616E47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59B50B7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535CE7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19AA2F5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BC621A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480355C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00C27BF">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2C6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A26F1FF">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2481" w:type="dxa"/>
            <w:tcMar>
              <w:left w:w="28" w:type="dxa"/>
              <w:right w:w="28" w:type="dxa"/>
            </w:tcMar>
            <w:vAlign w:val="center"/>
          </w:tcPr>
          <w:p w14:paraId="3397C76F">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992" w:type="dxa"/>
            <w:tcMar>
              <w:left w:w="28" w:type="dxa"/>
              <w:right w:w="28" w:type="dxa"/>
            </w:tcMar>
            <w:vAlign w:val="center"/>
          </w:tcPr>
          <w:p w14:paraId="6465937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34053DEB">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4F96795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vAlign w:val="center"/>
          </w:tcPr>
          <w:p w14:paraId="0967DF9A">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474366FA">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Pr>
          <w:p w14:paraId="774882B3">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tcMar>
              <w:left w:w="28" w:type="dxa"/>
              <w:right w:w="28" w:type="dxa"/>
            </w:tcMar>
            <w:vAlign w:val="center"/>
          </w:tcPr>
          <w:p w14:paraId="564F214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701" w:type="dxa"/>
            <w:tcMar>
              <w:left w:w="28" w:type="dxa"/>
              <w:right w:w="28" w:type="dxa"/>
            </w:tcMar>
            <w:vAlign w:val="center"/>
          </w:tcPr>
          <w:p w14:paraId="52976484">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vAlign w:val="center"/>
          </w:tcPr>
          <w:p w14:paraId="561268E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r>
      <w:tr w14:paraId="3081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0B2E17A">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ascii="宋体" w:hAnsi="宋体"/>
                <w:color w:val="auto"/>
                <w:highlight w:val="none"/>
              </w:rPr>
              <w:t>最高投标限价（元）</w:t>
            </w:r>
          </w:p>
        </w:tc>
        <w:tc>
          <w:tcPr>
            <w:tcW w:w="10915" w:type="dxa"/>
            <w:gridSpan w:val="9"/>
          </w:tcPr>
          <w:p w14:paraId="0F5B4F1C">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2C23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C8F470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color w:val="auto"/>
                <w:szCs w:val="21"/>
                <w:highlight w:val="none"/>
              </w:rPr>
              <w:t>开标过程需记录的其他事项</w:t>
            </w:r>
          </w:p>
        </w:tc>
        <w:tc>
          <w:tcPr>
            <w:tcW w:w="10915" w:type="dxa"/>
            <w:gridSpan w:val="9"/>
          </w:tcPr>
          <w:p w14:paraId="6CE0ED33">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bl>
    <w:p w14:paraId="62C35F77">
      <w:pPr>
        <w:spacing w:line="400" w:lineRule="exact"/>
        <w:jc w:val="left"/>
        <w:rPr>
          <w:rFonts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3CEFE695">
      <w:pPr>
        <w:pStyle w:val="3"/>
        <w:rPr>
          <w:b w:val="0"/>
          <w:color w:val="auto"/>
          <w:sz w:val="24"/>
          <w:szCs w:val="24"/>
          <w:highlight w:val="none"/>
        </w:rPr>
      </w:pPr>
      <w:bookmarkStart w:id="410" w:name="_Toc256000074"/>
      <w:bookmarkStart w:id="411" w:name="_Toc165804345"/>
      <w:r>
        <w:rPr>
          <w:rFonts w:hint="eastAsia"/>
          <w:b w:val="0"/>
          <w:color w:val="auto"/>
          <w:sz w:val="24"/>
          <w:szCs w:val="24"/>
          <w:highlight w:val="none"/>
        </w:rPr>
        <w:t>附表六：投标文件问题澄清通知</w:t>
      </w:r>
      <w:bookmarkEnd w:id="410"/>
      <w:bookmarkEnd w:id="411"/>
    </w:p>
    <w:p w14:paraId="59ED7665">
      <w:pPr>
        <w:rPr>
          <w:color w:val="auto"/>
          <w:highlight w:val="none"/>
        </w:rPr>
      </w:pPr>
    </w:p>
    <w:p w14:paraId="66D3F9EE">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21BE4B69">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185AA985">
      <w:pPr>
        <w:spacing w:line="480" w:lineRule="exact"/>
        <w:rPr>
          <w:color w:val="auto"/>
          <w:highlight w:val="none"/>
        </w:rPr>
      </w:pPr>
      <w:r>
        <w:rPr>
          <w:rFonts w:hint="eastAsia"/>
          <w:color w:val="auto"/>
          <w:highlight w:val="none"/>
          <w:u w:val="single"/>
        </w:rPr>
        <w:t xml:space="preserve"> </w:t>
      </w:r>
      <w:bookmarkStart w:id="412" w:name="_Hlk144988011"/>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bookmarkEnd w:id="412"/>
      <w:r>
        <w:rPr>
          <w:rFonts w:hint="eastAsia"/>
          <w:color w:val="auto"/>
          <w:highlight w:val="none"/>
        </w:rPr>
        <w:t>（投标人名称）：</w:t>
      </w:r>
    </w:p>
    <w:p w14:paraId="166C57DE">
      <w:pPr>
        <w:spacing w:line="480" w:lineRule="exact"/>
        <w:ind w:firstLine="420" w:firstLineChars="200"/>
        <w:rPr>
          <w:color w:val="auto"/>
          <w:highlight w:val="none"/>
          <w:u w:val="single"/>
        </w:rPr>
      </w:pPr>
    </w:p>
    <w:p w14:paraId="4A973C92">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413" w:name="_Hlk120872985"/>
      <w:r>
        <w:rPr>
          <w:rFonts w:hint="eastAsia"/>
          <w:color w:val="auto"/>
          <w:highlight w:val="none"/>
        </w:rPr>
        <w:t>项目</w:t>
      </w:r>
      <w:bookmarkEnd w:id="413"/>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分前，通过电子招标投标系统（</w:t>
      </w:r>
      <w:r>
        <w:rPr>
          <w:rFonts w:hint="eastAsia"/>
          <w:bCs/>
          <w:color w:val="auto"/>
          <w:highlight w:val="none"/>
        </w:rPr>
        <w:t>辽宁省工程建设项目数字化开标评标系统</w:t>
      </w:r>
      <w:r>
        <w:rPr>
          <w:rFonts w:hint="eastAsia"/>
          <w:color w:val="auto"/>
          <w:highlight w:val="none"/>
        </w:rPr>
        <w:t>）提交给本评标委员会。</w:t>
      </w:r>
    </w:p>
    <w:p w14:paraId="16ADADD5">
      <w:pPr>
        <w:spacing w:line="440" w:lineRule="exact"/>
        <w:ind w:firstLine="420" w:firstLineChars="200"/>
        <w:rPr>
          <w:color w:val="auto"/>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w:t>
      </w:r>
    </w:p>
    <w:p w14:paraId="4663A164">
      <w:pPr>
        <w:spacing w:line="440" w:lineRule="exact"/>
        <w:rPr>
          <w:color w:val="auto"/>
          <w:highlight w:val="none"/>
        </w:rPr>
      </w:pPr>
      <w:r>
        <w:rPr>
          <w:color w:val="auto"/>
          <w:highlight w:val="none"/>
        </w:rPr>
        <w:t xml:space="preserve">   </w:t>
      </w:r>
      <w:r>
        <w:rPr>
          <w:rFonts w:hint="eastAsia"/>
          <w:color w:val="auto"/>
          <w:highlight w:val="none"/>
        </w:rPr>
        <w:t xml:space="preserve"> </w:t>
      </w:r>
      <w:r>
        <w:rPr>
          <w:color w:val="auto"/>
          <w:highlight w:val="none"/>
        </w:rPr>
        <w:t>2</w:t>
      </w:r>
      <w:r>
        <w:rPr>
          <w:rFonts w:hint="eastAsia"/>
          <w:color w:val="auto"/>
          <w:highlight w:val="none"/>
        </w:rPr>
        <w:t>.</w:t>
      </w:r>
      <w:r>
        <w:rPr>
          <w:rFonts w:hint="eastAsia" w:ascii="宋体" w:hAnsi="宋体"/>
          <w:color w:val="auto"/>
          <w:szCs w:val="21"/>
          <w:highlight w:val="none"/>
        </w:rPr>
        <w:t>……</w:t>
      </w:r>
    </w:p>
    <w:p w14:paraId="74AC939C">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p>
    <w:p w14:paraId="4DEE5B40">
      <w:pPr>
        <w:spacing w:line="480" w:lineRule="exact"/>
        <w:rPr>
          <w:color w:val="auto"/>
          <w:highlight w:val="none"/>
        </w:rPr>
      </w:pPr>
    </w:p>
    <w:p w14:paraId="0743397D">
      <w:pPr>
        <w:spacing w:line="480" w:lineRule="exact"/>
        <w:jc w:val="right"/>
        <w:rPr>
          <w:rFonts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789DF6AA">
      <w:pPr>
        <w:spacing w:line="480" w:lineRule="exact"/>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BD3DFEC">
      <w:pPr>
        <w:rPr>
          <w:rFonts w:hint="eastAsia"/>
          <w:color w:val="auto"/>
          <w:highlight w:val="none"/>
        </w:rPr>
      </w:pPr>
      <w:r>
        <w:rPr>
          <w:rFonts w:hint="eastAsia"/>
          <w:color w:val="auto"/>
          <w:highlight w:val="none"/>
        </w:rPr>
        <w:br w:type="page"/>
      </w:r>
    </w:p>
    <w:p w14:paraId="3D1A8E32">
      <w:pPr>
        <w:spacing w:line="480" w:lineRule="exact"/>
        <w:jc w:val="right"/>
        <w:rPr>
          <w:rFonts w:hint="eastAsia"/>
          <w:color w:val="auto"/>
          <w:highlight w:val="none"/>
        </w:rPr>
      </w:pPr>
    </w:p>
    <w:p w14:paraId="29F82133">
      <w:pPr>
        <w:pStyle w:val="3"/>
        <w:rPr>
          <w:rFonts w:ascii="黑体"/>
          <w:color w:val="auto"/>
          <w:sz w:val="24"/>
          <w:highlight w:val="none"/>
        </w:rPr>
      </w:pPr>
      <w:bookmarkStart w:id="414" w:name="_Toc165804346"/>
      <w:bookmarkStart w:id="415" w:name="_Toc256000075"/>
      <w:r>
        <w:rPr>
          <w:rFonts w:hint="eastAsia"/>
          <w:b w:val="0"/>
          <w:color w:val="auto"/>
          <w:sz w:val="24"/>
          <w:szCs w:val="24"/>
          <w:highlight w:val="none"/>
        </w:rPr>
        <w:t>附表七：投标文件问题的澄清</w:t>
      </w:r>
      <w:bookmarkEnd w:id="414"/>
      <w:bookmarkEnd w:id="415"/>
    </w:p>
    <w:p w14:paraId="4274EF39">
      <w:pPr>
        <w:spacing w:line="480" w:lineRule="exact"/>
        <w:rPr>
          <w:rFonts w:ascii="黑体" w:eastAsia="黑体"/>
          <w:color w:val="auto"/>
          <w:sz w:val="24"/>
          <w:highlight w:val="none"/>
        </w:rPr>
      </w:pPr>
    </w:p>
    <w:p w14:paraId="3923EF8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A46D2BA">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4293D3C9">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56C91DD3">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2E087FAB">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20F206C2">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E3D07C0">
      <w:pPr>
        <w:spacing w:line="480" w:lineRule="exact"/>
        <w:ind w:firstLine="420" w:firstLineChars="200"/>
        <w:rPr>
          <w:color w:val="auto"/>
          <w:highlight w:val="none"/>
        </w:rPr>
      </w:pPr>
    </w:p>
    <w:p w14:paraId="217336C3">
      <w:pPr>
        <w:spacing w:line="480" w:lineRule="exact"/>
        <w:ind w:firstLine="420" w:firstLineChars="200"/>
        <w:rPr>
          <w:color w:val="auto"/>
          <w:highlight w:val="none"/>
        </w:rPr>
      </w:pPr>
      <w:r>
        <w:rPr>
          <w:rFonts w:hint="eastAsia"/>
          <w:color w:val="auto"/>
          <w:highlight w:val="none"/>
        </w:rPr>
        <w:t>……</w:t>
      </w:r>
    </w:p>
    <w:p w14:paraId="6BCB2082">
      <w:pPr>
        <w:spacing w:line="480" w:lineRule="exact"/>
        <w:ind w:firstLine="420" w:firstLineChars="200"/>
        <w:rPr>
          <w:color w:val="auto"/>
          <w:highlight w:val="none"/>
        </w:rPr>
      </w:pPr>
    </w:p>
    <w:p w14:paraId="04F65C3A">
      <w:pPr>
        <w:spacing w:line="480" w:lineRule="exact"/>
        <w:ind w:firstLine="420" w:firstLineChars="200"/>
        <w:rPr>
          <w:color w:val="auto"/>
          <w:highlight w:val="none"/>
        </w:rPr>
      </w:pPr>
    </w:p>
    <w:p w14:paraId="37F4A9A1">
      <w:pPr>
        <w:spacing w:line="480" w:lineRule="exact"/>
        <w:ind w:firstLine="420" w:firstLineChars="200"/>
        <w:rPr>
          <w:color w:val="auto"/>
          <w:highlight w:val="none"/>
        </w:rPr>
      </w:pPr>
    </w:p>
    <w:p w14:paraId="2733286B">
      <w:pPr>
        <w:spacing w:line="480" w:lineRule="exact"/>
        <w:ind w:firstLine="420" w:firstLineChars="200"/>
        <w:rPr>
          <w:color w:val="auto"/>
          <w:highlight w:val="none"/>
        </w:rPr>
      </w:pPr>
    </w:p>
    <w:p w14:paraId="3293C2BB">
      <w:pPr>
        <w:spacing w:line="480" w:lineRule="exact"/>
        <w:ind w:firstLine="420" w:firstLineChars="200"/>
        <w:rPr>
          <w:color w:val="auto"/>
          <w:highlight w:val="none"/>
        </w:rPr>
      </w:pPr>
    </w:p>
    <w:p w14:paraId="05F2DB04">
      <w:pPr>
        <w:spacing w:line="480" w:lineRule="exact"/>
        <w:ind w:firstLine="420" w:firstLineChars="200"/>
        <w:rPr>
          <w:color w:val="auto"/>
          <w:highlight w:val="none"/>
        </w:rPr>
      </w:pPr>
    </w:p>
    <w:p w14:paraId="4DB0701E">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3648F282">
      <w:pPr>
        <w:wordWrap w:val="0"/>
        <w:spacing w:before="120" w:beforeLines="50" w:after="120" w:afterLines="50" w:line="480" w:lineRule="exact"/>
        <w:ind w:right="105"/>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09C5B46A">
      <w:pPr>
        <w:spacing w:line="480" w:lineRule="exact"/>
        <w:ind w:firstLine="5775" w:firstLineChars="27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84718ED">
      <w:pPr>
        <w:spacing w:line="480" w:lineRule="exact"/>
        <w:ind w:firstLine="5775" w:firstLineChars="2750"/>
        <w:rPr>
          <w:color w:val="auto"/>
          <w:highlight w:val="none"/>
        </w:rPr>
      </w:pPr>
    </w:p>
    <w:p w14:paraId="16D2FAA4">
      <w:pPr>
        <w:spacing w:line="480" w:lineRule="exact"/>
        <w:ind w:firstLine="5775" w:firstLineChars="2750"/>
        <w:rPr>
          <w:color w:val="auto"/>
          <w:highlight w:val="none"/>
        </w:rPr>
      </w:pPr>
    </w:p>
    <w:p w14:paraId="7FCC7103">
      <w:pPr>
        <w:spacing w:line="480" w:lineRule="exact"/>
        <w:ind w:firstLine="5775" w:firstLineChars="2750"/>
        <w:rPr>
          <w:color w:val="auto"/>
          <w:highlight w:val="none"/>
        </w:rPr>
      </w:pPr>
    </w:p>
    <w:p w14:paraId="4615CF45">
      <w:pPr>
        <w:spacing w:line="480" w:lineRule="exact"/>
        <w:ind w:firstLine="5775" w:firstLineChars="2750"/>
        <w:rPr>
          <w:color w:val="auto"/>
          <w:highlight w:val="none"/>
        </w:rPr>
      </w:pPr>
    </w:p>
    <w:p w14:paraId="40C83880">
      <w:pPr>
        <w:spacing w:line="480" w:lineRule="exact"/>
        <w:ind w:firstLine="5775" w:firstLineChars="2750"/>
        <w:rPr>
          <w:color w:val="auto"/>
          <w:highlight w:val="none"/>
        </w:rPr>
      </w:pPr>
    </w:p>
    <w:p w14:paraId="5BE3420A">
      <w:pPr>
        <w:spacing w:line="480" w:lineRule="exact"/>
        <w:ind w:firstLine="5145" w:firstLineChars="2450"/>
        <w:rPr>
          <w:color w:val="auto"/>
          <w:highlight w:val="none"/>
        </w:rPr>
      </w:pPr>
    </w:p>
    <w:p w14:paraId="30819B01">
      <w:pPr>
        <w:spacing w:line="480" w:lineRule="exact"/>
        <w:jc w:val="left"/>
        <w:rPr>
          <w:color w:val="auto"/>
          <w:highlight w:val="none"/>
        </w:rPr>
        <w:sectPr>
          <w:footerReference r:id="rId7" w:type="default"/>
          <w:footerReference r:id="rId8" w:type="even"/>
          <w:pgSz w:w="11906" w:h="16838"/>
          <w:pgMar w:top="1440" w:right="1797" w:bottom="1440" w:left="1797" w:header="851" w:footer="851" w:gutter="0"/>
          <w:cols w:space="720" w:num="1"/>
          <w:docGrid w:linePitch="312" w:charSpace="0"/>
        </w:sectPr>
      </w:pPr>
    </w:p>
    <w:p w14:paraId="53AF2909">
      <w:pPr>
        <w:pStyle w:val="3"/>
        <w:spacing w:before="60" w:after="60" w:line="415" w:lineRule="auto"/>
        <w:rPr>
          <w:b w:val="0"/>
          <w:color w:val="auto"/>
          <w:sz w:val="24"/>
          <w:szCs w:val="24"/>
          <w:highlight w:val="none"/>
        </w:rPr>
      </w:pPr>
      <w:bookmarkStart w:id="416" w:name="_Toc256000076"/>
      <w:bookmarkStart w:id="417" w:name="_Toc165804347"/>
      <w:r>
        <w:rPr>
          <w:rFonts w:hint="eastAsia"/>
          <w:b w:val="0"/>
          <w:color w:val="auto"/>
          <w:sz w:val="24"/>
          <w:szCs w:val="24"/>
          <w:highlight w:val="none"/>
        </w:rPr>
        <w:t>附表八：中标通知书</w:t>
      </w:r>
      <w:bookmarkEnd w:id="416"/>
      <w:bookmarkEnd w:id="417"/>
    </w:p>
    <w:p w14:paraId="63BD42F6">
      <w:pPr>
        <w:spacing w:line="360" w:lineRule="auto"/>
        <w:jc w:val="center"/>
        <w:rPr>
          <w:rFonts w:ascii="黑体" w:hAnsi="黑体" w:eastAsia="黑体"/>
          <w:b/>
          <w:color w:val="auto"/>
          <w:sz w:val="32"/>
          <w:highlight w:val="none"/>
        </w:rPr>
      </w:pPr>
      <w:r>
        <w:rPr>
          <w:rFonts w:hint="eastAsia" w:ascii="黑体" w:hAnsi="黑体" w:eastAsia="黑体"/>
          <w:b/>
          <w:color w:val="auto"/>
          <w:sz w:val="32"/>
          <w:highlight w:val="none"/>
        </w:rPr>
        <w:t>中标通知书（工程类）</w:t>
      </w:r>
    </w:p>
    <w:tbl>
      <w:tblPr>
        <w:tblStyle w:val="1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5171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631561F6">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3B67CF9F">
            <w:pPr>
              <w:keepNext w:val="0"/>
              <w:keepLines w:val="0"/>
              <w:suppressLineNumbers w:val="0"/>
              <w:spacing w:before="0" w:beforeAutospacing="0" w:after="0" w:afterAutospacing="0" w:line="360" w:lineRule="auto"/>
              <w:ind w:left="0" w:right="210"/>
              <w:jc w:val="right"/>
              <w:rPr>
                <w:rFonts w:hint="default"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083A1788">
      <w:pPr>
        <w:spacing w:line="360" w:lineRule="auto"/>
        <w:ind w:firstLine="420"/>
        <w:rPr>
          <w:rFonts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4C8FEC4D">
      <w:pPr>
        <w:spacing w:line="360" w:lineRule="auto"/>
        <w:jc w:val="center"/>
        <w:rPr>
          <w:rFonts w:ascii="宋体" w:hAnsi="宋体"/>
          <w:b/>
          <w:color w:val="auto"/>
          <w:szCs w:val="21"/>
          <w:highlight w:val="none"/>
        </w:rPr>
      </w:pPr>
      <w:r>
        <w:rPr>
          <w:rFonts w:hint="eastAsia" w:ascii="宋体" w:hAnsi="宋体"/>
          <w:b/>
          <w:color w:val="auto"/>
          <w:szCs w:val="21"/>
          <w:highlight w:val="none"/>
        </w:rPr>
        <w:t>工程概况及中标内容</w:t>
      </w:r>
    </w:p>
    <w:tbl>
      <w:tblPr>
        <w:tblStyle w:val="17"/>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0937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08BF28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12191" w:type="dxa"/>
            <w:gridSpan w:val="6"/>
            <w:shd w:val="clear" w:color="auto" w:fill="auto"/>
            <w:vAlign w:val="center"/>
          </w:tcPr>
          <w:p w14:paraId="49613EA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6A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DBF96A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标段名称</w:t>
            </w:r>
          </w:p>
        </w:tc>
        <w:tc>
          <w:tcPr>
            <w:tcW w:w="12191" w:type="dxa"/>
            <w:gridSpan w:val="6"/>
            <w:shd w:val="clear" w:color="auto" w:fill="auto"/>
            <w:vAlign w:val="center"/>
          </w:tcPr>
          <w:p w14:paraId="7B392F0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568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4ADB25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工程性质</w:t>
            </w:r>
          </w:p>
        </w:tc>
        <w:tc>
          <w:tcPr>
            <w:tcW w:w="5070" w:type="dxa"/>
            <w:gridSpan w:val="2"/>
            <w:shd w:val="clear" w:color="auto" w:fill="auto"/>
            <w:vAlign w:val="center"/>
          </w:tcPr>
          <w:p w14:paraId="45EB142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9" w:type="dxa"/>
            <w:gridSpan w:val="2"/>
            <w:shd w:val="clear" w:color="auto" w:fill="auto"/>
            <w:vAlign w:val="center"/>
          </w:tcPr>
          <w:p w14:paraId="7C5C373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4760" w:type="dxa"/>
            <w:gridSpan w:val="2"/>
            <w:shd w:val="clear" w:color="auto" w:fill="auto"/>
            <w:vAlign w:val="center"/>
          </w:tcPr>
          <w:p w14:paraId="4E07A89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A75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DFF3AF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建设地址</w:t>
            </w:r>
          </w:p>
        </w:tc>
        <w:tc>
          <w:tcPr>
            <w:tcW w:w="12191" w:type="dxa"/>
            <w:gridSpan w:val="6"/>
            <w:shd w:val="clear" w:color="auto" w:fill="auto"/>
            <w:vAlign w:val="center"/>
          </w:tcPr>
          <w:p w14:paraId="16C6C82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4E9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C35917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中标内容</w:t>
            </w:r>
          </w:p>
        </w:tc>
        <w:tc>
          <w:tcPr>
            <w:tcW w:w="12191" w:type="dxa"/>
            <w:gridSpan w:val="6"/>
            <w:shd w:val="clear" w:color="auto" w:fill="auto"/>
            <w:vAlign w:val="center"/>
          </w:tcPr>
          <w:p w14:paraId="22351BB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C72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shd w:val="clear" w:color="auto" w:fill="auto"/>
            <w:vAlign w:val="center"/>
          </w:tcPr>
          <w:p w14:paraId="3F7F7A6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计划工期</w:t>
            </w:r>
          </w:p>
        </w:tc>
        <w:tc>
          <w:tcPr>
            <w:tcW w:w="5120" w:type="dxa"/>
            <w:gridSpan w:val="3"/>
            <w:shd w:val="clear" w:color="auto" w:fill="auto"/>
            <w:vAlign w:val="center"/>
          </w:tcPr>
          <w:p w14:paraId="621EE1D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322EF62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总工期（日历天）</w:t>
            </w:r>
          </w:p>
        </w:tc>
        <w:tc>
          <w:tcPr>
            <w:tcW w:w="4714" w:type="dxa"/>
            <w:shd w:val="clear" w:color="auto" w:fill="auto"/>
            <w:vAlign w:val="center"/>
          </w:tcPr>
          <w:p w14:paraId="555FA90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C8D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38C713B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w:t>
            </w:r>
          </w:p>
        </w:tc>
        <w:tc>
          <w:tcPr>
            <w:tcW w:w="5120" w:type="dxa"/>
            <w:gridSpan w:val="3"/>
            <w:shd w:val="clear" w:color="auto" w:fill="auto"/>
            <w:vAlign w:val="center"/>
          </w:tcPr>
          <w:p w14:paraId="0A340B2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4E200C7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4714" w:type="dxa"/>
            <w:shd w:val="clear" w:color="auto" w:fill="auto"/>
            <w:vAlign w:val="center"/>
          </w:tcPr>
          <w:p w14:paraId="4E963C6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B8E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3AFEDD6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c>
          <w:tcPr>
            <w:tcW w:w="2765" w:type="dxa"/>
            <w:shd w:val="clear" w:color="auto" w:fill="auto"/>
            <w:vAlign w:val="center"/>
          </w:tcPr>
          <w:p w14:paraId="37C2247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gridSpan w:val="2"/>
            <w:shd w:val="clear" w:color="auto" w:fill="auto"/>
            <w:vAlign w:val="center"/>
          </w:tcPr>
          <w:p w14:paraId="021B3CA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资格证书及编号</w:t>
            </w:r>
          </w:p>
        </w:tc>
        <w:tc>
          <w:tcPr>
            <w:tcW w:w="7070" w:type="dxa"/>
            <w:gridSpan w:val="3"/>
            <w:shd w:val="clear" w:color="auto" w:fill="auto"/>
            <w:vAlign w:val="center"/>
          </w:tcPr>
          <w:p w14:paraId="17C4B28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07E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shd w:val="clear" w:color="auto" w:fill="auto"/>
            <w:vAlign w:val="center"/>
          </w:tcPr>
          <w:p w14:paraId="725C939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中标金额</w:t>
            </w:r>
          </w:p>
        </w:tc>
        <w:tc>
          <w:tcPr>
            <w:tcW w:w="12191" w:type="dxa"/>
            <w:gridSpan w:val="6"/>
            <w:shd w:val="clear" w:color="auto" w:fill="auto"/>
            <w:vAlign w:val="center"/>
          </w:tcPr>
          <w:p w14:paraId="7613DA85">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大写：</w:t>
            </w:r>
          </w:p>
        </w:tc>
      </w:tr>
      <w:tr w14:paraId="33D1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shd w:val="clear" w:color="auto" w:fill="auto"/>
            <w:vAlign w:val="center"/>
          </w:tcPr>
          <w:p w14:paraId="3D049E6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191" w:type="dxa"/>
            <w:gridSpan w:val="6"/>
            <w:shd w:val="clear" w:color="auto" w:fill="auto"/>
            <w:vAlign w:val="center"/>
          </w:tcPr>
          <w:p w14:paraId="64DABE7F">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小写：</w:t>
            </w:r>
          </w:p>
        </w:tc>
      </w:tr>
      <w:tr w14:paraId="2DD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14DD659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需要说明的事项</w:t>
            </w:r>
          </w:p>
        </w:tc>
        <w:tc>
          <w:tcPr>
            <w:tcW w:w="12191" w:type="dxa"/>
            <w:gridSpan w:val="6"/>
            <w:shd w:val="clear" w:color="auto" w:fill="auto"/>
            <w:vAlign w:val="center"/>
          </w:tcPr>
          <w:p w14:paraId="113A500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78B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shd w:val="clear" w:color="auto" w:fill="auto"/>
            <w:vAlign w:val="center"/>
          </w:tcPr>
          <w:p w14:paraId="75115BFC">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1EA050DF">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招标人（盖章）</w:t>
            </w:r>
          </w:p>
          <w:p w14:paraId="3D643E06">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29989434">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1" w:type="dxa"/>
            <w:gridSpan w:val="4"/>
            <w:shd w:val="clear" w:color="auto" w:fill="auto"/>
            <w:vAlign w:val="center"/>
          </w:tcPr>
          <w:p w14:paraId="43FDB4E1">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2078638B">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招标代理（盖章）</w:t>
            </w:r>
          </w:p>
          <w:p w14:paraId="7BD064A8">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60D5040F">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4" w:type="dxa"/>
            <w:shd w:val="clear" w:color="auto" w:fill="auto"/>
            <w:vAlign w:val="center"/>
          </w:tcPr>
          <w:p w14:paraId="381ACD2C">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p w14:paraId="29FB516F">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监管部门（盖章）</w:t>
            </w:r>
          </w:p>
          <w:p w14:paraId="4215B55D">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经办人（签章）</w:t>
            </w:r>
          </w:p>
          <w:p w14:paraId="41094CC6">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r>
    </w:tbl>
    <w:p w14:paraId="71E22283">
      <w:pPr>
        <w:widowControl/>
        <w:jc w:val="left"/>
        <w:rPr>
          <w:color w:val="auto"/>
          <w:highlight w:val="none"/>
        </w:rPr>
        <w:sectPr>
          <w:pgSz w:w="16838" w:h="11906" w:orient="landscape"/>
          <w:pgMar w:top="1276" w:right="1440" w:bottom="1134" w:left="1440" w:header="851" w:footer="851" w:gutter="0"/>
          <w:cols w:space="720" w:num="1"/>
          <w:docGrid w:linePitch="312" w:charSpace="0"/>
        </w:sectPr>
      </w:pPr>
      <w:r>
        <w:rPr>
          <w:color w:val="auto"/>
          <w:highlight w:val="none"/>
        </w:rPr>
        <w:br w:type="page"/>
      </w:r>
    </w:p>
    <w:p w14:paraId="31BAD816">
      <w:pPr>
        <w:widowControl/>
        <w:jc w:val="left"/>
        <w:rPr>
          <w:color w:val="auto"/>
          <w:highlight w:val="none"/>
        </w:rPr>
      </w:pPr>
    </w:p>
    <w:p w14:paraId="14D6A473">
      <w:pPr>
        <w:pStyle w:val="3"/>
        <w:rPr>
          <w:rFonts w:ascii="黑体"/>
          <w:color w:val="auto"/>
          <w:sz w:val="24"/>
          <w:highlight w:val="none"/>
        </w:rPr>
      </w:pPr>
      <w:bookmarkStart w:id="418" w:name="_Toc165804348"/>
      <w:bookmarkStart w:id="419" w:name="_Toc256000077"/>
      <w:r>
        <w:rPr>
          <w:rFonts w:hint="eastAsia"/>
          <w:b w:val="0"/>
          <w:color w:val="auto"/>
          <w:sz w:val="24"/>
          <w:szCs w:val="24"/>
          <w:highlight w:val="none"/>
        </w:rPr>
        <w:t>附表九：中标结果通知书</w:t>
      </w:r>
      <w:bookmarkEnd w:id="418"/>
      <w:bookmarkEnd w:id="419"/>
    </w:p>
    <w:p w14:paraId="1262928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79CB56BA">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3BBB9BAF">
      <w:pPr>
        <w:spacing w:line="480" w:lineRule="exact"/>
        <w:rPr>
          <w:color w:val="auto"/>
          <w:highlight w:val="none"/>
        </w:rPr>
      </w:pPr>
    </w:p>
    <w:p w14:paraId="0CCBB12A">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14573216">
      <w:pPr>
        <w:spacing w:line="480" w:lineRule="exact"/>
        <w:ind w:firstLine="420" w:firstLineChars="200"/>
        <w:rPr>
          <w:color w:val="auto"/>
          <w:highlight w:val="none"/>
        </w:rPr>
      </w:pPr>
    </w:p>
    <w:p w14:paraId="72906968">
      <w:pPr>
        <w:spacing w:line="480" w:lineRule="exact"/>
        <w:ind w:firstLine="420" w:firstLineChars="200"/>
        <w:rPr>
          <w:color w:val="auto"/>
          <w:highlight w:val="none"/>
        </w:rPr>
      </w:pPr>
      <w:r>
        <w:rPr>
          <w:rFonts w:hint="eastAsia"/>
          <w:color w:val="auto"/>
          <w:highlight w:val="none"/>
        </w:rPr>
        <w:t>感谢你单位对我方工作的大力支持!</w:t>
      </w:r>
    </w:p>
    <w:p w14:paraId="40AF9719">
      <w:pPr>
        <w:spacing w:line="480" w:lineRule="exact"/>
        <w:ind w:firstLine="420" w:firstLineChars="200"/>
        <w:rPr>
          <w:color w:val="auto"/>
          <w:highlight w:val="none"/>
        </w:rPr>
      </w:pPr>
    </w:p>
    <w:p w14:paraId="386C0134">
      <w:pPr>
        <w:spacing w:line="480" w:lineRule="exact"/>
        <w:ind w:firstLine="420" w:firstLineChars="200"/>
        <w:rPr>
          <w:color w:val="auto"/>
          <w:highlight w:val="none"/>
        </w:rPr>
      </w:pPr>
    </w:p>
    <w:p w14:paraId="0098026C">
      <w:pPr>
        <w:spacing w:line="480" w:lineRule="exact"/>
        <w:ind w:firstLine="420" w:firstLineChars="200"/>
        <w:rPr>
          <w:color w:val="auto"/>
          <w:highlight w:val="none"/>
        </w:rPr>
      </w:pPr>
    </w:p>
    <w:p w14:paraId="43E22055">
      <w:pPr>
        <w:spacing w:line="480" w:lineRule="exact"/>
        <w:ind w:firstLine="420" w:firstLineChars="200"/>
        <w:rPr>
          <w:color w:val="auto"/>
          <w:highlight w:val="none"/>
        </w:rPr>
      </w:pPr>
    </w:p>
    <w:p w14:paraId="708BA8E1">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6AA3209D">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w:t>
      </w:r>
      <w:bookmarkStart w:id="420" w:name="_Hlk152171080"/>
      <w:r>
        <w:rPr>
          <w:rFonts w:hint="eastAsia" w:ascii="宋体" w:hAnsi="宋体"/>
          <w:color w:val="auto"/>
          <w:highlight w:val="none"/>
        </w:rPr>
        <w:t>签章</w:t>
      </w:r>
      <w:bookmarkEnd w:id="420"/>
      <w:r>
        <w:rPr>
          <w:rFonts w:hint="eastAsia" w:ascii="宋体" w:hAnsi="宋体"/>
          <w:color w:val="auto"/>
          <w:highlight w:val="none"/>
        </w:rPr>
        <w:t xml:space="preserve">） </w:t>
      </w:r>
    </w:p>
    <w:p w14:paraId="433D8E44">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64D5CE35">
      <w:pPr>
        <w:spacing w:line="480" w:lineRule="exact"/>
        <w:ind w:firstLine="4689" w:firstLineChars="2233"/>
        <w:jc w:val="right"/>
        <w:rPr>
          <w:color w:val="auto"/>
          <w:highlight w:val="none"/>
        </w:rPr>
      </w:pPr>
    </w:p>
    <w:p w14:paraId="36BD6BD0">
      <w:pPr>
        <w:spacing w:line="480" w:lineRule="exact"/>
        <w:ind w:firstLine="4689" w:firstLineChars="2233"/>
        <w:jc w:val="right"/>
        <w:rPr>
          <w:color w:val="auto"/>
          <w:highlight w:val="none"/>
        </w:rPr>
      </w:pPr>
    </w:p>
    <w:p w14:paraId="22F8002E">
      <w:pPr>
        <w:spacing w:line="480" w:lineRule="exact"/>
        <w:ind w:firstLine="4689" w:firstLineChars="2233"/>
        <w:jc w:val="right"/>
        <w:rPr>
          <w:color w:val="auto"/>
          <w:highlight w:val="none"/>
        </w:rPr>
      </w:pPr>
    </w:p>
    <w:p w14:paraId="2C1458E3">
      <w:pPr>
        <w:spacing w:line="480" w:lineRule="exact"/>
        <w:ind w:firstLine="4689" w:firstLineChars="2233"/>
        <w:jc w:val="right"/>
        <w:rPr>
          <w:color w:val="auto"/>
          <w:highlight w:val="none"/>
        </w:rPr>
      </w:pPr>
    </w:p>
    <w:p w14:paraId="7CD50F5D">
      <w:pPr>
        <w:spacing w:line="480" w:lineRule="exact"/>
        <w:rPr>
          <w:color w:val="auto"/>
          <w:highlight w:val="none"/>
        </w:rPr>
      </w:pPr>
    </w:p>
    <w:p w14:paraId="3BC6ED0F">
      <w:pPr>
        <w:spacing w:line="480" w:lineRule="exact"/>
        <w:rPr>
          <w:color w:val="auto"/>
          <w:highlight w:val="none"/>
        </w:rPr>
      </w:pPr>
    </w:p>
    <w:p w14:paraId="75A35072">
      <w:pPr>
        <w:spacing w:line="480" w:lineRule="exact"/>
        <w:rPr>
          <w:color w:val="auto"/>
          <w:highlight w:val="none"/>
        </w:rPr>
      </w:pPr>
      <w:r>
        <w:rPr>
          <w:color w:val="auto"/>
          <w:highlight w:val="none"/>
        </w:rPr>
        <w:br w:type="page"/>
      </w:r>
    </w:p>
    <w:p w14:paraId="745B83C0">
      <w:pPr>
        <w:pStyle w:val="3"/>
        <w:rPr>
          <w:rFonts w:ascii="仿宋_GB2312" w:hAnsi="黑体" w:eastAsia="仿宋_GB2312"/>
          <w:b w:val="0"/>
          <w:bCs w:val="0"/>
          <w:color w:val="auto"/>
          <w:spacing w:val="12"/>
          <w:sz w:val="24"/>
          <w:highlight w:val="none"/>
        </w:rPr>
      </w:pPr>
      <w:bookmarkStart w:id="421" w:name="_Toc165804349"/>
      <w:bookmarkStart w:id="422" w:name="_Toc256000078"/>
      <w:r>
        <w:rPr>
          <w:rFonts w:hint="eastAsia"/>
          <w:b w:val="0"/>
          <w:color w:val="auto"/>
          <w:sz w:val="24"/>
          <w:szCs w:val="24"/>
          <w:highlight w:val="none"/>
        </w:rPr>
        <w:t>附表十：异议书</w:t>
      </w:r>
      <w:bookmarkEnd w:id="421"/>
      <w:bookmarkEnd w:id="422"/>
    </w:p>
    <w:p w14:paraId="3F3709E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6E54047E">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62F5DCDD">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F9A3FD9">
      <w:pPr>
        <w:adjustRightInd w:val="0"/>
        <w:snapToGrid w:val="0"/>
        <w:spacing w:line="500" w:lineRule="exact"/>
        <w:ind w:firstLine="420" w:firstLineChars="200"/>
        <w:rPr>
          <w:rFonts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D4794F2">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6B4B9B2">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6A47195">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07E3E7FD">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211B2AB">
      <w:pPr>
        <w:adjustRightInd w:val="0"/>
        <w:snapToGrid w:val="0"/>
        <w:spacing w:line="500" w:lineRule="exact"/>
        <w:ind w:firstLine="420" w:firstLineChars="200"/>
        <w:rPr>
          <w:rFonts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6919171">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D507C2F">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0497FF32">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2FE9A8EE">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1FFF3CA9">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33BCFACE">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527B4E4B">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33878107">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2A39CF5F">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0F2AAB41">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369CCF50">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50BAAB2F">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5C2C89D4">
      <w:pPr>
        <w:widowControl/>
        <w:adjustRightInd w:val="0"/>
        <w:snapToGrid w:val="0"/>
        <w:spacing w:line="500" w:lineRule="exact"/>
        <w:jc w:val="left"/>
        <w:rPr>
          <w:rFonts w:ascii="宋体" w:hAnsi="宋体" w:cs="宋体"/>
          <w:color w:val="auto"/>
          <w:kern w:val="0"/>
          <w:szCs w:val="21"/>
          <w:highlight w:val="none"/>
        </w:rPr>
      </w:pPr>
    </w:p>
    <w:p w14:paraId="2485EC81">
      <w:pPr>
        <w:widowControl/>
        <w:spacing w:line="360" w:lineRule="auto"/>
        <w:ind w:left="99" w:leftChars="47"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4F14C93">
      <w:pPr>
        <w:widowControl/>
        <w:spacing w:line="360" w:lineRule="auto"/>
        <w:ind w:left="99" w:leftChars="47" w:firstLine="2520" w:firstLineChars="1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0C383EB1">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6CF18452">
      <w:pPr>
        <w:ind w:firstLine="420"/>
        <w:rPr>
          <w:rFonts w:ascii="仿宋_GB2312" w:eastAsia="仿宋_GB2312"/>
          <w:color w:val="auto"/>
          <w:szCs w:val="21"/>
          <w:highlight w:val="none"/>
        </w:rPr>
      </w:pPr>
      <w:r>
        <w:rPr>
          <w:rFonts w:ascii="仿宋_GB2312" w:eastAsia="仿宋_GB2312"/>
          <w:color w:val="auto"/>
          <w:szCs w:val="21"/>
          <w:highlight w:val="none"/>
        </w:rPr>
        <w:br w:type="page"/>
      </w:r>
    </w:p>
    <w:p w14:paraId="4CC3A2AA">
      <w:pPr>
        <w:ind w:firstLine="420"/>
        <w:jc w:val="right"/>
        <w:rPr>
          <w:rFonts w:ascii="仿宋_GB2312" w:eastAsia="仿宋_GB2312"/>
          <w:color w:val="auto"/>
          <w:szCs w:val="21"/>
          <w:highlight w:val="none"/>
        </w:rPr>
      </w:pPr>
    </w:p>
    <w:p w14:paraId="73A178F4">
      <w:pPr>
        <w:pStyle w:val="3"/>
        <w:rPr>
          <w:b w:val="0"/>
          <w:color w:val="auto"/>
          <w:sz w:val="24"/>
          <w:szCs w:val="24"/>
          <w:highlight w:val="none"/>
        </w:rPr>
      </w:pPr>
      <w:bookmarkStart w:id="423" w:name="_Toc353544011"/>
      <w:bookmarkStart w:id="424" w:name="_Toc256000079"/>
      <w:bookmarkStart w:id="425" w:name="_Toc165804350"/>
      <w:r>
        <w:rPr>
          <w:rFonts w:hint="eastAsia"/>
          <w:b w:val="0"/>
          <w:color w:val="auto"/>
          <w:sz w:val="24"/>
          <w:szCs w:val="24"/>
          <w:highlight w:val="none"/>
        </w:rPr>
        <w:t>附表十一：异议答复函</w:t>
      </w:r>
      <w:bookmarkEnd w:id="423"/>
      <w:bookmarkEnd w:id="424"/>
      <w:bookmarkEnd w:id="425"/>
    </w:p>
    <w:p w14:paraId="6F1D65D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1D5B910D">
      <w:pPr>
        <w:rPr>
          <w:rFonts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440C4210">
      <w:pPr>
        <w:spacing w:line="360" w:lineRule="auto"/>
        <w:ind w:firstLine="420" w:firstLineChars="200"/>
        <w:rPr>
          <w:rFonts w:ascii="宋体" w:hAnsi="宋体" w:cs="宋体"/>
          <w:color w:val="auto"/>
          <w:kern w:val="0"/>
          <w:szCs w:val="21"/>
          <w:highlight w:val="none"/>
        </w:rPr>
      </w:pPr>
    </w:p>
    <w:p w14:paraId="24962CEA">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6FB90A56">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7FF9D62A">
      <w:pPr>
        <w:spacing w:line="360" w:lineRule="auto"/>
        <w:ind w:firstLine="420" w:firstLineChars="200"/>
        <w:rPr>
          <w:rFonts w:ascii="宋体" w:hAnsi="宋体" w:cs="仿宋_GB2312"/>
          <w:color w:val="auto"/>
          <w:kern w:val="0"/>
          <w:szCs w:val="21"/>
          <w:highlight w:val="none"/>
        </w:rPr>
      </w:pPr>
    </w:p>
    <w:p w14:paraId="0A32B7BA">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F8349BD">
      <w:pPr>
        <w:spacing w:line="360" w:lineRule="auto"/>
        <w:ind w:firstLine="420" w:firstLineChars="200"/>
        <w:rPr>
          <w:rFonts w:ascii="宋体" w:hAnsi="宋体" w:cs="仿宋_GB2312"/>
          <w:color w:val="auto"/>
          <w:kern w:val="0"/>
          <w:szCs w:val="21"/>
          <w:highlight w:val="none"/>
        </w:rPr>
      </w:pPr>
    </w:p>
    <w:p w14:paraId="1BD6F7D1">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BF3BF22">
      <w:pPr>
        <w:spacing w:line="360" w:lineRule="auto"/>
        <w:ind w:firstLine="420" w:firstLineChars="200"/>
        <w:rPr>
          <w:rFonts w:ascii="宋体" w:hAnsi="宋体" w:cs="仿宋_GB2312"/>
          <w:bCs/>
          <w:color w:val="auto"/>
          <w:kern w:val="0"/>
          <w:szCs w:val="21"/>
          <w:highlight w:val="none"/>
          <w:u w:val="single"/>
        </w:rPr>
      </w:pPr>
    </w:p>
    <w:p w14:paraId="00301B03">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2770838">
      <w:pPr>
        <w:spacing w:line="360" w:lineRule="auto"/>
        <w:ind w:firstLine="420" w:firstLineChars="200"/>
        <w:rPr>
          <w:rFonts w:ascii="宋体" w:hAnsi="宋体" w:cs="仿宋_GB2312"/>
          <w:bCs/>
          <w:color w:val="auto"/>
          <w:kern w:val="0"/>
          <w:szCs w:val="21"/>
          <w:highlight w:val="none"/>
          <w:u w:val="single"/>
        </w:rPr>
      </w:pPr>
    </w:p>
    <w:p w14:paraId="6B6D00DE">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1EB17F2">
      <w:pPr>
        <w:spacing w:line="360" w:lineRule="auto"/>
        <w:ind w:firstLine="420" w:firstLineChars="200"/>
        <w:rPr>
          <w:rFonts w:ascii="宋体" w:hAnsi="宋体" w:cs="仿宋_GB2312"/>
          <w:bCs/>
          <w:color w:val="auto"/>
          <w:kern w:val="0"/>
          <w:szCs w:val="21"/>
          <w:highlight w:val="none"/>
          <w:u w:val="single"/>
        </w:rPr>
      </w:pPr>
    </w:p>
    <w:p w14:paraId="659D6414">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C652EAB">
      <w:pPr>
        <w:adjustRightInd w:val="0"/>
        <w:snapToGrid w:val="0"/>
        <w:spacing w:line="360" w:lineRule="auto"/>
        <w:ind w:firstLine="422" w:firstLineChars="200"/>
        <w:rPr>
          <w:rFonts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470FB861">
      <w:pPr>
        <w:adjustRightInd w:val="0"/>
        <w:snapToGrid w:val="0"/>
        <w:rPr>
          <w:rFonts w:ascii="宋体" w:hAnsi="宋体" w:cs="黑体"/>
          <w:color w:val="auto"/>
          <w:kern w:val="0"/>
          <w:szCs w:val="21"/>
          <w:highlight w:val="none"/>
        </w:rPr>
      </w:pPr>
    </w:p>
    <w:p w14:paraId="3972869A">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6361FC12">
      <w:pPr>
        <w:widowControl/>
        <w:spacing w:line="360" w:lineRule="auto"/>
        <w:ind w:firstLine="4200" w:firstLineChars="2000"/>
        <w:jc w:val="left"/>
        <w:rPr>
          <w:rFonts w:ascii="宋体" w:hAnsi="宋体" w:cs="仿宋_GB2312"/>
          <w:color w:val="auto"/>
          <w:kern w:val="0"/>
          <w:szCs w:val="21"/>
          <w:highlight w:val="none"/>
        </w:rPr>
      </w:pPr>
    </w:p>
    <w:p w14:paraId="3CDB7C54">
      <w:pPr>
        <w:widowControl/>
        <w:spacing w:line="360" w:lineRule="auto"/>
        <w:ind w:firstLine="4200" w:firstLineChars="2000"/>
        <w:jc w:val="left"/>
        <w:rPr>
          <w:rFonts w:ascii="宋体" w:hAnsi="宋体" w:cs="仿宋_GB2312"/>
          <w:color w:val="auto"/>
          <w:kern w:val="0"/>
          <w:szCs w:val="21"/>
          <w:highlight w:val="none"/>
        </w:rPr>
      </w:pPr>
    </w:p>
    <w:p w14:paraId="0FFBB33B">
      <w:pPr>
        <w:widowControl/>
        <w:spacing w:line="360" w:lineRule="auto"/>
        <w:ind w:firstLine="4200" w:firstLineChars="2000"/>
        <w:jc w:val="left"/>
        <w:rPr>
          <w:rFonts w:ascii="宋体" w:hAnsi="宋体" w:cs="仿宋_GB2312"/>
          <w:color w:val="auto"/>
          <w:kern w:val="0"/>
          <w:szCs w:val="21"/>
          <w:highlight w:val="none"/>
        </w:rPr>
      </w:pPr>
    </w:p>
    <w:p w14:paraId="59A66245">
      <w:pPr>
        <w:widowControl/>
        <w:spacing w:line="360" w:lineRule="auto"/>
        <w:ind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578E46B8">
      <w:pPr>
        <w:widowControl/>
        <w:spacing w:line="360" w:lineRule="auto"/>
        <w:ind w:left="99" w:leftChars="47" w:firstLine="3780" w:firstLineChars="18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3F6CAFDC">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0300429D">
      <w:pPr>
        <w:ind w:left="630" w:hanging="630" w:hangingChars="300"/>
        <w:rPr>
          <w:rFonts w:ascii="宋体" w:hAnsi="宋体"/>
          <w:color w:val="auto"/>
          <w:szCs w:val="21"/>
          <w:highlight w:val="none"/>
        </w:rPr>
      </w:pPr>
      <w:r>
        <w:rPr>
          <w:rFonts w:hint="eastAsia" w:ascii="宋体" w:hAnsi="宋体"/>
          <w:color w:val="auto"/>
          <w:szCs w:val="21"/>
          <w:highlight w:val="none"/>
        </w:rPr>
        <w:t xml:space="preserve">                      </w:t>
      </w:r>
    </w:p>
    <w:p w14:paraId="51C99B03">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35A23A25">
      <w:pPr>
        <w:bidi w:val="0"/>
      </w:pPr>
      <w:bookmarkStart w:id="426" w:name="_Toc152265814_0"/>
    </w:p>
    <w:p w14:paraId="00EDCE10">
      <w:pPr>
        <w:bidi w:val="0"/>
      </w:pPr>
    </w:p>
    <w:p w14:paraId="5524B561">
      <w:pPr>
        <w:bidi w:val="0"/>
      </w:pPr>
    </w:p>
    <w:p w14:paraId="362DAB6E">
      <w:pPr>
        <w:bidi w:val="0"/>
      </w:pPr>
    </w:p>
    <w:p w14:paraId="3C454D43">
      <w:pPr>
        <w:bidi w:val="0"/>
      </w:pPr>
    </w:p>
    <w:p w14:paraId="4F65DD3A">
      <w:pPr>
        <w:bidi w:val="0"/>
      </w:pPr>
    </w:p>
    <w:p w14:paraId="5C6FF302">
      <w:pPr>
        <w:bidi w:val="0"/>
      </w:pPr>
    </w:p>
    <w:p w14:paraId="06745716">
      <w:pPr>
        <w:bidi w:val="0"/>
      </w:pPr>
    </w:p>
    <w:p w14:paraId="1A5E8BD6">
      <w:pPr>
        <w:bidi w:val="0"/>
      </w:pPr>
    </w:p>
    <w:p w14:paraId="276C3593">
      <w:pPr>
        <w:bidi w:val="0"/>
      </w:pPr>
    </w:p>
    <w:p w14:paraId="35EA459B">
      <w:pPr>
        <w:bidi w:val="0"/>
      </w:pPr>
    </w:p>
    <w:p w14:paraId="29EAB2D9">
      <w:pPr>
        <w:bidi w:val="0"/>
      </w:pPr>
    </w:p>
    <w:p w14:paraId="0DC6CC7F">
      <w:pPr>
        <w:bidi w:val="0"/>
      </w:pPr>
    </w:p>
    <w:p w14:paraId="40DEDA34">
      <w:pPr>
        <w:bidi w:val="0"/>
      </w:pPr>
    </w:p>
    <w:p w14:paraId="28497956">
      <w:pPr>
        <w:bidi w:val="0"/>
      </w:pPr>
    </w:p>
    <w:p w14:paraId="72D85678">
      <w:pPr>
        <w:bidi w:val="0"/>
      </w:pPr>
    </w:p>
    <w:p w14:paraId="4D737FEB">
      <w:pPr>
        <w:bidi w:val="0"/>
      </w:pPr>
    </w:p>
    <w:p w14:paraId="19B7630A">
      <w:pPr>
        <w:bidi w:val="0"/>
      </w:pPr>
    </w:p>
    <w:p w14:paraId="3263E177">
      <w:pPr>
        <w:bidi w:val="0"/>
      </w:pPr>
    </w:p>
    <w:p w14:paraId="18347C8A">
      <w:pPr>
        <w:pStyle w:val="2"/>
        <w:spacing w:before="120" w:after="120" w:line="400" w:lineRule="exact"/>
        <w:jc w:val="center"/>
        <w:outlineLvl w:val="0"/>
        <w:sectPr>
          <w:footerReference r:id="rId11" w:type="default"/>
          <w:pgSz w:w="11906" w:h="16838"/>
          <w:pgMar w:top="1440" w:right="1800" w:bottom="1440" w:left="1800" w:header="851" w:footer="992" w:gutter="0"/>
          <w:pgNumType w:fmt="decimal"/>
          <w:cols w:space="425" w:num="1"/>
          <w:docGrid w:type="lines" w:linePitch="312" w:charSpace="0"/>
        </w:sectPr>
      </w:pPr>
      <w:bookmarkStart w:id="427" w:name="_Toc256000080"/>
      <w:r>
        <w:rPr>
          <w:rFonts w:ascii="黑体" w:hAnsi="黑体" w:eastAsia="黑体"/>
          <w:b w:val="0"/>
          <w:bCs w:val="0"/>
          <w:sz w:val="32"/>
        </w:rPr>
        <w:t>第三章</w:t>
      </w:r>
      <w:r>
        <w:rPr>
          <w:rFonts w:hint="eastAsia" w:ascii="黑体" w:hAnsi="黑体" w:eastAsia="黑体"/>
          <w:b w:val="0"/>
          <w:bCs w:val="0"/>
          <w:sz w:val="32"/>
        </w:rPr>
        <w:t xml:space="preserve"> </w:t>
      </w:r>
      <w:r>
        <w:rPr>
          <w:rFonts w:hint="eastAsia" w:ascii="黑体" w:hAnsi="黑体" w:eastAsia="黑体"/>
          <w:b w:val="0"/>
          <w:bCs w:val="0"/>
          <w:sz w:val="32"/>
          <w:lang w:val="en-US" w:eastAsia="zh-CN"/>
        </w:rPr>
        <w:t xml:space="preserve"> </w:t>
      </w:r>
      <w:r>
        <w:rPr>
          <w:rFonts w:ascii="黑体" w:hAnsi="黑体" w:eastAsia="黑体"/>
          <w:b w:val="0"/>
          <w:bCs w:val="0"/>
          <w:sz w:val="32"/>
        </w:rPr>
        <w:t>评标办法</w:t>
      </w:r>
      <w:r>
        <w:rPr>
          <w:rFonts w:hint="eastAsia" w:ascii="黑体" w:hAnsi="黑体" w:eastAsia="黑体"/>
          <w:b w:val="0"/>
          <w:bCs w:val="0"/>
          <w:sz w:val="32"/>
          <w:lang w:val="en-US" w:eastAsia="zh-CN"/>
        </w:rPr>
        <w:t xml:space="preserve">                                                                                                                                                                                                                                                                                                                                                                                                                                                                                                                                                                                                                                                                                                                                                                                                                                                                                                                                                                                                                                                                                                                                                                                                                                                                                                                                                                                                                                                                                                                                                                                                                                                                                                                                                                                                                                                    </w:t>
      </w:r>
      <w:bookmarkEnd w:id="426"/>
      <w:bookmarkEnd w:id="427"/>
    </w:p>
    <w:p w14:paraId="279AFC8D">
      <w:pPr>
        <w:pStyle w:val="23"/>
        <w:jc w:val="center"/>
        <w:rPr>
          <w:color w:val="auto"/>
          <w:highlight w:val="none"/>
        </w:rPr>
      </w:pPr>
      <w:bookmarkStart w:id="428" w:name="_Toc155889699"/>
      <w:bookmarkStart w:id="429" w:name="_Toc256000081"/>
      <w:r>
        <w:rPr>
          <w:rFonts w:hint="eastAsia"/>
          <w:color w:val="auto"/>
          <w:highlight w:val="none"/>
        </w:rPr>
        <w:t>评标办法前附表</w:t>
      </w:r>
      <w:bookmarkEnd w:id="428"/>
      <w:r>
        <w:rPr>
          <w:rFonts w:hint="eastAsia"/>
          <w:color w:val="auto"/>
          <w:highlight w:val="none"/>
        </w:rPr>
        <w:t>（综合评估法）</w:t>
      </w:r>
      <w:bookmarkEnd w:id="429"/>
    </w:p>
    <w:p w14:paraId="6A290DE7">
      <w:pPr>
        <w:rPr>
          <w:rFonts w:ascii="黑体" w:hAnsi="宋体" w:eastAsia="黑体"/>
          <w:color w:val="auto"/>
          <w:sz w:val="28"/>
          <w:szCs w:val="28"/>
          <w:highlight w:val="none"/>
        </w:rPr>
      </w:pP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6749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779B2EDB">
            <w:pPr>
              <w:spacing w:line="420" w:lineRule="exact"/>
              <w:jc w:val="center"/>
              <w:rPr>
                <w:rFonts w:ascii="宋体" w:hAnsi="宋体"/>
                <w:b/>
                <w:color w:val="auto"/>
                <w:szCs w:val="21"/>
                <w:highlight w:val="none"/>
              </w:rPr>
            </w:pPr>
            <w:bookmarkStart w:id="430" w:name="_Hlk121668541"/>
            <w:bookmarkStart w:id="431" w:name="_Hlk154665296"/>
            <w:r>
              <w:rPr>
                <w:rFonts w:hint="eastAsia" w:ascii="宋体" w:hAnsi="宋体"/>
                <w:b/>
                <w:color w:val="auto"/>
                <w:szCs w:val="21"/>
                <w:highlight w:val="none"/>
              </w:rPr>
              <w:t>条款号</w:t>
            </w:r>
          </w:p>
        </w:tc>
        <w:tc>
          <w:tcPr>
            <w:tcW w:w="2340" w:type="dxa"/>
            <w:gridSpan w:val="2"/>
            <w:vAlign w:val="center"/>
          </w:tcPr>
          <w:p w14:paraId="118C0693">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1A4505EA">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08AF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70B9611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0F4F7D8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80229C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159ADB6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486B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1A6A67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EEB1E9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7A5C1D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021F20A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059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2CFD65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10CE34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D45E9E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24284F9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3ACD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104D9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3C4F1B7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59031D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448D82B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3C4E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00F454">
            <w:pPr>
              <w:spacing w:line="420" w:lineRule="exact"/>
              <w:jc w:val="center"/>
              <w:rPr>
                <w:rFonts w:hint="eastAsia" w:ascii="宋体" w:hAnsi="宋体" w:eastAsia="宋体" w:cs="宋体"/>
                <w:b w:val="0"/>
                <w:i w:val="0"/>
                <w:color w:val="auto"/>
                <w:szCs w:val="21"/>
                <w:highlight w:val="none"/>
                <w:u w:val="none" w:color="auto"/>
              </w:rPr>
            </w:pPr>
          </w:p>
        </w:tc>
        <w:tc>
          <w:tcPr>
            <w:tcW w:w="1059" w:type="dxa"/>
            <w:vMerge w:val="continue"/>
            <w:vAlign w:val="center"/>
          </w:tcPr>
          <w:p w14:paraId="2B39148B">
            <w:pPr>
              <w:spacing w:line="420" w:lineRule="exact"/>
              <w:jc w:val="center"/>
              <w:rPr>
                <w:rFonts w:hint="eastAsia" w:ascii="宋体" w:hAnsi="宋体" w:eastAsia="宋体" w:cs="宋体"/>
                <w:b w:val="0"/>
                <w:i w:val="0"/>
                <w:color w:val="auto"/>
                <w:szCs w:val="21"/>
                <w:highlight w:val="none"/>
                <w:u w:val="none" w:color="auto"/>
              </w:rPr>
            </w:pPr>
          </w:p>
        </w:tc>
        <w:tc>
          <w:tcPr>
            <w:tcW w:w="2340" w:type="dxa"/>
            <w:gridSpan w:val="2"/>
            <w:shd w:val="clear" w:color="auto" w:fill="auto"/>
            <w:vAlign w:val="center"/>
          </w:tcPr>
          <w:p w14:paraId="22C243C6">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报价表格的完整性</w:t>
            </w:r>
          </w:p>
        </w:tc>
        <w:tc>
          <w:tcPr>
            <w:tcW w:w="4791" w:type="dxa"/>
            <w:gridSpan w:val="2"/>
            <w:shd w:val="clear" w:color="auto" w:fill="auto"/>
            <w:vAlign w:val="center"/>
          </w:tcPr>
          <w:p w14:paraId="740A88BC">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12CA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B7BF53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140F89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607207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4791" w:type="dxa"/>
            <w:gridSpan w:val="2"/>
            <w:vAlign w:val="center"/>
          </w:tcPr>
          <w:p w14:paraId="6399ADE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3089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32DA83">
            <w:pPr>
              <w:spacing w:line="420" w:lineRule="exact"/>
              <w:jc w:val="center"/>
              <w:rPr>
                <w:rFonts w:hint="eastAsia" w:ascii="宋体" w:hAnsi="宋体" w:eastAsia="宋体" w:cs="宋体"/>
                <w:b w:val="0"/>
                <w:i w:val="0"/>
                <w:color w:val="auto"/>
                <w:szCs w:val="21"/>
                <w:highlight w:val="none"/>
                <w:u w:val="none" w:color="auto"/>
              </w:rPr>
            </w:pPr>
          </w:p>
        </w:tc>
        <w:tc>
          <w:tcPr>
            <w:tcW w:w="1059" w:type="dxa"/>
            <w:vMerge w:val="continue"/>
            <w:vAlign w:val="center"/>
          </w:tcPr>
          <w:p w14:paraId="3602B8EE">
            <w:pPr>
              <w:spacing w:line="420" w:lineRule="exact"/>
              <w:jc w:val="center"/>
              <w:rPr>
                <w:rFonts w:hint="eastAsia" w:ascii="宋体" w:hAnsi="宋体" w:eastAsia="宋体" w:cs="宋体"/>
                <w:b w:val="0"/>
                <w:i w:val="0"/>
                <w:color w:val="auto"/>
                <w:szCs w:val="21"/>
                <w:highlight w:val="none"/>
                <w:u w:val="none" w:color="auto"/>
              </w:rPr>
            </w:pPr>
          </w:p>
        </w:tc>
        <w:tc>
          <w:tcPr>
            <w:tcW w:w="2340" w:type="dxa"/>
            <w:gridSpan w:val="2"/>
            <w:shd w:val="clear" w:color="auto" w:fill="auto"/>
            <w:vAlign w:val="center"/>
          </w:tcPr>
          <w:p w14:paraId="6DF3DC72">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shd w:val="clear" w:color="auto" w:fill="auto"/>
            <w:vAlign w:val="center"/>
          </w:tcPr>
          <w:p w14:paraId="140B8039">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法定代表人或授权委托人完成实名认证</w:t>
            </w:r>
          </w:p>
        </w:tc>
      </w:tr>
      <w:tr w14:paraId="7C14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84EDB08">
            <w:pPr>
              <w:spacing w:line="420" w:lineRule="exact"/>
              <w:jc w:val="center"/>
              <w:rPr>
                <w:rFonts w:hint="eastAsia" w:ascii="宋体" w:hAnsi="宋体" w:eastAsia="宋体" w:cs="宋体"/>
                <w:b w:val="0"/>
                <w:i w:val="0"/>
                <w:color w:val="auto"/>
                <w:szCs w:val="21"/>
                <w:highlight w:val="none"/>
                <w:u w:val="none" w:color="auto"/>
              </w:rPr>
            </w:pPr>
          </w:p>
        </w:tc>
        <w:tc>
          <w:tcPr>
            <w:tcW w:w="1059" w:type="dxa"/>
            <w:vMerge w:val="continue"/>
            <w:vAlign w:val="center"/>
          </w:tcPr>
          <w:p w14:paraId="551B217D">
            <w:pPr>
              <w:spacing w:line="420" w:lineRule="exact"/>
              <w:jc w:val="center"/>
              <w:rPr>
                <w:rFonts w:hint="eastAsia" w:ascii="宋体" w:hAnsi="宋体" w:eastAsia="宋体" w:cs="宋体"/>
                <w:b w:val="0"/>
                <w:i w:val="0"/>
                <w:color w:val="auto"/>
                <w:szCs w:val="21"/>
                <w:highlight w:val="none"/>
                <w:u w:val="none" w:color="auto"/>
              </w:rPr>
            </w:pPr>
          </w:p>
        </w:tc>
        <w:tc>
          <w:tcPr>
            <w:tcW w:w="2340" w:type="dxa"/>
            <w:gridSpan w:val="2"/>
            <w:shd w:val="clear" w:color="auto" w:fill="auto"/>
            <w:vAlign w:val="center"/>
          </w:tcPr>
          <w:p w14:paraId="06202B90">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模块化暗标</w:t>
            </w:r>
          </w:p>
        </w:tc>
        <w:tc>
          <w:tcPr>
            <w:tcW w:w="4791" w:type="dxa"/>
            <w:gridSpan w:val="2"/>
            <w:shd w:val="clear" w:color="auto" w:fill="auto"/>
            <w:vAlign w:val="center"/>
          </w:tcPr>
          <w:p w14:paraId="205474F3">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符合第二章“投标人须知”第3.7.4项规定</w:t>
            </w:r>
          </w:p>
        </w:tc>
      </w:tr>
      <w:tr w14:paraId="4804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4F693B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CABA60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shd w:val="clear" w:color="auto" w:fill="auto"/>
            <w:vAlign w:val="center"/>
          </w:tcPr>
          <w:p w14:paraId="5616EBBD">
            <w:pPr>
              <w:spacing w:line="42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行为雷同分析</w:t>
            </w:r>
          </w:p>
        </w:tc>
        <w:tc>
          <w:tcPr>
            <w:tcW w:w="4791" w:type="dxa"/>
            <w:gridSpan w:val="2"/>
            <w:shd w:val="clear" w:color="auto" w:fill="auto"/>
            <w:vAlign w:val="center"/>
          </w:tcPr>
          <w:p w14:paraId="0AB0D96D">
            <w:pPr>
              <w:spacing w:line="420" w:lineRule="exact"/>
              <w:rPr>
                <w:rFonts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不存在投标行为雷同情形</w:t>
            </w:r>
          </w:p>
        </w:tc>
      </w:tr>
      <w:tr w14:paraId="13CE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D4AD0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76601CC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CCD1E3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CBBE82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131D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58E347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A6C469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0AEA9EB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4791" w:type="dxa"/>
            <w:gridSpan w:val="2"/>
            <w:vAlign w:val="center"/>
          </w:tcPr>
          <w:p w14:paraId="1EA7A7F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4723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05BA8A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EF3C36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D3014F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4ADBF32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3281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561728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4954C3F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600BA1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4791" w:type="dxa"/>
            <w:gridSpan w:val="2"/>
            <w:vAlign w:val="center"/>
          </w:tcPr>
          <w:p w14:paraId="617D5F6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4A21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0D1218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B790A7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10497E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1164C4D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0B4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2E576F6">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839091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140D3C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78BCA47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739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6FD52E9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0181048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AFEBEE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4A88DBF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58B6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2260F0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61E8DB8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1FD162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4791" w:type="dxa"/>
            <w:gridSpan w:val="2"/>
            <w:vAlign w:val="center"/>
          </w:tcPr>
          <w:p w14:paraId="56FB2F0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413B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764484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0000BD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857774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4791" w:type="dxa"/>
            <w:gridSpan w:val="2"/>
            <w:vAlign w:val="center"/>
          </w:tcPr>
          <w:p w14:paraId="3AFEE62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236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0A028D">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05301E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A2E334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71A3228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5A2B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E60B7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CBA788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629018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6D82CD9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4A9C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98E61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06F5F1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AD2F7D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46A75A5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7CC9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FAAF7F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2D4F07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C85E2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4791" w:type="dxa"/>
            <w:gridSpan w:val="2"/>
            <w:vAlign w:val="center"/>
          </w:tcPr>
          <w:p w14:paraId="11C6E77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3D1F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06D9F8F">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0CE8A289">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6C6B4705">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0DBDBD64">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1179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24A4F8AF">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67A39378">
            <w:pPr>
              <w:spacing w:line="420" w:lineRule="exact"/>
              <w:jc w:val="left"/>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（3）下浮比例：20%。</w:t>
            </w:r>
          </w:p>
        </w:tc>
      </w:tr>
      <w:tr w14:paraId="59BB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B2BF4B0">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15AC292F">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232E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074D3FA">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6F20BF85">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15A48CF">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51EFB7C1">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663C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24AF1344">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72EB2F26">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1301210C">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1EC5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F39220F">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62B2379E">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65C1A424">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196EFDE9">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55 </w:t>
            </w:r>
            <w:r>
              <w:rPr>
                <w:rFonts w:hint="eastAsia" w:ascii="宋体" w:hAnsi="宋体"/>
                <w:color w:val="auto"/>
                <w:szCs w:val="21"/>
                <w:highlight w:val="none"/>
              </w:rPr>
              <w:t>分；</w:t>
            </w:r>
          </w:p>
          <w:p w14:paraId="7BC1E745">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36</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0EF97BBC">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165FD2E3">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7567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50724B20">
            <w:pPr>
              <w:spacing w:line="420" w:lineRule="exact"/>
              <w:jc w:val="center"/>
              <w:rPr>
                <w:color w:val="auto"/>
                <w:szCs w:val="21"/>
                <w:highlight w:val="none"/>
              </w:rPr>
            </w:pPr>
            <w:r>
              <w:rPr>
                <w:color w:val="auto"/>
                <w:szCs w:val="21"/>
                <w:highlight w:val="none"/>
              </w:rPr>
              <w:t>2.2.2</w:t>
            </w:r>
          </w:p>
          <w:p w14:paraId="6271EB1B">
            <w:pPr>
              <w:spacing w:line="420" w:lineRule="exact"/>
              <w:jc w:val="center"/>
              <w:rPr>
                <w:color w:val="auto"/>
                <w:szCs w:val="21"/>
                <w:highlight w:val="none"/>
              </w:rPr>
            </w:pPr>
            <w:r>
              <w:rPr>
                <w:color w:val="auto"/>
                <w:szCs w:val="21"/>
                <w:highlight w:val="none"/>
              </w:rPr>
              <w:t>（1）</w:t>
            </w:r>
          </w:p>
        </w:tc>
        <w:tc>
          <w:tcPr>
            <w:tcW w:w="2085" w:type="dxa"/>
            <w:vAlign w:val="center"/>
          </w:tcPr>
          <w:p w14:paraId="7DB482A3">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57BAC94D">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p>
          <w:p w14:paraId="11976D19">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346F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5F9DDCF7">
            <w:pPr>
              <w:spacing w:line="420" w:lineRule="exact"/>
              <w:jc w:val="center"/>
              <w:rPr>
                <w:color w:val="auto"/>
                <w:szCs w:val="21"/>
                <w:highlight w:val="none"/>
              </w:rPr>
            </w:pPr>
            <w:r>
              <w:rPr>
                <w:color w:val="auto"/>
                <w:szCs w:val="21"/>
                <w:highlight w:val="none"/>
              </w:rPr>
              <w:t>2.2.2</w:t>
            </w:r>
          </w:p>
          <w:p w14:paraId="2A53D3D5">
            <w:pPr>
              <w:spacing w:line="420" w:lineRule="exact"/>
              <w:jc w:val="center"/>
              <w:rPr>
                <w:color w:val="auto"/>
                <w:szCs w:val="21"/>
                <w:highlight w:val="none"/>
              </w:rPr>
            </w:pPr>
            <w:r>
              <w:rPr>
                <w:color w:val="auto"/>
                <w:szCs w:val="21"/>
                <w:highlight w:val="none"/>
              </w:rPr>
              <w:t>（2）</w:t>
            </w:r>
          </w:p>
        </w:tc>
        <w:tc>
          <w:tcPr>
            <w:tcW w:w="2085" w:type="dxa"/>
            <w:vAlign w:val="center"/>
          </w:tcPr>
          <w:p w14:paraId="6B522C92">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1212318C">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67D1CCDE">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通过初步评审且投标报价不低于合理最低价的投标人超过5家（包含5家），去掉1个最高投标报价，1个最低投标报价；若小于5家，则不去；将其投标报价取算术平均值下浮0%。</w:t>
            </w:r>
          </w:p>
        </w:tc>
      </w:tr>
      <w:tr w14:paraId="5E93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2A519475">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0B3D870F">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6E9A4BED">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173A40B2">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0D19F97B">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4EBDCAD8">
            <w:pPr>
              <w:spacing w:line="420" w:lineRule="exact"/>
              <w:rPr>
                <w:rFonts w:hint="default" w:ascii="宋体" w:hAnsi="宋体"/>
                <w:color w:val="auto"/>
                <w:szCs w:val="21"/>
                <w:highlight w:val="none"/>
              </w:rPr>
            </w:pPr>
            <w:r>
              <w:rPr>
                <w:rFonts w:hint="eastAsia" w:ascii="宋体" w:hAnsi="宋体"/>
                <w:color w:val="auto"/>
                <w:szCs w:val="21"/>
                <w:highlight w:val="none"/>
              </w:rPr>
              <w:t>扣分标准：</w:t>
            </w:r>
            <w:r>
              <w:rPr>
                <w:rFonts w:hint="eastAsia" w:ascii="宋体" w:hAnsi="宋体"/>
                <w:color w:val="FF0000"/>
                <w:szCs w:val="21"/>
                <w:highlight w:val="none"/>
              </w:rPr>
              <w:t>每低1%扣0.1分；每高1%扣0.2分。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2DFE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5204873C">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103170B">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04890C98">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703F8E02">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430"/>
      <w:bookmarkEnd w:id="431"/>
      <w:tr w14:paraId="522F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5D5E656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0216E81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0B9FAAE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13D34EB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55</w:t>
            </w:r>
          </w:p>
        </w:tc>
        <w:tc>
          <w:tcPr>
            <w:tcW w:w="4111" w:type="dxa"/>
            <w:vAlign w:val="center"/>
          </w:tcPr>
          <w:p w14:paraId="5AC75A8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F＝55-（投标人评标价-评标基准价）÷评标基准价×100×0.2（评标价＞基准价时）</w:t>
            </w:r>
            <w:r>
              <w:rPr>
                <w:rFonts w:ascii="宋体" w:hAnsi="宋体" w:eastAsia="宋体" w:cs="宋体"/>
                <w:highlight w:val="none"/>
              </w:rPr>
              <w:br w:type="textWrapping"/>
            </w:r>
            <w:r>
              <w:rPr>
                <w:rFonts w:ascii="宋体" w:hAnsi="宋体" w:eastAsia="宋体" w:cs="宋体"/>
                <w:highlight w:val="none"/>
              </w:rPr>
              <w:t>F＝55-（评标基准价-投标人评标价）÷评标基准价×100×0.1（评标价≤基准价时）</w:t>
            </w:r>
          </w:p>
        </w:tc>
      </w:tr>
      <w:tr w14:paraId="025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3EAB00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7D1E9ED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0ED8E46">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质量管理体系与措施</w:t>
            </w:r>
          </w:p>
        </w:tc>
        <w:tc>
          <w:tcPr>
            <w:tcW w:w="935" w:type="dxa"/>
            <w:gridSpan w:val="2"/>
            <w:vAlign w:val="center"/>
          </w:tcPr>
          <w:p w14:paraId="1F287A3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FD3C194">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评审维度：1.体系与措施；2.管理控制机制；3.质量检查</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2.0分：有完善的施工质量保证体系与措施，且设有质量管理控制机制，配备专职的质量检查以及工程质量负责人。</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1.5分：有比较完善的施工质量保证体系与措施，且设有质量管理控制机制，配备专职的质量检查以及工程质量负</w:t>
            </w:r>
            <w:r>
              <w:rPr>
                <w:rFonts w:ascii="宋体" w:hAnsi="宋体" w:eastAsia="宋体" w:cs="宋体"/>
                <w:highlight w:val="none"/>
              </w:rPr>
              <w:br w:type="textWrapping"/>
            </w:r>
            <w:r>
              <w:rPr>
                <w:rFonts w:ascii="宋体" w:hAnsi="宋体" w:eastAsia="宋体" w:cs="宋体"/>
                <w:highlight w:val="none"/>
              </w:rPr>
              <w:t>责人。</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1.0分：施工质量保证体系与措施基本完善，且设有质量管理控制机制，配备专职的质量检查以及工程质量负责人。</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0.5分：施工质量保证体系与措施不完善，且设有质量管理控制机制，配备专职的质量检查以及工程质量负责人。</w:t>
            </w:r>
            <w:r>
              <w:rPr>
                <w:rFonts w:ascii="宋体" w:hAnsi="宋体" w:eastAsia="宋体" w:cs="宋体"/>
                <w:highlight w:val="none"/>
              </w:rPr>
              <w:br w:type="textWrapping"/>
            </w:r>
            <w:r>
              <w:rPr>
                <w:rFonts w:ascii="宋体" w:hAnsi="宋体" w:eastAsia="宋体" w:cs="宋体"/>
                <w:highlight w:val="none"/>
              </w:rPr>
              <w:t>5、未提供不得分。</w:t>
            </w:r>
          </w:p>
        </w:tc>
      </w:tr>
      <w:tr w14:paraId="06BA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ECE621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81D7AB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F73039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应急预案</w:t>
            </w:r>
          </w:p>
        </w:tc>
        <w:tc>
          <w:tcPr>
            <w:tcW w:w="935" w:type="dxa"/>
            <w:gridSpan w:val="2"/>
            <w:vAlign w:val="center"/>
          </w:tcPr>
          <w:p w14:paraId="534FAC14">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23974218">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评审维度：1.应急响应流程；2.应急响应安排；3.应急响应措施</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1.6-2</w:t>
            </w:r>
            <w:r>
              <w:rPr>
                <w:rFonts w:ascii="宋体" w:hAnsi="宋体" w:eastAsia="宋体" w:cs="宋体"/>
                <w:highlight w:val="none"/>
              </w:rPr>
              <w:t>分：结合本项目特点编制应急预案，包括但不限于施工期间安全、质量、进度、雨季施工中突发事件的应急响应流程、应急响应安排、应急响应措施等科学、合理、针对性强。</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1.1-1.5</w:t>
            </w:r>
            <w:r>
              <w:rPr>
                <w:rFonts w:ascii="宋体" w:hAnsi="宋体" w:eastAsia="宋体" w:cs="宋体"/>
                <w:highlight w:val="none"/>
              </w:rPr>
              <w:t>分：结合本项目特点编制应急预案，包括但不限于施工期间安全、质量、进度、雨季施工中突发事件的应急响应流程、应急响应安排、应急响应措施等较科学、合理、针对性较强。</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0.6-1</w:t>
            </w:r>
            <w:r>
              <w:rPr>
                <w:rFonts w:ascii="宋体" w:hAnsi="宋体" w:eastAsia="宋体" w:cs="宋体"/>
                <w:highlight w:val="none"/>
              </w:rPr>
              <w:t>分：结合本项目特点编制应急预案，包括但不限于施工期间安全、质量、进度、雨季施工中突发事件的应急响应流程、应急响应安排、应急响应措施等基本科学、合理、针对性一般。</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0.1-0.5</w:t>
            </w:r>
            <w:r>
              <w:rPr>
                <w:rFonts w:ascii="宋体" w:hAnsi="宋体" w:eastAsia="宋体" w:cs="宋体"/>
                <w:highlight w:val="none"/>
              </w:rPr>
              <w:t>分：结合本项目特点编制应急预案，包括但不限于施工期间安全、质量、进度、雨季施工中突发事件的应急响应流程、应急响应安排、应急响应措施等不科学、不合理、无针对性。</w:t>
            </w:r>
            <w:r>
              <w:rPr>
                <w:rFonts w:ascii="宋体" w:hAnsi="宋体" w:eastAsia="宋体" w:cs="宋体"/>
                <w:highlight w:val="none"/>
              </w:rPr>
              <w:br w:type="textWrapping"/>
            </w:r>
            <w:r>
              <w:rPr>
                <w:rFonts w:ascii="宋体" w:hAnsi="宋体" w:eastAsia="宋体" w:cs="宋体"/>
                <w:highlight w:val="none"/>
              </w:rPr>
              <w:t>5、未提供不得分。</w:t>
            </w:r>
          </w:p>
        </w:tc>
      </w:tr>
      <w:tr w14:paraId="34C3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F72A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9ABE72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92C1FB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成本控制措施</w:t>
            </w:r>
          </w:p>
        </w:tc>
        <w:tc>
          <w:tcPr>
            <w:tcW w:w="935" w:type="dxa"/>
            <w:gridSpan w:val="2"/>
            <w:vAlign w:val="center"/>
          </w:tcPr>
          <w:p w14:paraId="6AE177E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1241AB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评审维度：1.科学；2.合理；3.针对性</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2.0分：对本项目提供的成本控制措施科学、合理、针对性强。</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1.5分：对本项目提供的成本控制措施较科学、合理、针对性较强。</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1.0分：对本项目提供的成本控制措施基本科学、合理、针对性一般。</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0.5分：对本项目提供的成本控制措施不科学、不合理、无针对性。</w:t>
            </w:r>
            <w:r>
              <w:rPr>
                <w:rFonts w:ascii="宋体" w:hAnsi="宋体" w:eastAsia="宋体" w:cs="宋体"/>
                <w:highlight w:val="none"/>
              </w:rPr>
              <w:br w:type="textWrapping"/>
            </w:r>
            <w:r>
              <w:rPr>
                <w:rFonts w:ascii="宋体" w:hAnsi="宋体" w:eastAsia="宋体" w:cs="宋体"/>
                <w:highlight w:val="none"/>
              </w:rPr>
              <w:t>5、未提供不得分。</w:t>
            </w:r>
          </w:p>
        </w:tc>
      </w:tr>
      <w:tr w14:paraId="6C8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03AA34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ACB012C">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E07DC3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风险防范措施</w:t>
            </w:r>
          </w:p>
        </w:tc>
        <w:tc>
          <w:tcPr>
            <w:tcW w:w="935" w:type="dxa"/>
            <w:gridSpan w:val="2"/>
            <w:vAlign w:val="center"/>
          </w:tcPr>
          <w:p w14:paraId="12BA113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EF6E08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评审维度：1.科学；2.合理；3.针对性</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2.0分：对本项目提供的风险防范措施科学、合理、针对性强。</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1.5分：对本项目提供的风险防范措施较科学、合理、针对性较强。</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1.0分：对本项目提供的风险防范措施基本科学、合理、针对性一般。</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0.5分：对本项目提供的风险防范措施不科学、不合理、无针对性。</w:t>
            </w:r>
            <w:r>
              <w:rPr>
                <w:rFonts w:ascii="宋体" w:hAnsi="宋体" w:eastAsia="宋体" w:cs="宋体"/>
                <w:highlight w:val="none"/>
              </w:rPr>
              <w:br w:type="textWrapping"/>
            </w:r>
            <w:r>
              <w:rPr>
                <w:rFonts w:ascii="宋体" w:hAnsi="宋体" w:eastAsia="宋体" w:cs="宋体"/>
                <w:highlight w:val="none"/>
              </w:rPr>
              <w:t>5、未提供不得分。</w:t>
            </w:r>
          </w:p>
        </w:tc>
      </w:tr>
      <w:tr w14:paraId="085D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34B1AB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4A9F55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4000C7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合理化建议</w:t>
            </w:r>
          </w:p>
        </w:tc>
        <w:tc>
          <w:tcPr>
            <w:tcW w:w="935" w:type="dxa"/>
            <w:gridSpan w:val="2"/>
            <w:vAlign w:val="center"/>
          </w:tcPr>
          <w:p w14:paraId="29A879DD">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E812A8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评审维度：1.科学；2.合理；3.针对性</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2.0分：对本项目提供的合理化建议科学、合理、针对性强。</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1.5分：对本项目提供的合理化建议较科学、合理、针对性较强。</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1.0分：对本项目提供的合理化建议基本科学、合理、针对性一般。</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0.5分：对本项目提供的合理化建议不科学、不合理、无针对性。</w:t>
            </w:r>
            <w:r>
              <w:rPr>
                <w:rFonts w:ascii="宋体" w:hAnsi="宋体" w:eastAsia="宋体" w:cs="宋体"/>
                <w:highlight w:val="none"/>
              </w:rPr>
              <w:br w:type="textWrapping"/>
            </w:r>
            <w:r>
              <w:rPr>
                <w:rFonts w:ascii="宋体" w:hAnsi="宋体" w:eastAsia="宋体" w:cs="宋体"/>
                <w:highlight w:val="none"/>
              </w:rPr>
              <w:t>5、未提供不得分。</w:t>
            </w:r>
          </w:p>
        </w:tc>
      </w:tr>
      <w:tr w14:paraId="4A7B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CD9D43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F65B2F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F09D139">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扬尘污染治理方案</w:t>
            </w:r>
          </w:p>
        </w:tc>
        <w:tc>
          <w:tcPr>
            <w:tcW w:w="935" w:type="dxa"/>
            <w:gridSpan w:val="2"/>
            <w:vAlign w:val="center"/>
          </w:tcPr>
          <w:p w14:paraId="69C478A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E676601">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评审维度：1.工作目标；2.扬尘治理方案；</w:t>
            </w:r>
            <w:r>
              <w:rPr>
                <w:rFonts w:ascii="宋体" w:hAnsi="宋体" w:eastAsia="宋体" w:cs="宋体"/>
                <w:highlight w:val="none"/>
              </w:rPr>
              <w:br w:type="textWrapping"/>
            </w:r>
            <w:r>
              <w:rPr>
                <w:rFonts w:ascii="宋体" w:hAnsi="宋体" w:eastAsia="宋体" w:cs="宋体"/>
                <w:highlight w:val="none"/>
              </w:rPr>
              <w:t>3.专项防尘防治技术措施</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2.0分：结合本项目特点、项目所在区域等因素，编制施工现场扬尘治理方案，包括扬尘防治工作目标、各分项工程不同施工工艺专项防尘防治技术措施等合理的。</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1.5分：结合本项目特点、项目所在区域等因素，编制施工现场扬尘治理方案，包括扬尘防治工作目标、各分项工程不同施工工艺专项防尘防治技术措施等比较合理的。</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1.0分：结合本项目特点、项目所在区域等因素，编制施工现场扬尘治理方案，包括扬尘防治工作目标、各分项工程不同施工工艺专项防尘防治技术措施等基本合理的。</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0.5分：结合本项目特点、项目所在区域等因素，编制施工现场扬尘治理方案，包括扬尘防治工作目标、各分项工程不同施工工艺专项防尘防治技术措施等不合理的。</w:t>
            </w:r>
            <w:r>
              <w:rPr>
                <w:rFonts w:ascii="宋体" w:hAnsi="宋体" w:eastAsia="宋体" w:cs="宋体"/>
                <w:highlight w:val="none"/>
              </w:rPr>
              <w:br w:type="textWrapping"/>
            </w:r>
            <w:r>
              <w:rPr>
                <w:rFonts w:ascii="宋体" w:hAnsi="宋体" w:eastAsia="宋体" w:cs="宋体"/>
                <w:highlight w:val="none"/>
              </w:rPr>
              <w:t>5、未提供不得分。</w:t>
            </w:r>
          </w:p>
        </w:tc>
      </w:tr>
      <w:tr w14:paraId="5C8D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3470FB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3BA46AC">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2C5A33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环保管理体系与措施</w:t>
            </w:r>
          </w:p>
        </w:tc>
        <w:tc>
          <w:tcPr>
            <w:tcW w:w="935" w:type="dxa"/>
            <w:gridSpan w:val="2"/>
            <w:vAlign w:val="center"/>
          </w:tcPr>
          <w:p w14:paraId="45D547D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3DF1F5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评审维度：1.环保保证体系；2.措施；3.相关规定</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2.0分：有完善的环保保证体系与措施，符合或高于工程及相关规定的要求。</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1.5分：有比较完善的环保保证体系与措施，比较符合工程及相关规定的要求。</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1.0分：有基本完善的环保保证体系与措施，基本符合工程及相关规定的。</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0.5分：环保保证体系与措施不完善。</w:t>
            </w:r>
            <w:r>
              <w:rPr>
                <w:rFonts w:ascii="宋体" w:hAnsi="宋体" w:eastAsia="宋体" w:cs="宋体"/>
                <w:highlight w:val="none"/>
              </w:rPr>
              <w:br w:type="textWrapping"/>
            </w:r>
            <w:r>
              <w:rPr>
                <w:rFonts w:ascii="宋体" w:hAnsi="宋体" w:eastAsia="宋体" w:cs="宋体"/>
                <w:highlight w:val="none"/>
              </w:rPr>
              <w:t>5、未提供不得分。</w:t>
            </w:r>
          </w:p>
        </w:tc>
      </w:tr>
      <w:tr w14:paraId="33C8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3BA0D8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57433A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1565409">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文明施工体系及保证措施</w:t>
            </w:r>
          </w:p>
        </w:tc>
        <w:tc>
          <w:tcPr>
            <w:tcW w:w="935" w:type="dxa"/>
            <w:gridSpan w:val="2"/>
            <w:vAlign w:val="center"/>
          </w:tcPr>
          <w:p w14:paraId="45A96CE5">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4F641B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评审维度：1.文明施工保证体系；2.措施；3.相关规定</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2.0分：有完善的文明施工保证体系与措施，符合或高于工程及相关规定的要求。</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1.5分：有比较完善的文明施工保证体系与措施，比较符合工程及相关规定的要求。</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1.0分：有基本完善的文明施工保证体系与措施，基本符合工程及相关规定的。</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0.5分：文明施工保证体系与措施不完善。</w:t>
            </w:r>
            <w:r>
              <w:rPr>
                <w:rFonts w:ascii="宋体" w:hAnsi="宋体" w:eastAsia="宋体" w:cs="宋体"/>
                <w:highlight w:val="none"/>
              </w:rPr>
              <w:br w:type="textWrapping"/>
            </w:r>
            <w:r>
              <w:rPr>
                <w:rFonts w:ascii="宋体" w:hAnsi="宋体" w:eastAsia="宋体" w:cs="宋体"/>
                <w:highlight w:val="none"/>
              </w:rPr>
              <w:t>5、未提供不得分。</w:t>
            </w:r>
          </w:p>
        </w:tc>
      </w:tr>
      <w:tr w14:paraId="30FF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65BA36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DA74E6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F4F81A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安全管理体系与措施</w:t>
            </w:r>
          </w:p>
        </w:tc>
        <w:tc>
          <w:tcPr>
            <w:tcW w:w="935" w:type="dxa"/>
            <w:gridSpan w:val="2"/>
            <w:vAlign w:val="center"/>
          </w:tcPr>
          <w:p w14:paraId="58635DD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D0386D8">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评审维度：1.施工安全保证体系；2.安全管理控制机制；3.专职的安全管理人员</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2.0分：有完善的施工安全保证体系与措施，且设有安全管理控制机制，配备专职的安全管理人员。</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1.5分：有比较完善的施工安全保证体系与措施，且设有安全管理控制机制，配备专职的安全管理人员。</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1.0分：安全管理体系与措施基本完善，且设有安全管理控制机制，配备专职的安全管理人员。</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0.5分：安全管理体系与措施不完善，且设有安全管理控制机制，配备专职的安全管理人员。</w:t>
            </w:r>
            <w:r>
              <w:rPr>
                <w:rFonts w:ascii="宋体" w:hAnsi="宋体" w:eastAsia="宋体" w:cs="宋体"/>
                <w:highlight w:val="none"/>
              </w:rPr>
              <w:br w:type="textWrapping"/>
            </w:r>
            <w:r>
              <w:rPr>
                <w:rFonts w:ascii="宋体" w:hAnsi="宋体" w:eastAsia="宋体" w:cs="宋体"/>
                <w:highlight w:val="none"/>
              </w:rPr>
              <w:t>5、未提供不得分。</w:t>
            </w:r>
          </w:p>
        </w:tc>
      </w:tr>
      <w:tr w14:paraId="6436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BAF91C1">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29E76B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CCDC99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管理组织架构</w:t>
            </w:r>
          </w:p>
        </w:tc>
        <w:tc>
          <w:tcPr>
            <w:tcW w:w="935" w:type="dxa"/>
            <w:gridSpan w:val="2"/>
            <w:vAlign w:val="center"/>
          </w:tcPr>
          <w:p w14:paraId="79FFC58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BBCA32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评审维度：1.人员架构；2.管理体系；3.生产目标</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2.0分：管理人员架构完整、科学、针对性强，管理体系及制度健全，生产目标明确。</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1.5分：管理人员架构比较完整、比较科学、针对性比较强，管理体系及制度比较健全，生产目标比较明确。</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1.0分：管理人员架构基本完整、基本科学、针对性一般，管理体系及制度基本健全，生产目标基本明确。</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0.5分：管理人员架构不完整、不科学、针对性不强，管理体系及制度不健全，生产目标不明确。</w:t>
            </w:r>
            <w:r>
              <w:rPr>
                <w:rFonts w:ascii="宋体" w:hAnsi="宋体" w:eastAsia="宋体" w:cs="宋体"/>
                <w:highlight w:val="none"/>
              </w:rPr>
              <w:br w:type="textWrapping"/>
            </w:r>
            <w:r>
              <w:rPr>
                <w:rFonts w:ascii="宋体" w:hAnsi="宋体" w:eastAsia="宋体" w:cs="宋体"/>
                <w:highlight w:val="none"/>
              </w:rPr>
              <w:t>5、未提供不得分。</w:t>
            </w:r>
          </w:p>
        </w:tc>
      </w:tr>
      <w:tr w14:paraId="6ADE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1C4B19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28087BC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7A2A6F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技术重点、难点及相应解决方案</w:t>
            </w:r>
          </w:p>
        </w:tc>
        <w:tc>
          <w:tcPr>
            <w:tcW w:w="935" w:type="dxa"/>
            <w:gridSpan w:val="2"/>
            <w:vAlign w:val="center"/>
          </w:tcPr>
          <w:p w14:paraId="0D0AC70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77689B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评审维度：1.技术；2.工艺；3.重点与难点</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2.0分：关键施工技术、工艺及工程项目实施的重点与难点有针对性，有适用本工程详尽可行的施工技术与方案，考虑周密全面。</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1.5分：关键施工技术、工艺及工程项目实施的重点与难点比较有针对性，有适用本工程可行的施工技术与方案，考虑比较周密全面。</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1.0分：关键施工技术、工艺及工程项目实施的重点与难点针对性不强，有适用本工程的施工技术与方案，考虑基本周密全面。</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0.5分：关键施工技术、工艺及工程项目实施的重点与难点没有针对性，没有适用本工程的施工技术与方案，考虑不周密不全面。</w:t>
            </w:r>
            <w:r>
              <w:rPr>
                <w:rFonts w:ascii="宋体" w:hAnsi="宋体" w:eastAsia="宋体" w:cs="宋体"/>
                <w:highlight w:val="none"/>
              </w:rPr>
              <w:br w:type="textWrapping"/>
            </w:r>
            <w:r>
              <w:rPr>
                <w:rFonts w:ascii="宋体" w:hAnsi="宋体" w:eastAsia="宋体" w:cs="宋体"/>
                <w:highlight w:val="none"/>
              </w:rPr>
              <w:t>5、未提供不得分。</w:t>
            </w:r>
          </w:p>
        </w:tc>
      </w:tr>
      <w:tr w14:paraId="0CAC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F2CF944">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A7B635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85B613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总体概述</w:t>
            </w:r>
          </w:p>
        </w:tc>
        <w:tc>
          <w:tcPr>
            <w:tcW w:w="935" w:type="dxa"/>
            <w:gridSpan w:val="2"/>
            <w:vAlign w:val="center"/>
          </w:tcPr>
          <w:p w14:paraId="0619C3A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7BE0B5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评审维度：1.总体认识；2.总体组织；3.总体设计</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2.0分：对项目总体认识全面深刻，论述完整清晰，总体组织符合实际，总体设计符合规范，总体规划合理，综合措施科学。</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1.5分：对项目总体认识比较全面，论述比较清晰，总体组织比较符合实际，总体设计比较符合规范，总体计划比较合理，综合措施比较科学。</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1.0分：对项目总体认识基本全面，论述基本清晰，总体组织基本符合实际，总体设计基本符合规范，总体计划基本合理，综合措施基本科学。</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0.5分：对项目总体认识不全面，论述不清晰，总体组织不符合实际，总体设计不符合规范，总体计划不合理，综合措施科不科学。</w:t>
            </w:r>
            <w:r>
              <w:rPr>
                <w:rFonts w:ascii="宋体" w:hAnsi="宋体" w:eastAsia="宋体" w:cs="宋体"/>
                <w:highlight w:val="none"/>
              </w:rPr>
              <w:br w:type="textWrapping"/>
            </w:r>
            <w:r>
              <w:rPr>
                <w:rFonts w:ascii="宋体" w:hAnsi="宋体" w:eastAsia="宋体" w:cs="宋体"/>
                <w:highlight w:val="none"/>
              </w:rPr>
              <w:t>5、未提供不得分。</w:t>
            </w:r>
          </w:p>
        </w:tc>
      </w:tr>
      <w:tr w14:paraId="79B9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60AAAE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C1BAA9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D995B7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施工进度计划</w:t>
            </w:r>
          </w:p>
        </w:tc>
        <w:tc>
          <w:tcPr>
            <w:tcW w:w="935" w:type="dxa"/>
            <w:gridSpan w:val="2"/>
            <w:vAlign w:val="center"/>
          </w:tcPr>
          <w:p w14:paraId="13C827A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896AC0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评审维度：1.工程进度；2.保证措施；3.计划安排</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结合项目的情况，有切实可行的工程进度横道图或网络图，有完善的进度保证措施，施工进度计划安排合理完善、施工总进度表或施工网络图准确、各工序进度安排合理、衔接关系合适，能够确保在合同工期内完工。</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1.5分：施工进度计划安排比较合理、施工总进度横道图或施工网络图准确、各工序进度安排、衔接关系较合适、能保证合同工期内完工，进度保证措施较为完善。</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1.0分：施工进度计划安排基本合理、施工总进度横道图或施工网络图准确、各工序进度安排、衔接关系基本合适、能在合同工期内完工，进度保证措施基本完善。</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0.5分：施工进度计划安排欠缺、施工总进度横道图或施工网络图不合理、各工序进度安排、衔接关系不切实可行、能在合同工期内完工，进度保证措施不完善。</w:t>
            </w:r>
            <w:r>
              <w:rPr>
                <w:rFonts w:ascii="宋体" w:hAnsi="宋体" w:eastAsia="宋体" w:cs="宋体"/>
                <w:highlight w:val="none"/>
              </w:rPr>
              <w:br w:type="textWrapping"/>
            </w:r>
            <w:r>
              <w:rPr>
                <w:rFonts w:ascii="宋体" w:hAnsi="宋体" w:eastAsia="宋体" w:cs="宋体"/>
                <w:highlight w:val="none"/>
              </w:rPr>
              <w:t>5、未提供不得分。</w:t>
            </w:r>
          </w:p>
        </w:tc>
      </w:tr>
      <w:tr w14:paraId="54D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E785FC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7B5725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51F868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施工技术方案</w:t>
            </w:r>
          </w:p>
        </w:tc>
        <w:tc>
          <w:tcPr>
            <w:tcW w:w="935" w:type="dxa"/>
            <w:gridSpan w:val="2"/>
            <w:vAlign w:val="center"/>
          </w:tcPr>
          <w:p w14:paraId="01D37AB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07629D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评审维度：1.技术措施；2.施工方法；3.技术方案</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2.0分：施工技术方案全面，各分部分项工程施工技术措施考虑周全，详细论述了主要施工部位的施工方法，内容科学且合理可行。</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1.5分：施工技术方案基本全面，各分部分项工程施工技术措施考虑基本周全，论述了主要施工部位的施工方法，内容基本合理可行。</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1.0分：施工技术方案、各分部分项工程施工技术措施、主要施工部位的施工方法有所欠缺。</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0.5分：施工技术方案、各分部分项工程施工技术措施、主要施工部位的施工方法不合理。</w:t>
            </w:r>
            <w:r>
              <w:rPr>
                <w:rFonts w:ascii="宋体" w:hAnsi="宋体" w:eastAsia="宋体" w:cs="宋体"/>
                <w:highlight w:val="none"/>
              </w:rPr>
              <w:br w:type="textWrapping"/>
            </w:r>
            <w:r>
              <w:rPr>
                <w:rFonts w:ascii="宋体" w:hAnsi="宋体" w:eastAsia="宋体" w:cs="宋体"/>
                <w:highlight w:val="none"/>
              </w:rPr>
              <w:t>5、未提供不得分。</w:t>
            </w:r>
          </w:p>
        </w:tc>
      </w:tr>
      <w:tr w14:paraId="6F31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01CED8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3EBD9DE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5D0727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材料投入计划</w:t>
            </w:r>
          </w:p>
        </w:tc>
        <w:tc>
          <w:tcPr>
            <w:tcW w:w="935" w:type="dxa"/>
            <w:gridSpan w:val="2"/>
            <w:vAlign w:val="center"/>
          </w:tcPr>
          <w:p w14:paraId="69AA253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1F262E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评审维度：1.种类；2.数量；3.投入计划</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2.0分：材料种类齐全、数量满足工程需求、投入计划合理完善。</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1.5分：材料种类基本齐全、数量基本满足需求、投入计划基本合理。</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1.0分：材料种类、数量、投入计划有所欠缺。</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0.5分：材料种类、数量、投入计划不合理。</w:t>
            </w:r>
            <w:r>
              <w:rPr>
                <w:rFonts w:ascii="宋体" w:hAnsi="宋体" w:eastAsia="宋体" w:cs="宋体"/>
                <w:highlight w:val="none"/>
              </w:rPr>
              <w:br w:type="textWrapping"/>
            </w:r>
            <w:r>
              <w:rPr>
                <w:rFonts w:ascii="宋体" w:hAnsi="宋体" w:eastAsia="宋体" w:cs="宋体"/>
                <w:highlight w:val="none"/>
              </w:rPr>
              <w:t>5、未提供不得分。</w:t>
            </w:r>
          </w:p>
        </w:tc>
      </w:tr>
      <w:tr w14:paraId="332E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09648D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C4B02A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9ADF6D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劳动力安排计划</w:t>
            </w:r>
          </w:p>
        </w:tc>
        <w:tc>
          <w:tcPr>
            <w:tcW w:w="935" w:type="dxa"/>
            <w:gridSpan w:val="2"/>
            <w:vAlign w:val="center"/>
          </w:tcPr>
          <w:p w14:paraId="17B1933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CE426D3">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评审维度：1.安排计划；2.保证措施；3.工种配备</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2.0分：劳动力安排计划全面完善，保证措施及时间安排合理可行，各工种配备齐全、数量充足。</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1.5分：劳动力安排计划基本完善，保证措施及时间安排基本合理，各工种、数量配备基本齐全。</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1.0分：劳动力安排计划、保证措施及时间安排、工种配备、数量有所欠缺。</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0.5分：劳动力安排计划、保证措施及时间安排、工种配备、数量不合理。</w:t>
            </w:r>
            <w:r>
              <w:rPr>
                <w:rFonts w:ascii="宋体" w:hAnsi="宋体" w:eastAsia="宋体" w:cs="宋体"/>
                <w:highlight w:val="none"/>
              </w:rPr>
              <w:br w:type="textWrapping"/>
            </w:r>
            <w:r>
              <w:rPr>
                <w:rFonts w:ascii="宋体" w:hAnsi="宋体" w:eastAsia="宋体" w:cs="宋体"/>
                <w:highlight w:val="none"/>
              </w:rPr>
              <w:t>5、未提供不得分。</w:t>
            </w:r>
          </w:p>
        </w:tc>
      </w:tr>
      <w:tr w14:paraId="66E6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8F2739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AF68FEC">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B13FD8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施工机械设备投入</w:t>
            </w:r>
          </w:p>
        </w:tc>
        <w:tc>
          <w:tcPr>
            <w:tcW w:w="935" w:type="dxa"/>
            <w:gridSpan w:val="2"/>
            <w:vAlign w:val="center"/>
          </w:tcPr>
          <w:p w14:paraId="27E6F2D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DBBBAA1">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评审维度：1.设备种类；2.进场计划；3.施工程序</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2.0分：施工机械设备种类齐全、配置合理、数量充足、进场计划时间明确、与进度计划及施工程序完全相符。</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1.5分：施工机械设备种类基本齐全、配置基本合理、有进场计划时间、与进度计划及施工程序基本相符。</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1.0分：施工机械设备的种类、配置、数量、进场计划时间有所欠缺。</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0.5分：施工机械设备的种类、配置、数量、进场计划时间不合理。</w:t>
            </w:r>
            <w:r>
              <w:rPr>
                <w:rFonts w:ascii="宋体" w:hAnsi="宋体" w:eastAsia="宋体" w:cs="宋体"/>
                <w:highlight w:val="none"/>
              </w:rPr>
              <w:br w:type="textWrapping"/>
            </w:r>
            <w:r>
              <w:rPr>
                <w:rFonts w:ascii="宋体" w:hAnsi="宋体" w:eastAsia="宋体" w:cs="宋体"/>
                <w:highlight w:val="none"/>
              </w:rPr>
              <w:t>5、未提供不得分。</w:t>
            </w:r>
          </w:p>
        </w:tc>
      </w:tr>
      <w:tr w14:paraId="63C0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A6D616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FCF4E3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E6A92C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施工总平面布置</w:t>
            </w:r>
          </w:p>
        </w:tc>
        <w:tc>
          <w:tcPr>
            <w:tcW w:w="935" w:type="dxa"/>
            <w:gridSpan w:val="2"/>
            <w:vAlign w:val="center"/>
          </w:tcPr>
          <w:p w14:paraId="52D3680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A67336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评审维度：1.全面完善；2.合理齐全；3.贴合实际</w:t>
            </w:r>
            <w:r>
              <w:rPr>
                <w:rFonts w:ascii="宋体" w:hAnsi="宋体" w:eastAsia="宋体" w:cs="宋体"/>
                <w:highlight w:val="none"/>
              </w:rPr>
              <w:br w:type="textWrapping"/>
            </w:r>
            <w:r>
              <w:rPr>
                <w:rFonts w:ascii="宋体" w:hAnsi="宋体" w:eastAsia="宋体" w:cs="宋体"/>
                <w:highlight w:val="none"/>
              </w:rPr>
              <w:t>评审标准：1、优秀得</w:t>
            </w:r>
            <w:r>
              <w:rPr>
                <w:rFonts w:hint="eastAsia" w:ascii="宋体" w:hAnsi="宋体" w:cs="宋体"/>
                <w:highlight w:val="none"/>
                <w:lang w:val="en-US" w:eastAsia="zh-CN"/>
              </w:rPr>
              <w:t>1.6-</w:t>
            </w:r>
            <w:r>
              <w:rPr>
                <w:rFonts w:ascii="宋体" w:hAnsi="宋体" w:eastAsia="宋体" w:cs="宋体"/>
                <w:highlight w:val="none"/>
              </w:rPr>
              <w:t>2.0分：施工总平面布置全面完善，现场办公、材料存储、消防设施、卫生设施等布置合理齐全、安全、贴合实际。</w:t>
            </w:r>
            <w:r>
              <w:rPr>
                <w:rFonts w:ascii="宋体" w:hAnsi="宋体" w:eastAsia="宋体" w:cs="宋体"/>
                <w:highlight w:val="none"/>
              </w:rPr>
              <w:br w:type="textWrapping"/>
            </w:r>
            <w:r>
              <w:rPr>
                <w:rFonts w:ascii="宋体" w:hAnsi="宋体" w:eastAsia="宋体" w:cs="宋体"/>
                <w:highlight w:val="none"/>
              </w:rPr>
              <w:t>2、良好得</w:t>
            </w:r>
            <w:r>
              <w:rPr>
                <w:rFonts w:hint="eastAsia" w:ascii="宋体" w:hAnsi="宋体" w:cs="宋体"/>
                <w:highlight w:val="none"/>
                <w:lang w:val="en-US" w:eastAsia="zh-CN"/>
              </w:rPr>
              <w:t>1.1-</w:t>
            </w:r>
            <w:r>
              <w:rPr>
                <w:rFonts w:ascii="宋体" w:hAnsi="宋体" w:eastAsia="宋体" w:cs="宋体"/>
                <w:highlight w:val="none"/>
              </w:rPr>
              <w:t>1.5分：施工总平面布置基本完善，现场办公、材料存储、消防设施、卫生设施等布置基本合理。</w:t>
            </w:r>
            <w:r>
              <w:rPr>
                <w:rFonts w:ascii="宋体" w:hAnsi="宋体" w:eastAsia="宋体" w:cs="宋体"/>
                <w:highlight w:val="none"/>
              </w:rPr>
              <w:br w:type="textWrapping"/>
            </w:r>
            <w:r>
              <w:rPr>
                <w:rFonts w:ascii="宋体" w:hAnsi="宋体" w:eastAsia="宋体" w:cs="宋体"/>
                <w:highlight w:val="none"/>
              </w:rPr>
              <w:t>3、一般得</w:t>
            </w:r>
            <w:r>
              <w:rPr>
                <w:rFonts w:hint="eastAsia" w:ascii="宋体" w:hAnsi="宋体" w:cs="宋体"/>
                <w:highlight w:val="none"/>
                <w:lang w:val="en-US" w:eastAsia="zh-CN"/>
              </w:rPr>
              <w:t>0.6-</w:t>
            </w:r>
            <w:r>
              <w:rPr>
                <w:rFonts w:ascii="宋体" w:hAnsi="宋体" w:eastAsia="宋体" w:cs="宋体"/>
                <w:highlight w:val="none"/>
              </w:rPr>
              <w:t>1.0分：施工总平面布置、现场办公、材料存储、消防设施、卫生设施等布置有所欠缺。</w:t>
            </w:r>
            <w:r>
              <w:rPr>
                <w:rFonts w:ascii="宋体" w:hAnsi="宋体" w:eastAsia="宋体" w:cs="宋体"/>
                <w:highlight w:val="none"/>
              </w:rPr>
              <w:br w:type="textWrapping"/>
            </w:r>
            <w:r>
              <w:rPr>
                <w:rFonts w:ascii="宋体" w:hAnsi="宋体" w:eastAsia="宋体" w:cs="宋体"/>
                <w:highlight w:val="none"/>
              </w:rPr>
              <w:t>4、较差得</w:t>
            </w:r>
            <w:r>
              <w:rPr>
                <w:rFonts w:hint="eastAsia" w:ascii="宋体" w:hAnsi="宋体" w:cs="宋体"/>
                <w:highlight w:val="none"/>
                <w:lang w:val="en-US" w:eastAsia="zh-CN"/>
              </w:rPr>
              <w:t>0.1-</w:t>
            </w:r>
            <w:r>
              <w:rPr>
                <w:rFonts w:ascii="宋体" w:hAnsi="宋体" w:eastAsia="宋体" w:cs="宋体"/>
                <w:highlight w:val="none"/>
              </w:rPr>
              <w:t>0.5分：施工总平面布置不合理；</w:t>
            </w:r>
            <w:r>
              <w:rPr>
                <w:rFonts w:ascii="宋体" w:hAnsi="宋体" w:eastAsia="宋体" w:cs="宋体"/>
                <w:highlight w:val="none"/>
              </w:rPr>
              <w:br w:type="textWrapping"/>
            </w:r>
            <w:r>
              <w:rPr>
                <w:rFonts w:ascii="宋体" w:hAnsi="宋体" w:eastAsia="宋体" w:cs="宋体"/>
                <w:highlight w:val="none"/>
              </w:rPr>
              <w:t>5、未提供不得分。</w:t>
            </w:r>
          </w:p>
        </w:tc>
      </w:tr>
      <w:tr w14:paraId="4709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5C73855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restart"/>
            <w:vAlign w:val="center"/>
          </w:tcPr>
          <w:p w14:paraId="5D3F339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1F6238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6CA34C12">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8D53210">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业绩类别及专业：【施工类-建筑工程-不限专业】（新建或改造工程）</w:t>
            </w:r>
            <w:r>
              <w:rPr>
                <w:rFonts w:ascii="宋体" w:hAnsi="宋体" w:eastAsia="宋体" w:cs="宋体"/>
                <w:highlight w:val="none"/>
              </w:rPr>
              <w:br w:type="textWrapping"/>
            </w:r>
            <w:r>
              <w:rPr>
                <w:rFonts w:ascii="宋体" w:hAnsi="宋体" w:eastAsia="宋体" w:cs="宋体"/>
                <w:highlight w:val="none"/>
              </w:rPr>
              <w:t>年份：</w:t>
            </w:r>
            <w:r>
              <w:rPr>
                <w:rFonts w:ascii="宋体" w:hAnsi="宋体" w:eastAsia="宋体" w:cs="宋体"/>
                <w:color w:val="FF0000"/>
                <w:highlight w:val="none"/>
              </w:rPr>
              <w:t>202</w:t>
            </w:r>
            <w:r>
              <w:rPr>
                <w:rFonts w:hint="eastAsia" w:ascii="宋体" w:hAnsi="宋体" w:cs="宋体"/>
                <w:color w:val="FF0000"/>
                <w:highlight w:val="none"/>
                <w:lang w:val="en-US" w:eastAsia="zh-CN"/>
              </w:rPr>
              <w:t>3</w:t>
            </w:r>
            <w:r>
              <w:rPr>
                <w:rFonts w:ascii="宋体" w:hAnsi="宋体" w:eastAsia="宋体" w:cs="宋体"/>
                <w:highlight w:val="none"/>
              </w:rPr>
              <w:t>年1月1日至投标截止时间</w:t>
            </w:r>
            <w:r>
              <w:rPr>
                <w:rFonts w:ascii="宋体" w:hAnsi="宋体" w:eastAsia="宋体" w:cs="宋体"/>
                <w:highlight w:val="none"/>
              </w:rPr>
              <w:br w:type="textWrapping"/>
            </w:r>
            <w:r>
              <w:rPr>
                <w:rFonts w:ascii="宋体" w:hAnsi="宋体" w:eastAsia="宋体" w:cs="宋体"/>
                <w:highlight w:val="none"/>
              </w:rPr>
              <w:t>金额：</w:t>
            </w:r>
            <w:r>
              <w:rPr>
                <w:rFonts w:hint="eastAsia" w:ascii="宋体" w:hAnsi="宋体" w:cs="宋体"/>
                <w:color w:val="FF0000"/>
                <w:highlight w:val="none"/>
                <w:lang w:val="en-US" w:eastAsia="zh-CN"/>
              </w:rPr>
              <w:t>2500</w:t>
            </w:r>
            <w:r>
              <w:rPr>
                <w:rFonts w:ascii="宋体" w:hAnsi="宋体" w:eastAsia="宋体" w:cs="宋体"/>
                <w:highlight w:val="none"/>
              </w:rPr>
              <w:t>万元（含）以上</w:t>
            </w:r>
            <w:r>
              <w:rPr>
                <w:rFonts w:ascii="宋体" w:hAnsi="宋体" w:eastAsia="宋体" w:cs="宋体"/>
                <w:highlight w:val="none"/>
              </w:rPr>
              <w:br w:type="textWrapping"/>
            </w:r>
            <w:r>
              <w:rPr>
                <w:rFonts w:ascii="宋体" w:hAnsi="宋体" w:eastAsia="宋体" w:cs="宋体"/>
                <w:highlight w:val="none"/>
              </w:rPr>
              <w:t>分值：0.5分/个，满分：2分。</w:t>
            </w:r>
            <w:r>
              <w:rPr>
                <w:rFonts w:ascii="宋体" w:hAnsi="宋体" w:eastAsia="宋体" w:cs="宋体"/>
                <w:highlight w:val="none"/>
              </w:rPr>
              <w:br w:type="textWrapping"/>
            </w:r>
            <w:r>
              <w:rPr>
                <w:rFonts w:ascii="宋体" w:hAnsi="宋体" w:eastAsia="宋体" w:cs="宋体"/>
                <w:highlight w:val="none"/>
              </w:rPr>
              <w:t>注：业绩以住建领域主体信息库A</w:t>
            </w:r>
            <w:r>
              <w:rPr>
                <w:rFonts w:hint="eastAsia" w:ascii="宋体" w:hAnsi="宋体" w:cs="宋体"/>
                <w:highlight w:val="none"/>
                <w:lang w:val="en-US" w:eastAsia="zh-CN"/>
              </w:rPr>
              <w:t>+B</w:t>
            </w:r>
            <w:r>
              <w:rPr>
                <w:rFonts w:ascii="宋体" w:hAnsi="宋体" w:eastAsia="宋体" w:cs="宋体"/>
                <w:highlight w:val="none"/>
              </w:rPr>
              <w:t>类入库信息为准，时间以</w:t>
            </w:r>
            <w:r>
              <w:rPr>
                <w:rFonts w:hint="eastAsia" w:ascii="宋体" w:hAnsi="宋体" w:cs="宋体"/>
                <w:highlight w:val="none"/>
                <w:lang w:val="en-US" w:eastAsia="zh-CN"/>
              </w:rPr>
              <w:t>竣工验收</w:t>
            </w:r>
            <w:r>
              <w:rPr>
                <w:rFonts w:ascii="宋体" w:hAnsi="宋体" w:eastAsia="宋体" w:cs="宋体"/>
                <w:highlight w:val="none"/>
              </w:rPr>
              <w:t>时间为准。</w:t>
            </w:r>
          </w:p>
        </w:tc>
      </w:tr>
      <w:tr w14:paraId="59F1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7643D6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0896623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1D732F4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企业认证</w:t>
            </w:r>
          </w:p>
        </w:tc>
        <w:tc>
          <w:tcPr>
            <w:tcW w:w="935" w:type="dxa"/>
            <w:gridSpan w:val="2"/>
            <w:vAlign w:val="center"/>
          </w:tcPr>
          <w:p w14:paraId="1014EF5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29516F0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评审内容：</w:t>
            </w:r>
            <w:r>
              <w:rPr>
                <w:rFonts w:ascii="宋体" w:hAnsi="宋体" w:eastAsia="宋体" w:cs="宋体"/>
                <w:highlight w:val="none"/>
              </w:rPr>
              <w:br w:type="textWrapping"/>
            </w:r>
            <w:r>
              <w:rPr>
                <w:rFonts w:ascii="宋体" w:hAnsi="宋体" w:eastAsia="宋体" w:cs="宋体"/>
                <w:highlight w:val="none"/>
              </w:rPr>
              <w:t>（1）质量管理体系认证证书 分值：1分</w:t>
            </w:r>
            <w:r>
              <w:rPr>
                <w:rFonts w:ascii="宋体" w:hAnsi="宋体" w:eastAsia="宋体" w:cs="宋体"/>
                <w:highlight w:val="none"/>
              </w:rPr>
              <w:br w:type="textWrapping"/>
            </w:r>
            <w:r>
              <w:rPr>
                <w:rFonts w:ascii="宋体" w:hAnsi="宋体" w:eastAsia="宋体" w:cs="宋体"/>
                <w:highlight w:val="none"/>
              </w:rPr>
              <w:t>（2）环境管理体系认证证书 分值：1分</w:t>
            </w:r>
            <w:r>
              <w:rPr>
                <w:rFonts w:ascii="宋体" w:hAnsi="宋体" w:eastAsia="宋体" w:cs="宋体"/>
                <w:highlight w:val="none"/>
              </w:rPr>
              <w:br w:type="textWrapping"/>
            </w:r>
            <w:r>
              <w:rPr>
                <w:rFonts w:ascii="宋体" w:hAnsi="宋体" w:eastAsia="宋体" w:cs="宋体"/>
                <w:highlight w:val="none"/>
              </w:rPr>
              <w:t>（3）职业健康安全管理体系认证证书 分值：1分</w:t>
            </w:r>
            <w:r>
              <w:rPr>
                <w:rFonts w:ascii="宋体" w:hAnsi="宋体" w:eastAsia="宋体" w:cs="宋体"/>
                <w:highlight w:val="none"/>
              </w:rPr>
              <w:br w:type="textWrapping"/>
            </w:r>
            <w:r>
              <w:rPr>
                <w:rFonts w:ascii="宋体" w:hAnsi="宋体" w:eastAsia="宋体" w:cs="宋体"/>
                <w:highlight w:val="none"/>
              </w:rPr>
              <w:t>满分：3分。</w:t>
            </w:r>
            <w:r>
              <w:rPr>
                <w:rFonts w:ascii="宋体" w:hAnsi="宋体" w:eastAsia="宋体" w:cs="宋体"/>
                <w:highlight w:val="none"/>
              </w:rPr>
              <w:br w:type="textWrapping"/>
            </w:r>
            <w:r>
              <w:rPr>
                <w:rFonts w:ascii="宋体" w:hAnsi="宋体" w:eastAsia="宋体" w:cs="宋体"/>
                <w:highlight w:val="none"/>
              </w:rPr>
              <w:t>注：以住建领域主体信息库入库的有效的认证证书为准。</w:t>
            </w:r>
          </w:p>
        </w:tc>
      </w:tr>
      <w:tr w14:paraId="1A15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71F71F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2EB1358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3C27AB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拟派项目管理班子资历（职称证书）</w:t>
            </w:r>
          </w:p>
        </w:tc>
        <w:tc>
          <w:tcPr>
            <w:tcW w:w="935" w:type="dxa"/>
            <w:gridSpan w:val="2"/>
            <w:vAlign w:val="center"/>
          </w:tcPr>
          <w:p w14:paraId="6FECB1B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1</w:t>
            </w:r>
          </w:p>
        </w:tc>
        <w:tc>
          <w:tcPr>
            <w:tcW w:w="4111" w:type="dxa"/>
            <w:vAlign w:val="center"/>
          </w:tcPr>
          <w:p w14:paraId="6021D0F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人员类别：技术负责人（项目总工程师）</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评审内容：职称</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评审标准：【不限相关专业（指职称专业类别）</w:t>
            </w:r>
            <w:r>
              <w:rPr>
                <w:rFonts w:hint="eastAsia" w:ascii="宋体" w:hAnsi="宋体" w:eastAsia="宋体" w:cs="宋体"/>
                <w:b w:val="0"/>
                <w:bCs/>
                <w:i w:val="0"/>
                <w:color w:val="auto"/>
                <w:szCs w:val="21"/>
                <w:highlight w:val="none"/>
                <w:u w:val="none" w:color="auto"/>
                <w:lang w:val="en-US" w:eastAsia="zh-CN"/>
              </w:rPr>
              <w:t>高级</w:t>
            </w:r>
            <w:r>
              <w:rPr>
                <w:rFonts w:hint="eastAsia" w:ascii="宋体" w:hAnsi="宋体" w:eastAsia="宋体" w:cs="宋体"/>
                <w:b w:val="0"/>
                <w:bCs/>
                <w:i w:val="0"/>
                <w:color w:val="auto"/>
                <w:szCs w:val="21"/>
                <w:highlight w:val="none"/>
                <w:u w:val="none" w:color="auto"/>
              </w:rPr>
              <w:t>工程师（含）以上职称】</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分值：</w:t>
            </w:r>
            <w:r>
              <w:rPr>
                <w:rFonts w:hint="eastAsia" w:ascii="宋体" w:hAnsi="宋体" w:eastAsia="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分，满分：</w:t>
            </w:r>
            <w:r>
              <w:rPr>
                <w:rFonts w:hint="eastAsia" w:ascii="宋体" w:hAnsi="宋体" w:eastAsia="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注：以住建领域主体信息库入库信息为准。</w:t>
            </w:r>
          </w:p>
        </w:tc>
      </w:tr>
      <w:tr w14:paraId="4B3E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8A89EC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74D36D3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1A84A6F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拟派项目管理班子资历（安全生产考核合格证）</w:t>
            </w:r>
          </w:p>
        </w:tc>
        <w:tc>
          <w:tcPr>
            <w:tcW w:w="935" w:type="dxa"/>
            <w:gridSpan w:val="2"/>
            <w:vAlign w:val="center"/>
          </w:tcPr>
          <w:p w14:paraId="49D677A6">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1</w:t>
            </w:r>
          </w:p>
        </w:tc>
        <w:tc>
          <w:tcPr>
            <w:tcW w:w="4111" w:type="dxa"/>
            <w:vAlign w:val="center"/>
          </w:tcPr>
          <w:p w14:paraId="23B4CF9E">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评审内容：安全生产考核合格证</w:t>
            </w:r>
            <w:r>
              <w:rPr>
                <w:rFonts w:ascii="宋体" w:hAnsi="宋体" w:eastAsia="宋体" w:cs="宋体"/>
                <w:highlight w:val="none"/>
              </w:rPr>
              <w:br w:type="textWrapping"/>
            </w:r>
            <w:r>
              <w:rPr>
                <w:rFonts w:ascii="宋体" w:hAnsi="宋体" w:eastAsia="宋体" w:cs="宋体"/>
                <w:highlight w:val="none"/>
              </w:rPr>
              <w:t>（1）专职安全生产管理人员安全生产考核合格证 (C证) 分值：</w:t>
            </w:r>
            <w:r>
              <w:rPr>
                <w:rFonts w:hint="eastAsia" w:ascii="宋体" w:hAnsi="宋体" w:cs="宋体"/>
                <w:highlight w:val="none"/>
                <w:lang w:val="en-US" w:eastAsia="zh-CN"/>
              </w:rPr>
              <w:t>1</w:t>
            </w:r>
            <w:r>
              <w:rPr>
                <w:rFonts w:ascii="宋体" w:hAnsi="宋体" w:eastAsia="宋体" w:cs="宋体"/>
                <w:highlight w:val="none"/>
              </w:rPr>
              <w:t>分/个，最多得：</w:t>
            </w:r>
            <w:r>
              <w:rPr>
                <w:rFonts w:hint="eastAsia" w:ascii="宋体" w:hAnsi="宋体" w:cs="宋体"/>
                <w:highlight w:val="none"/>
                <w:lang w:val="en-US" w:eastAsia="zh-CN"/>
              </w:rPr>
              <w:t>1</w:t>
            </w:r>
            <w:r>
              <w:rPr>
                <w:rFonts w:ascii="宋体" w:hAnsi="宋体" w:eastAsia="宋体" w:cs="宋体"/>
                <w:highlight w:val="none"/>
              </w:rPr>
              <w:t>分</w:t>
            </w:r>
            <w:r>
              <w:rPr>
                <w:rFonts w:ascii="宋体" w:hAnsi="宋体" w:eastAsia="宋体" w:cs="宋体"/>
                <w:highlight w:val="none"/>
              </w:rPr>
              <w:br w:type="textWrapping"/>
            </w:r>
            <w:r>
              <w:rPr>
                <w:rFonts w:ascii="宋体" w:hAnsi="宋体" w:eastAsia="宋体" w:cs="宋体"/>
                <w:highlight w:val="none"/>
              </w:rPr>
              <w:t>满分：</w:t>
            </w:r>
            <w:r>
              <w:rPr>
                <w:rFonts w:hint="eastAsia" w:ascii="宋体" w:hAnsi="宋体" w:cs="宋体"/>
                <w:highlight w:val="none"/>
                <w:lang w:val="en-US" w:eastAsia="zh-CN"/>
              </w:rPr>
              <w:t>1</w:t>
            </w:r>
            <w:r>
              <w:rPr>
                <w:rFonts w:ascii="宋体" w:hAnsi="宋体" w:eastAsia="宋体" w:cs="宋体"/>
                <w:highlight w:val="none"/>
              </w:rPr>
              <w:t>分。</w:t>
            </w:r>
            <w:r>
              <w:rPr>
                <w:rFonts w:ascii="宋体" w:hAnsi="宋体" w:eastAsia="宋体" w:cs="宋体"/>
                <w:highlight w:val="none"/>
              </w:rPr>
              <w:br w:type="textWrapping"/>
            </w:r>
            <w:r>
              <w:rPr>
                <w:rFonts w:ascii="宋体" w:hAnsi="宋体" w:eastAsia="宋体" w:cs="宋体"/>
                <w:highlight w:val="none"/>
              </w:rPr>
              <w:t>注：以住建领域主体信息库入库的有效证书为准。</w:t>
            </w:r>
          </w:p>
        </w:tc>
      </w:tr>
      <w:tr w14:paraId="115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0C0B9E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139CD6E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41AF6D3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拟派项目管理班子资历（施工现场专业人员职业培训合格证）</w:t>
            </w:r>
          </w:p>
        </w:tc>
        <w:tc>
          <w:tcPr>
            <w:tcW w:w="935" w:type="dxa"/>
            <w:gridSpan w:val="2"/>
            <w:vAlign w:val="center"/>
          </w:tcPr>
          <w:p w14:paraId="6967A03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B3C038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评审内容：施工现场专业人员职业培训合格证</w:t>
            </w:r>
            <w:r>
              <w:rPr>
                <w:rFonts w:ascii="宋体" w:hAnsi="宋体" w:eastAsia="宋体" w:cs="宋体"/>
                <w:highlight w:val="none"/>
              </w:rPr>
              <w:br w:type="textWrapping"/>
            </w:r>
            <w:r>
              <w:rPr>
                <w:rFonts w:ascii="宋体" w:hAnsi="宋体" w:eastAsia="宋体" w:cs="宋体"/>
                <w:highlight w:val="none"/>
              </w:rPr>
              <w:t>（1）施工员 分值：0.5分/个，最多得：0.5分</w:t>
            </w:r>
            <w:r>
              <w:rPr>
                <w:rFonts w:ascii="宋体" w:hAnsi="宋体" w:eastAsia="宋体" w:cs="宋体"/>
                <w:highlight w:val="none"/>
              </w:rPr>
              <w:br w:type="textWrapping"/>
            </w:r>
            <w:r>
              <w:rPr>
                <w:rFonts w:ascii="宋体" w:hAnsi="宋体" w:eastAsia="宋体" w:cs="宋体"/>
                <w:highlight w:val="none"/>
              </w:rPr>
              <w:t>（2）</w:t>
            </w:r>
            <w:r>
              <w:rPr>
                <w:rFonts w:hint="eastAsia" w:ascii="宋体" w:hAnsi="宋体" w:cs="宋体"/>
                <w:highlight w:val="none"/>
                <w:lang w:val="en-US" w:eastAsia="zh-CN"/>
              </w:rPr>
              <w:t>材料员</w:t>
            </w:r>
            <w:r>
              <w:rPr>
                <w:rFonts w:ascii="宋体" w:hAnsi="宋体" w:eastAsia="宋体" w:cs="宋体"/>
                <w:highlight w:val="none"/>
              </w:rPr>
              <w:t xml:space="preserve"> 分值：0.5分/个，最多得：0.5分</w:t>
            </w:r>
            <w:r>
              <w:rPr>
                <w:rFonts w:ascii="宋体" w:hAnsi="宋体" w:eastAsia="宋体" w:cs="宋体"/>
                <w:highlight w:val="none"/>
              </w:rPr>
              <w:br w:type="textWrapping"/>
            </w:r>
            <w:r>
              <w:rPr>
                <w:rFonts w:ascii="宋体" w:hAnsi="宋体" w:eastAsia="宋体" w:cs="宋体"/>
                <w:highlight w:val="none"/>
              </w:rPr>
              <w:t>（3）</w:t>
            </w:r>
            <w:r>
              <w:rPr>
                <w:rFonts w:hint="eastAsia" w:ascii="宋体" w:hAnsi="宋体" w:cs="宋体"/>
                <w:highlight w:val="none"/>
                <w:lang w:val="en-US" w:eastAsia="zh-CN"/>
              </w:rPr>
              <w:t>质检员</w:t>
            </w:r>
            <w:r>
              <w:rPr>
                <w:rFonts w:ascii="宋体" w:hAnsi="宋体" w:eastAsia="宋体" w:cs="宋体"/>
                <w:highlight w:val="none"/>
              </w:rPr>
              <w:t xml:space="preserve"> 分值：0.5分/个，最多得：0.5分</w:t>
            </w:r>
            <w:r>
              <w:rPr>
                <w:rFonts w:ascii="宋体" w:hAnsi="宋体" w:eastAsia="宋体" w:cs="宋体"/>
                <w:highlight w:val="none"/>
              </w:rPr>
              <w:br w:type="textWrapping"/>
            </w:r>
            <w:r>
              <w:rPr>
                <w:rFonts w:ascii="宋体" w:hAnsi="宋体" w:eastAsia="宋体" w:cs="宋体"/>
                <w:highlight w:val="none"/>
              </w:rPr>
              <w:t>（4）资料员 分值：0.5分/个，最多得：0.5分</w:t>
            </w:r>
            <w:r>
              <w:rPr>
                <w:rFonts w:ascii="宋体" w:hAnsi="宋体" w:eastAsia="宋体" w:cs="宋体"/>
                <w:highlight w:val="none"/>
              </w:rPr>
              <w:br w:type="textWrapping"/>
            </w:r>
            <w:r>
              <w:rPr>
                <w:rFonts w:ascii="宋体" w:hAnsi="宋体" w:eastAsia="宋体" w:cs="宋体"/>
                <w:highlight w:val="none"/>
              </w:rPr>
              <w:t>满分：2分。</w:t>
            </w:r>
            <w:r>
              <w:rPr>
                <w:rFonts w:ascii="宋体" w:hAnsi="宋体" w:eastAsia="宋体" w:cs="宋体"/>
                <w:highlight w:val="none"/>
              </w:rPr>
              <w:br w:type="textWrapping"/>
            </w:r>
            <w:r>
              <w:rPr>
                <w:rFonts w:ascii="宋体" w:hAnsi="宋体" w:eastAsia="宋体" w:cs="宋体"/>
                <w:highlight w:val="none"/>
              </w:rPr>
              <w:t>注：以住建领域主体信息库入库的有效证书为准。</w:t>
            </w:r>
          </w:p>
        </w:tc>
      </w:tr>
      <w:tr w14:paraId="59E6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05538FD1">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1133C0DD">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2906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3DB25298">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66590E50">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53CA1D60">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6F0749CD">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25695EDE">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2CC6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393E2BDA">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4A81A315">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016576BB">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27608199">
      <w:pPr>
        <w:spacing w:line="400" w:lineRule="exact"/>
        <w:rPr>
          <w:color w:val="auto"/>
          <w:szCs w:val="21"/>
          <w:highlight w:val="none"/>
        </w:rPr>
      </w:pPr>
      <w:r>
        <w:rPr>
          <w:color w:val="auto"/>
          <w:szCs w:val="21"/>
          <w:highlight w:val="none"/>
        </w:rPr>
        <w:br w:type="page"/>
      </w:r>
    </w:p>
    <w:p w14:paraId="1CC19E76">
      <w:pPr>
        <w:pStyle w:val="23"/>
      </w:pPr>
      <w:bookmarkStart w:id="432" w:name="_Toc256000082"/>
      <w:bookmarkStart w:id="433" w:name="_Toc183107218"/>
      <w:bookmarkStart w:id="434" w:name="_Hlk176002393"/>
      <w:r>
        <w:rPr>
          <w:rFonts w:hint="eastAsia"/>
        </w:rPr>
        <w:t>评标办法正文部分</w:t>
      </w:r>
      <w:bookmarkEnd w:id="432"/>
      <w:bookmarkEnd w:id="433"/>
    </w:p>
    <w:bookmarkEnd w:id="434"/>
    <w:p w14:paraId="5574C31F">
      <w:pPr>
        <w:pStyle w:val="23"/>
      </w:pPr>
      <w:bookmarkStart w:id="435" w:name="_Toc256000083"/>
      <w:bookmarkStart w:id="436" w:name="_Toc183107219"/>
      <w:r>
        <w:rPr>
          <w:rFonts w:hint="eastAsia"/>
        </w:rPr>
        <w:t>1. 评标方法</w:t>
      </w:r>
      <w:bookmarkEnd w:id="435"/>
      <w:bookmarkEnd w:id="436"/>
    </w:p>
    <w:p w14:paraId="3EA12C47">
      <w:pPr>
        <w:spacing w:line="380" w:lineRule="exact"/>
        <w:ind w:firstLine="420" w:firstLineChars="200"/>
      </w:pPr>
      <w:bookmarkStart w:id="437" w:name="_Hlk174448114"/>
      <w:r>
        <w:rPr>
          <w:rFonts w:hint="eastAsia"/>
        </w:rPr>
        <w:t>本次评标采用综合评估法。评标委员会对满足招标文件实质性要求的投标文件，按照本章第2.2款规定的评分标准进行打分，并按评标办法前附表的规定推荐中标候选人</w:t>
      </w:r>
      <w:bookmarkStart w:id="438" w:name="_Hlk152257834"/>
      <w:r>
        <w:rPr>
          <w:rFonts w:hint="eastAsia" w:ascii="宋体" w:hAnsi="宋体" w:cs="宋体"/>
          <w:szCs w:val="21"/>
        </w:rPr>
        <w:t>。</w:t>
      </w:r>
      <w:bookmarkEnd w:id="438"/>
    </w:p>
    <w:bookmarkEnd w:id="437"/>
    <w:p w14:paraId="10BF61A5">
      <w:pPr>
        <w:pStyle w:val="23"/>
      </w:pPr>
      <w:bookmarkStart w:id="439" w:name="_Toc256000084"/>
      <w:bookmarkStart w:id="440" w:name="_Toc183107220"/>
      <w:r>
        <w:rPr>
          <w:rFonts w:hint="eastAsia"/>
        </w:rPr>
        <w:t>2. 评审标准</w:t>
      </w:r>
      <w:bookmarkEnd w:id="439"/>
      <w:bookmarkEnd w:id="440"/>
    </w:p>
    <w:p w14:paraId="39C81884">
      <w:pPr>
        <w:pStyle w:val="25"/>
      </w:pPr>
      <w:bookmarkStart w:id="441" w:name="_Toc183107221"/>
      <w:bookmarkStart w:id="442" w:name="_Toc256000085"/>
      <w:r>
        <w:rPr>
          <w:rFonts w:hint="eastAsia"/>
        </w:rPr>
        <w:t>2.1 初步评审标准</w:t>
      </w:r>
      <w:bookmarkEnd w:id="441"/>
      <w:bookmarkEnd w:id="442"/>
    </w:p>
    <w:p w14:paraId="34893C1F">
      <w:pPr>
        <w:spacing w:line="380" w:lineRule="exact"/>
        <w:ind w:firstLine="420" w:firstLineChars="200"/>
      </w:pPr>
      <w:r>
        <w:rPr>
          <w:rFonts w:hint="eastAsia"/>
        </w:rPr>
        <w:t>2.1.1 形式评审标准：见评标办法前附表。</w:t>
      </w:r>
    </w:p>
    <w:p w14:paraId="643E55D1">
      <w:pPr>
        <w:spacing w:line="380" w:lineRule="exact"/>
        <w:ind w:firstLine="420" w:firstLineChars="200"/>
      </w:pPr>
      <w:r>
        <w:rPr>
          <w:rFonts w:hint="eastAsia"/>
        </w:rPr>
        <w:t>2.1.2 资格评审标准：见评标办法前附表。</w:t>
      </w:r>
    </w:p>
    <w:p w14:paraId="415BB041">
      <w:pPr>
        <w:spacing w:line="380" w:lineRule="exact"/>
        <w:ind w:firstLine="420" w:firstLineChars="200"/>
      </w:pPr>
      <w:r>
        <w:rPr>
          <w:rFonts w:hint="eastAsia"/>
        </w:rPr>
        <w:t>2.1.3 响应性评审标准：见评标办法前附表。</w:t>
      </w:r>
    </w:p>
    <w:p w14:paraId="4085713E">
      <w:pPr>
        <w:pStyle w:val="25"/>
      </w:pPr>
      <w:bookmarkStart w:id="443" w:name="_Toc256000086"/>
      <w:bookmarkStart w:id="444" w:name="_Toc183107222"/>
      <w:r>
        <w:rPr>
          <w:rFonts w:hint="eastAsia"/>
        </w:rPr>
        <w:t>2.2 分值构成与评分标准</w:t>
      </w:r>
      <w:bookmarkEnd w:id="443"/>
      <w:bookmarkEnd w:id="444"/>
    </w:p>
    <w:p w14:paraId="1EF59EAB">
      <w:pPr>
        <w:spacing w:line="400" w:lineRule="exact"/>
        <w:ind w:firstLine="420" w:firstLineChars="200"/>
      </w:pPr>
      <w:r>
        <w:rPr>
          <w:rFonts w:hint="eastAsia"/>
        </w:rPr>
        <w:t xml:space="preserve">2.2.1 </w:t>
      </w:r>
      <w:r>
        <w:rPr>
          <w:rFonts w:hint="eastAsia" w:ascii="黑体" w:eastAsia="黑体"/>
        </w:rPr>
        <w:t>分值构成</w:t>
      </w:r>
    </w:p>
    <w:p w14:paraId="42543874">
      <w:pPr>
        <w:spacing w:line="380" w:lineRule="exact"/>
        <w:ind w:firstLine="420" w:firstLineChars="200"/>
      </w:pPr>
      <w:r>
        <w:rPr>
          <w:rFonts w:hint="eastAsia"/>
        </w:rPr>
        <w:t>（1）投标报价（经济标）：见评标办法前附表；</w:t>
      </w:r>
    </w:p>
    <w:p w14:paraId="0A18A9B7">
      <w:pPr>
        <w:spacing w:line="380" w:lineRule="exact"/>
        <w:ind w:firstLine="420" w:firstLineChars="200"/>
      </w:pPr>
      <w:r>
        <w:rPr>
          <w:rFonts w:hint="eastAsia"/>
        </w:rPr>
        <w:t>（2）施工组织设计（技术标）：见评标办法前附表；</w:t>
      </w:r>
    </w:p>
    <w:p w14:paraId="1CB5B29E">
      <w:pPr>
        <w:spacing w:line="380" w:lineRule="exact"/>
        <w:ind w:firstLine="420" w:firstLineChars="200"/>
      </w:pPr>
      <w:r>
        <w:rPr>
          <w:rFonts w:hint="eastAsia"/>
        </w:rPr>
        <w:t>（3）资信业绩：见评标办法前附表；</w:t>
      </w:r>
    </w:p>
    <w:p w14:paraId="74F717C2">
      <w:pPr>
        <w:spacing w:line="380" w:lineRule="exact"/>
        <w:ind w:firstLine="420" w:firstLineChars="200"/>
      </w:pPr>
      <w:r>
        <w:rPr>
          <w:rFonts w:hint="eastAsia"/>
        </w:rPr>
        <w:t>（4）其他因素：见评标办法前附表。</w:t>
      </w:r>
    </w:p>
    <w:p w14:paraId="1C2158F1">
      <w:pPr>
        <w:spacing w:line="400" w:lineRule="exact"/>
        <w:ind w:firstLine="420" w:firstLineChars="200"/>
      </w:pPr>
      <w:r>
        <w:rPr>
          <w:rFonts w:hint="eastAsia"/>
        </w:rPr>
        <w:t xml:space="preserve">2.2.2 </w:t>
      </w:r>
      <w:r>
        <w:rPr>
          <w:rFonts w:hint="eastAsia" w:ascii="黑体" w:eastAsia="黑体"/>
        </w:rPr>
        <w:t>评标基准价计算</w:t>
      </w:r>
    </w:p>
    <w:p w14:paraId="2CF2C355">
      <w:pPr>
        <w:spacing w:line="380" w:lineRule="exact"/>
        <w:ind w:firstLine="420" w:firstLineChars="200"/>
      </w:pPr>
      <w:r>
        <w:rPr>
          <w:rFonts w:hint="eastAsia"/>
        </w:rPr>
        <w:t>（1）评标价确定方法：见评标办法前附表；</w:t>
      </w:r>
    </w:p>
    <w:p w14:paraId="3F45BF97">
      <w:pPr>
        <w:spacing w:line="380" w:lineRule="exact"/>
        <w:ind w:firstLine="420" w:firstLineChars="200"/>
      </w:pPr>
      <w:r>
        <w:rPr>
          <w:rFonts w:hint="eastAsia"/>
        </w:rPr>
        <w:t>（2）评标基准价计算方法：见评标办法前附表。</w:t>
      </w:r>
    </w:p>
    <w:p w14:paraId="6441121F">
      <w:pPr>
        <w:spacing w:line="400" w:lineRule="exact"/>
        <w:ind w:firstLine="420" w:firstLineChars="200"/>
      </w:pPr>
      <w:r>
        <w:rPr>
          <w:rFonts w:hint="eastAsia"/>
        </w:rPr>
        <w:t xml:space="preserve">2.2.3 </w:t>
      </w:r>
      <w:r>
        <w:rPr>
          <w:rFonts w:hint="eastAsia" w:ascii="黑体" w:eastAsia="黑体"/>
        </w:rPr>
        <w:t>投标报价的偏差率计算</w:t>
      </w:r>
    </w:p>
    <w:p w14:paraId="3CF809D6">
      <w:pPr>
        <w:spacing w:line="380" w:lineRule="exact"/>
        <w:ind w:firstLine="420" w:firstLineChars="200"/>
      </w:pPr>
      <w:r>
        <w:rPr>
          <w:rFonts w:hint="eastAsia"/>
        </w:rPr>
        <w:t>投标报价的偏差率计算公式：见评标办法前附表。</w:t>
      </w:r>
    </w:p>
    <w:p w14:paraId="2B3E5DAF">
      <w:pPr>
        <w:spacing w:line="400" w:lineRule="exact"/>
        <w:ind w:firstLine="420" w:firstLineChars="200"/>
      </w:pPr>
      <w:r>
        <w:rPr>
          <w:rFonts w:hint="eastAsia"/>
        </w:rPr>
        <w:t xml:space="preserve">2.2.4 </w:t>
      </w:r>
      <w:r>
        <w:rPr>
          <w:rFonts w:hint="eastAsia" w:ascii="黑体" w:eastAsia="黑体"/>
        </w:rPr>
        <w:t>评分标准</w:t>
      </w:r>
    </w:p>
    <w:p w14:paraId="2D998335">
      <w:pPr>
        <w:spacing w:line="380" w:lineRule="exact"/>
        <w:ind w:firstLine="420" w:firstLineChars="200"/>
      </w:pPr>
      <w:r>
        <w:rPr>
          <w:rFonts w:hint="eastAsia"/>
        </w:rPr>
        <w:t>（1）经济标评分标准：见评标办法前附表；</w:t>
      </w:r>
    </w:p>
    <w:p w14:paraId="766B7556">
      <w:pPr>
        <w:spacing w:line="380" w:lineRule="exact"/>
        <w:ind w:firstLine="420" w:firstLineChars="200"/>
      </w:pPr>
      <w:r>
        <w:rPr>
          <w:rFonts w:hint="eastAsia"/>
        </w:rPr>
        <w:t>（2）技术标评分标准：见评标办法前附表；</w:t>
      </w:r>
    </w:p>
    <w:p w14:paraId="1953887A">
      <w:pPr>
        <w:spacing w:line="380" w:lineRule="exact"/>
        <w:ind w:firstLine="420" w:firstLineChars="200"/>
      </w:pPr>
      <w:r>
        <w:rPr>
          <w:rFonts w:hint="eastAsia"/>
        </w:rPr>
        <w:t>（3）资信标评分标准：见评标办法前附表；</w:t>
      </w:r>
    </w:p>
    <w:p w14:paraId="3EF37ED2">
      <w:pPr>
        <w:spacing w:line="380" w:lineRule="exact"/>
        <w:ind w:firstLine="420" w:firstLineChars="200"/>
      </w:pPr>
      <w:r>
        <w:rPr>
          <w:rFonts w:hint="eastAsia"/>
        </w:rPr>
        <w:t>（4）其他因素评分标准：见评标办法前附表。</w:t>
      </w:r>
    </w:p>
    <w:p w14:paraId="3C1B211D">
      <w:pPr>
        <w:pStyle w:val="23"/>
      </w:pPr>
      <w:bookmarkStart w:id="445" w:name="_Toc183107223"/>
      <w:bookmarkStart w:id="446" w:name="_Toc256000087"/>
      <w:r>
        <w:rPr>
          <w:rFonts w:hint="eastAsia"/>
        </w:rPr>
        <w:t>3. 评标程序</w:t>
      </w:r>
      <w:bookmarkEnd w:id="445"/>
      <w:bookmarkEnd w:id="446"/>
    </w:p>
    <w:p w14:paraId="45D66AC8">
      <w:pPr>
        <w:pStyle w:val="25"/>
      </w:pPr>
      <w:bookmarkStart w:id="447" w:name="_Toc183107224"/>
      <w:bookmarkStart w:id="448" w:name="_Toc256000088"/>
      <w:r>
        <w:rPr>
          <w:rFonts w:hint="eastAsia"/>
        </w:rPr>
        <w:t>3.1 初步评审</w:t>
      </w:r>
      <w:bookmarkEnd w:id="447"/>
      <w:bookmarkEnd w:id="448"/>
    </w:p>
    <w:p w14:paraId="2D8F8A96">
      <w:pPr>
        <w:spacing w:line="380" w:lineRule="exact"/>
        <w:ind w:firstLine="420" w:firstLineChars="200"/>
      </w:pPr>
      <w:r>
        <w:rPr>
          <w:rFonts w:hint="eastAsia"/>
        </w:rPr>
        <w:t>3.1.1评标委员会依据本章第2.1款规定的标准对投标文件进行初步评审。有一项不符合评审标准的，评标委员会应当否决其投标。</w:t>
      </w:r>
    </w:p>
    <w:p w14:paraId="3E2BFE18">
      <w:pPr>
        <w:spacing w:line="380" w:lineRule="exact"/>
        <w:ind w:firstLine="420" w:firstLineChars="200"/>
      </w:pPr>
      <w:r>
        <w:rPr>
          <w:rFonts w:hint="eastAsia"/>
        </w:rPr>
        <w:t>3.1.2 投标人有以下情形之一的，评标委员会应当否决其投标：</w:t>
      </w:r>
    </w:p>
    <w:p w14:paraId="35376E63">
      <w:pPr>
        <w:spacing w:line="380" w:lineRule="exact"/>
        <w:ind w:firstLine="420" w:firstLineChars="200"/>
      </w:pPr>
      <w:r>
        <w:rPr>
          <w:rFonts w:hint="eastAsia"/>
        </w:rPr>
        <w:t>（1）不按评标委员会要求澄清、说明或补正。</w:t>
      </w:r>
    </w:p>
    <w:p w14:paraId="08CB93C5">
      <w:pPr>
        <w:spacing w:line="380" w:lineRule="exact"/>
        <w:ind w:firstLine="420" w:firstLineChars="200"/>
      </w:pPr>
      <w:r>
        <w:rPr>
          <w:rFonts w:hint="eastAsia"/>
        </w:rPr>
        <w:t>（2）有串通投标、弄虚作假、行贿或有其他违法行为；</w:t>
      </w:r>
    </w:p>
    <w:p w14:paraId="3CA3899C">
      <w:pPr>
        <w:spacing w:line="380" w:lineRule="exact"/>
        <w:ind w:firstLine="420" w:firstLineChars="200"/>
      </w:pPr>
      <w:r>
        <w:rPr>
          <w:rFonts w:hint="eastAsia"/>
        </w:rPr>
        <w:t>1）有下列情形之一的，视为投标人相互串通投标：</w:t>
      </w:r>
    </w:p>
    <w:p w14:paraId="458C217A">
      <w:pPr>
        <w:spacing w:line="380" w:lineRule="exact"/>
        <w:ind w:firstLine="420" w:firstLineChars="200"/>
      </w:pPr>
      <w:r>
        <w:rPr>
          <w:rFonts w:hint="eastAsia"/>
        </w:rPr>
        <w:t>① 不同投标人的投标文件由同一单位或者个人编制；</w:t>
      </w:r>
    </w:p>
    <w:p w14:paraId="09012EEB">
      <w:pPr>
        <w:spacing w:line="380" w:lineRule="exact"/>
        <w:ind w:firstLine="420" w:firstLineChars="200"/>
      </w:pPr>
      <w:r>
        <w:rPr>
          <w:rFonts w:hint="eastAsia"/>
        </w:rPr>
        <w:t>② 不同投标人委托同一单位或者个人办理投标事宜；</w:t>
      </w:r>
    </w:p>
    <w:p w14:paraId="282BC103">
      <w:pPr>
        <w:spacing w:line="380" w:lineRule="exact"/>
        <w:ind w:firstLine="420" w:firstLineChars="200"/>
      </w:pPr>
      <w:r>
        <w:rPr>
          <w:rFonts w:hint="eastAsia"/>
        </w:rPr>
        <w:t>③ 不同投标人使用同一电脑等电子设备办理投标事宜（下载招标文件、上传投标文件、授权委托人或项目经理实名认证等关键环节）；</w:t>
      </w:r>
    </w:p>
    <w:p w14:paraId="39AA9E59">
      <w:pPr>
        <w:spacing w:line="380" w:lineRule="exact"/>
        <w:ind w:firstLine="420" w:firstLineChars="200"/>
      </w:pPr>
      <w:r>
        <w:rPr>
          <w:rFonts w:hint="eastAsia"/>
        </w:rPr>
        <w:t>④ 不同投标人的投标文件载明的项目管理成员为同一人；</w:t>
      </w:r>
    </w:p>
    <w:p w14:paraId="378DE068">
      <w:pPr>
        <w:spacing w:line="380" w:lineRule="exact"/>
        <w:ind w:firstLine="420" w:firstLineChars="200"/>
      </w:pPr>
      <w:r>
        <w:rPr>
          <w:rFonts w:hint="eastAsia"/>
        </w:rPr>
        <w:t>⑤ 不同投标人的投标文件非典型一致或者投标报价呈规律性差异；</w:t>
      </w:r>
    </w:p>
    <w:p w14:paraId="0AB0C2C7">
      <w:pPr>
        <w:spacing w:line="380" w:lineRule="exact"/>
        <w:ind w:firstLine="420" w:firstLineChars="200"/>
      </w:pPr>
      <w:r>
        <w:rPr>
          <w:rFonts w:hint="eastAsia"/>
        </w:rPr>
        <w:t>⑥ 不同投标人的投标文件相互混装；</w:t>
      </w:r>
    </w:p>
    <w:p w14:paraId="2DA68826">
      <w:pPr>
        <w:spacing w:line="380" w:lineRule="exact"/>
        <w:ind w:firstLine="420" w:firstLineChars="20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 xml:space="preserve"> </w:t>
      </w:r>
      <w:r>
        <w:rPr>
          <w:rFonts w:hint="eastAsia"/>
        </w:rPr>
        <w:t>不同投标人的投标保证金或保函（保险）财务费用从同一单位或者个人的账户转出；</w:t>
      </w:r>
    </w:p>
    <w:p w14:paraId="259C13FB">
      <w:pPr>
        <w:spacing w:line="380" w:lineRule="exact"/>
        <w:ind w:firstLine="420" w:firstLineChars="200"/>
      </w:pPr>
      <w:r>
        <w:rPr>
          <w:rFonts w:hint="eastAsia" w:ascii="宋体" w:hAnsi="宋体"/>
        </w:rPr>
        <w:t>⑧</w:t>
      </w:r>
      <w:r>
        <w:t xml:space="preserve"> </w:t>
      </w:r>
      <w:r>
        <w:rPr>
          <w:rFonts w:hint="eastAsia"/>
        </w:rPr>
        <w:t>不同投标人的投标文件存在“MAC地址”、“文件创建标识码”、“文件制作机器码”等唯一性标识一致等情形。</w:t>
      </w:r>
    </w:p>
    <w:p w14:paraId="3C528BEE">
      <w:pPr>
        <w:spacing w:line="380" w:lineRule="exact"/>
        <w:ind w:firstLine="420" w:firstLineChars="200"/>
      </w:pPr>
      <w:r>
        <w:rPr>
          <w:rFonts w:hint="eastAsia"/>
        </w:rPr>
        <w:t>2）有下列情形之一的，属于弄虚作假行为：</w:t>
      </w:r>
    </w:p>
    <w:p w14:paraId="0CF31973">
      <w:pPr>
        <w:spacing w:line="380" w:lineRule="exact"/>
        <w:ind w:firstLine="420" w:firstLineChars="200"/>
      </w:pPr>
      <w:r>
        <w:rPr>
          <w:rFonts w:hint="eastAsia"/>
        </w:rPr>
        <w:t>① 使用通过受让或者租借等方式获取的资格、资质证书投标的，即以他人名义投标的。</w:t>
      </w:r>
    </w:p>
    <w:p w14:paraId="32E9A4E1">
      <w:pPr>
        <w:spacing w:line="380" w:lineRule="exact"/>
        <w:ind w:firstLine="420" w:firstLineChars="200"/>
      </w:pPr>
      <w:r>
        <w:rPr>
          <w:rFonts w:hint="eastAsia"/>
        </w:rPr>
        <w:t>② 使用伪造、变造的许可证件；</w:t>
      </w:r>
    </w:p>
    <w:p w14:paraId="0F3B2D48">
      <w:pPr>
        <w:spacing w:line="380" w:lineRule="exact"/>
        <w:ind w:firstLine="420" w:firstLineChars="200"/>
      </w:pPr>
      <w:r>
        <w:rPr>
          <w:rFonts w:hint="eastAsia"/>
        </w:rPr>
        <w:t>③ 提供虚假的财务状况或者业绩；</w:t>
      </w:r>
    </w:p>
    <w:p w14:paraId="0A9AB26E">
      <w:pPr>
        <w:spacing w:line="380" w:lineRule="exact"/>
        <w:ind w:firstLine="420" w:firstLineChars="200"/>
      </w:pPr>
      <w:r>
        <w:rPr>
          <w:rFonts w:hint="eastAsia"/>
        </w:rPr>
        <w:t>④ 提供虚假的项目负责人或者主要技术人员简历、社会保险证明；</w:t>
      </w:r>
    </w:p>
    <w:p w14:paraId="0112108F">
      <w:pPr>
        <w:spacing w:line="380" w:lineRule="exact"/>
        <w:ind w:firstLine="420" w:firstLineChars="200"/>
      </w:pPr>
      <w:r>
        <w:rPr>
          <w:rFonts w:hint="eastAsia"/>
        </w:rPr>
        <w:t>⑤ 提供虚假的信用状况；</w:t>
      </w:r>
    </w:p>
    <w:p w14:paraId="45AB89A9">
      <w:pPr>
        <w:spacing w:line="380" w:lineRule="exact"/>
        <w:ind w:firstLine="420" w:firstLineChars="200"/>
      </w:pPr>
      <w:r>
        <w:rPr>
          <w:rFonts w:hint="eastAsia"/>
        </w:rPr>
        <w:t>⑥ 其他弄虚作假的行为。</w:t>
      </w:r>
    </w:p>
    <w:p w14:paraId="2DB0DA3A">
      <w:pPr>
        <w:spacing w:line="380" w:lineRule="exact"/>
        <w:ind w:firstLine="420" w:firstLineChars="200"/>
      </w:pPr>
      <w:r>
        <w:rPr>
          <w:rFonts w:hint="eastAsia"/>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10622E15">
      <w:pPr>
        <w:spacing w:line="380" w:lineRule="exact"/>
        <w:ind w:firstLine="420" w:firstLineChars="200"/>
      </w:pPr>
      <w:r>
        <w:rPr>
          <w:rFonts w:hint="eastAsia"/>
        </w:rPr>
        <w:t>（1）投标文件中的大写金额与小写金额不一致的，以大写金额为准；</w:t>
      </w:r>
    </w:p>
    <w:p w14:paraId="67B376FC">
      <w:pPr>
        <w:spacing w:line="380" w:lineRule="exact"/>
        <w:ind w:firstLine="420" w:firstLineChars="200"/>
      </w:pPr>
      <w:r>
        <w:rPr>
          <w:rFonts w:hint="eastAsia"/>
        </w:rPr>
        <w:t>（2）总价金额与依据单价计算出的结果不一致的，以单价金额为准修正总价，但单价金额小数点有明显错误的除外。</w:t>
      </w:r>
    </w:p>
    <w:p w14:paraId="18092E0C">
      <w:pPr>
        <w:spacing w:line="380" w:lineRule="exact"/>
        <w:ind w:firstLine="420" w:firstLineChars="200"/>
      </w:pPr>
      <w:r>
        <w:rPr>
          <w:rFonts w:hint="eastAsia"/>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1EDB89A3">
      <w:pPr>
        <w:spacing w:line="380" w:lineRule="exact"/>
        <w:ind w:firstLine="420" w:firstLineChars="200"/>
      </w:pPr>
      <w:r>
        <w:rPr>
          <w:rFonts w:hint="eastAsia"/>
        </w:rPr>
        <w:t>3.1</w:t>
      </w:r>
      <w:r>
        <w:t>.</w:t>
      </w:r>
      <w:r>
        <w:rPr>
          <w:rFonts w:hint="eastAsia"/>
        </w:rPr>
        <w:t>5</w:t>
      </w:r>
      <w:r>
        <w:t xml:space="preserve"> 评标委员会否决不合格投标后，因有效投标不足三个使得投标明显缺乏竞争的，评标委员会可以否决全部投标。</w:t>
      </w:r>
    </w:p>
    <w:p w14:paraId="5F1D7CB5">
      <w:pPr>
        <w:pStyle w:val="25"/>
      </w:pPr>
      <w:bookmarkStart w:id="449" w:name="_Toc183107225"/>
      <w:bookmarkStart w:id="450" w:name="_Toc256000089"/>
      <w:r>
        <w:rPr>
          <w:rFonts w:hint="eastAsia"/>
        </w:rPr>
        <w:t>3.2 详细评审</w:t>
      </w:r>
      <w:bookmarkEnd w:id="449"/>
      <w:bookmarkEnd w:id="450"/>
    </w:p>
    <w:p w14:paraId="50267A70">
      <w:pPr>
        <w:spacing w:line="380" w:lineRule="exact"/>
        <w:ind w:firstLine="420" w:firstLineChars="200"/>
      </w:pPr>
      <w:r>
        <w:rPr>
          <w:rFonts w:hint="eastAsia"/>
        </w:rPr>
        <w:t>3.2.1 评标委员会对通过了初步评审的投标文件进行详细评审。</w:t>
      </w:r>
      <w:bookmarkStart w:id="451" w:name="_Hlk155258945"/>
      <w:r>
        <w:rPr>
          <w:rFonts w:hint="eastAsia"/>
        </w:rPr>
        <w:t>如采用入围方式的，则按照评标办法前附表规定的方式进行入围。</w:t>
      </w:r>
      <w:bookmarkEnd w:id="451"/>
    </w:p>
    <w:p w14:paraId="27152F30">
      <w:pPr>
        <w:spacing w:line="380" w:lineRule="exact"/>
        <w:ind w:firstLine="420" w:firstLineChars="200"/>
      </w:pPr>
      <w:r>
        <w:rPr>
          <w:rFonts w:hint="eastAsia"/>
        </w:rPr>
        <w:t>3.2.2 评标委员会按本章第2.2款规定的量化因素和分值进行打分，并计算出综合评估得分。</w:t>
      </w:r>
    </w:p>
    <w:p w14:paraId="27FD3BC4">
      <w:pPr>
        <w:spacing w:line="380" w:lineRule="exact"/>
        <w:ind w:firstLine="420" w:firstLineChars="200"/>
      </w:pPr>
      <w:r>
        <w:rPr>
          <w:rFonts w:hint="eastAsia"/>
        </w:rPr>
        <w:t>（1）按本章第2.2.4（1）目规定的评审因素和分值对经济标计算出得分A；</w:t>
      </w:r>
    </w:p>
    <w:p w14:paraId="43A994D7">
      <w:pPr>
        <w:spacing w:line="380" w:lineRule="exact"/>
        <w:ind w:firstLine="420" w:firstLineChars="200"/>
      </w:pPr>
      <w:r>
        <w:rPr>
          <w:rFonts w:hint="eastAsia"/>
        </w:rPr>
        <w:t>（2）按本章第2.2.4（2）目规定的评审因素和分值对技术标计算出得分B；</w:t>
      </w:r>
    </w:p>
    <w:p w14:paraId="317088C2">
      <w:pPr>
        <w:spacing w:line="380" w:lineRule="exact"/>
        <w:ind w:firstLine="420" w:firstLineChars="200"/>
      </w:pPr>
      <w:r>
        <w:rPr>
          <w:rFonts w:hint="eastAsia"/>
        </w:rPr>
        <w:t>（3）按本章第2.2.4（3）目规定的评审因素和分值对资信标计算出得分C；</w:t>
      </w:r>
    </w:p>
    <w:p w14:paraId="42D74E35">
      <w:pPr>
        <w:spacing w:line="380" w:lineRule="exact"/>
        <w:ind w:firstLine="420" w:firstLineChars="200"/>
      </w:pPr>
      <w:r>
        <w:rPr>
          <w:rFonts w:hint="eastAsia"/>
        </w:rPr>
        <w:t>（4）按本章第2.2.4（4）目规定的评审因素和分值对其他因素计算出得分D。</w:t>
      </w:r>
    </w:p>
    <w:p w14:paraId="45F011E8">
      <w:pPr>
        <w:spacing w:line="380" w:lineRule="exact"/>
        <w:ind w:firstLine="420" w:firstLineChars="200"/>
      </w:pPr>
      <w:r>
        <w:rPr>
          <w:rFonts w:hint="eastAsia"/>
        </w:rPr>
        <w:t>3.2.3 评分分值计算保留小数点后两位，小数点后第三位“四舍五入”。</w:t>
      </w:r>
    </w:p>
    <w:p w14:paraId="6AA0F7AA">
      <w:pPr>
        <w:spacing w:line="380" w:lineRule="exact"/>
        <w:ind w:firstLine="420" w:firstLineChars="200"/>
      </w:pPr>
      <w:r>
        <w:rPr>
          <w:rFonts w:hint="eastAsia"/>
        </w:rPr>
        <w:t>3.2.4 投标人得分=A+B+C+D。</w:t>
      </w:r>
    </w:p>
    <w:p w14:paraId="3EAD5926">
      <w:pPr>
        <w:spacing w:line="380" w:lineRule="exact"/>
        <w:ind w:firstLine="420" w:firstLineChars="200"/>
      </w:pPr>
      <w:r>
        <w:rPr>
          <w:rFonts w:hint="eastAsia"/>
        </w:rPr>
        <w:t xml:space="preserve">3.2.5 </w:t>
      </w:r>
      <w:bookmarkStart w:id="452" w:name="_Hlk174450796"/>
      <w:r>
        <w:rPr>
          <w:rFonts w:hint="eastAsia"/>
        </w:rPr>
        <w:t>各投标人评分结果汇总确定办法详见评标办法前附表。</w:t>
      </w:r>
      <w:bookmarkEnd w:id="452"/>
    </w:p>
    <w:p w14:paraId="0AA1C86F">
      <w:pPr>
        <w:pStyle w:val="25"/>
      </w:pPr>
      <w:bookmarkStart w:id="453" w:name="_Toc183107226"/>
      <w:bookmarkStart w:id="454" w:name="_Toc256000090"/>
      <w:r>
        <w:rPr>
          <w:rFonts w:hint="eastAsia"/>
        </w:rPr>
        <w:t>3.3 投标文件的澄清和补正</w:t>
      </w:r>
      <w:bookmarkEnd w:id="453"/>
      <w:bookmarkEnd w:id="454"/>
    </w:p>
    <w:p w14:paraId="50D5FDD2">
      <w:pPr>
        <w:spacing w:line="380" w:lineRule="exact"/>
        <w:ind w:firstLine="420" w:firstLineChars="200"/>
      </w:pPr>
      <w:r>
        <w:rPr>
          <w:rFonts w:hint="eastAsia"/>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A0C9568">
      <w:pPr>
        <w:spacing w:line="380" w:lineRule="exact"/>
        <w:ind w:firstLine="420" w:firstLineChars="200"/>
      </w:pPr>
      <w:r>
        <w:rPr>
          <w:rFonts w:hint="eastAsia"/>
        </w:rPr>
        <w:t>3.3.2 澄清、说明和补正不得超出投标文件的范围且不得改变投标文件的实质性内容（算术错误修正的除外）。投标人的书面澄清、说明和补正属于投标文件的组成部分。</w:t>
      </w:r>
    </w:p>
    <w:p w14:paraId="0EEEFAAA">
      <w:pPr>
        <w:spacing w:line="380" w:lineRule="exact"/>
        <w:ind w:firstLine="420" w:firstLineChars="200"/>
      </w:pPr>
      <w:r>
        <w:rPr>
          <w:rFonts w:hint="eastAsia"/>
        </w:rPr>
        <w:t>3.3.3 评标委员会对投标人提交的澄清、说明或补正有疑问的，可以要求投标人进一步澄清、说明或补正，直至满足评标委员会的要求。</w:t>
      </w:r>
    </w:p>
    <w:p w14:paraId="18012D16">
      <w:pPr>
        <w:spacing w:line="380" w:lineRule="exact"/>
        <w:ind w:firstLine="420" w:firstLineChars="200"/>
      </w:pPr>
      <w:bookmarkStart w:id="455" w:name="_Hlk150329621"/>
      <w:r>
        <w:rPr>
          <w:rFonts w:hint="eastAsia"/>
        </w:rPr>
        <w:t>3.3.4</w:t>
      </w:r>
      <w:bookmarkStart w:id="456" w:name="_Hlk174451177"/>
      <w:r>
        <w:rPr>
          <w:rFonts w:hint="eastAsia"/>
        </w:rPr>
        <w:t>评标委员会要求投标人对投标文件问题澄清的通知，以及投标人对投标文件的澄清通过</w:t>
      </w:r>
      <w:bookmarkStart w:id="457" w:name="_Hlk164710198"/>
      <w:r>
        <w:rPr>
          <w:rFonts w:hint="eastAsia"/>
        </w:rPr>
        <w:t>电子招标投标系统（辽宁省工程建设项目数字化开标评标系统）</w:t>
      </w:r>
      <w:bookmarkEnd w:id="457"/>
      <w:r>
        <w:rPr>
          <w:rFonts w:hint="eastAsia"/>
        </w:rPr>
        <w:t>以书面形式进行。</w:t>
      </w:r>
      <w:bookmarkStart w:id="458" w:name="_Hlk161316527"/>
      <w:r>
        <w:rPr>
          <w:rFonts w:hint="eastAsia"/>
        </w:rPr>
        <w:t>投标人的澄清、说明或补正应在评标办法前附表通知规定的</w:t>
      </w:r>
      <w:r>
        <w:rPr>
          <w:rFonts w:hint="eastAsia" w:ascii="宋体" w:hAnsi="宋体" w:cs="微软雅黑"/>
          <w:szCs w:val="21"/>
        </w:rPr>
        <w:t>时间要求内</w:t>
      </w:r>
      <w:r>
        <w:rPr>
          <w:rFonts w:hint="eastAsia"/>
        </w:rPr>
        <w:t>提交，否则评标委员会（电子招标投标系统）将拒绝接收。</w:t>
      </w:r>
      <w:bookmarkEnd w:id="456"/>
      <w:bookmarkEnd w:id="458"/>
    </w:p>
    <w:bookmarkEnd w:id="455"/>
    <w:p w14:paraId="2886AC32">
      <w:pPr>
        <w:pStyle w:val="25"/>
      </w:pPr>
      <w:bookmarkStart w:id="459" w:name="_Toc256000091"/>
      <w:bookmarkStart w:id="460" w:name="_Toc183107227"/>
      <w:r>
        <w:rPr>
          <w:rFonts w:hint="eastAsia"/>
        </w:rPr>
        <w:t>3.4 评标结果</w:t>
      </w:r>
      <w:bookmarkEnd w:id="459"/>
      <w:bookmarkEnd w:id="460"/>
    </w:p>
    <w:p w14:paraId="0FB60AD4">
      <w:pPr>
        <w:spacing w:line="380" w:lineRule="exact"/>
        <w:ind w:firstLine="420" w:firstLineChars="200"/>
      </w:pPr>
      <w:r>
        <w:rPr>
          <w:rFonts w:hint="eastAsia"/>
        </w:rPr>
        <w:t>3.4.1</w:t>
      </w:r>
      <w:bookmarkStart w:id="461" w:name="_Hlk174451188"/>
      <w:r>
        <w:rPr>
          <w:rFonts w:hint="eastAsia"/>
        </w:rPr>
        <w:t>评标委员会按照本章评标办法前附表规定的推荐方法和第二章“投标人须知”前附表第7.1款推荐的中标候选人数量推荐中标候选人。</w:t>
      </w:r>
      <w:bookmarkEnd w:id="461"/>
    </w:p>
    <w:p w14:paraId="3515976F">
      <w:pPr>
        <w:spacing w:line="380" w:lineRule="exact"/>
        <w:ind w:firstLine="420" w:firstLineChars="200"/>
      </w:pPr>
      <w:r>
        <w:rPr>
          <w:rFonts w:hint="eastAsia"/>
        </w:rPr>
        <w:t>3.4.2评标委员会完成评标后，应当向招标人提交书面评标报告。</w:t>
      </w:r>
    </w:p>
    <w:p w14:paraId="31A7DFC3">
      <w:pPr>
        <w:spacing w:line="380" w:lineRule="exact"/>
        <w:ind w:firstLine="420" w:firstLineChars="200"/>
      </w:pPr>
      <w:bookmarkStart w:id="462" w:name="_Hlk174451199"/>
      <w:r>
        <w:rPr>
          <w:rFonts w:hint="eastAsia"/>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2"/>
    </w:p>
    <w:p w14:paraId="3A25EAA8">
      <w:pPr>
        <w:spacing w:line="400" w:lineRule="exact"/>
        <w:ind w:firstLine="420" w:firstLineChars="200"/>
      </w:pPr>
      <w:r>
        <w:br w:type="page"/>
      </w:r>
    </w:p>
    <w:p w14:paraId="5278CCA5">
      <w:pPr>
        <w:spacing w:line="400" w:lineRule="exact"/>
        <w:ind w:firstLine="420" w:firstLineChars="200"/>
        <w:rPr>
          <w:rFonts w:hint="eastAsia" w:ascii="宋体" w:hAnsi="宋体"/>
          <w:szCs w:val="21"/>
        </w:rPr>
        <w:sectPr>
          <w:pgSz w:w="11906" w:h="16838"/>
          <w:pgMar w:top="1440" w:right="1797" w:bottom="1440" w:left="1797" w:header="851" w:footer="851" w:gutter="0"/>
          <w:cols w:space="720" w:num="1"/>
          <w:docGrid w:linePitch="312" w:charSpace="0"/>
        </w:sectPr>
      </w:pPr>
    </w:p>
    <w:p w14:paraId="4852A4B2">
      <w:pPr>
        <w:pStyle w:val="3"/>
        <w:rPr>
          <w:b w:val="0"/>
          <w:sz w:val="24"/>
          <w:szCs w:val="24"/>
        </w:rPr>
      </w:pPr>
      <w:bookmarkStart w:id="463" w:name="_Toc256000092"/>
      <w:bookmarkStart w:id="464" w:name="_Toc183107228"/>
      <w:bookmarkStart w:id="465" w:name="_Hlk164528783"/>
      <w:r>
        <w:rPr>
          <w:rFonts w:hint="eastAsia"/>
          <w:b w:val="0"/>
          <w:sz w:val="24"/>
          <w:szCs w:val="24"/>
        </w:rPr>
        <w:t>附件A：评标详细程序</w:t>
      </w:r>
      <w:bookmarkEnd w:id="463"/>
      <w:bookmarkEnd w:id="464"/>
    </w:p>
    <w:p w14:paraId="4FA0D9B1">
      <w:pPr>
        <w:jc w:val="center"/>
        <w:rPr>
          <w:rFonts w:ascii="黑体" w:eastAsia="黑体"/>
          <w:b/>
          <w:sz w:val="28"/>
          <w:szCs w:val="28"/>
        </w:rPr>
      </w:pPr>
      <w:r>
        <w:rPr>
          <w:rFonts w:hint="eastAsia" w:ascii="黑体" w:eastAsia="黑体"/>
          <w:b/>
          <w:sz w:val="28"/>
          <w:szCs w:val="28"/>
        </w:rPr>
        <w:t>评标详细程序</w:t>
      </w:r>
    </w:p>
    <w:p w14:paraId="6AB012F9">
      <w:pPr>
        <w:pStyle w:val="25"/>
      </w:pPr>
      <w:bookmarkStart w:id="466" w:name="_Toc183107229"/>
      <w:bookmarkStart w:id="467" w:name="_Toc150507309"/>
      <w:bookmarkStart w:id="468" w:name="_Toc162103211"/>
      <w:bookmarkStart w:id="469" w:name="_Toc256000093"/>
      <w:bookmarkStart w:id="470" w:name="_Toc166326929"/>
      <w:bookmarkStart w:id="471" w:name="_Hlk174451732"/>
      <w:r>
        <w:rPr>
          <w:rFonts w:hint="eastAsia"/>
        </w:rPr>
        <w:t>A0.总  则</w:t>
      </w:r>
      <w:bookmarkEnd w:id="466"/>
      <w:bookmarkEnd w:id="467"/>
      <w:bookmarkEnd w:id="468"/>
      <w:bookmarkEnd w:id="469"/>
      <w:bookmarkEnd w:id="470"/>
    </w:p>
    <w:p w14:paraId="0B4BFFBB">
      <w:pPr>
        <w:spacing w:line="400" w:lineRule="exact"/>
        <w:ind w:firstLine="420" w:firstLineChars="200"/>
        <w:rPr>
          <w:rFonts w:hint="eastAsia" w:ascii="宋体" w:hAnsi="宋体"/>
          <w:szCs w:val="21"/>
        </w:rPr>
      </w:pPr>
      <w:r>
        <w:rPr>
          <w:rFonts w:hint="eastAsia" w:ascii="宋体" w:hAnsi="宋体"/>
          <w:szCs w:val="21"/>
        </w:rPr>
        <w:t>本附件是本章“评标办法”的组成部分，是对本章第3条所规定的评标程序的进一步细化，评标委员会应当按照本附件所</w:t>
      </w:r>
      <w:r>
        <w:rPr>
          <w:rFonts w:hint="eastAsia"/>
        </w:rPr>
        <w:t>规定</w:t>
      </w:r>
      <w:r>
        <w:rPr>
          <w:rFonts w:hint="eastAsia" w:ascii="宋体" w:hAnsi="宋体"/>
          <w:szCs w:val="21"/>
        </w:rPr>
        <w:t>的详细程序开展并完成评标工作。</w:t>
      </w:r>
    </w:p>
    <w:p w14:paraId="7190A001">
      <w:pPr>
        <w:pStyle w:val="25"/>
      </w:pPr>
      <w:bookmarkStart w:id="472" w:name="_Toc183107230"/>
      <w:bookmarkStart w:id="473" w:name="_Toc162103212"/>
      <w:bookmarkStart w:id="474" w:name="_Toc166326930"/>
      <w:bookmarkStart w:id="475" w:name="_Toc256000094"/>
      <w:bookmarkStart w:id="476" w:name="_Toc150507310"/>
      <w:r>
        <w:rPr>
          <w:rFonts w:hint="eastAsia"/>
        </w:rPr>
        <w:t>A1.基本程序</w:t>
      </w:r>
      <w:bookmarkEnd w:id="472"/>
      <w:bookmarkEnd w:id="473"/>
      <w:bookmarkEnd w:id="474"/>
      <w:bookmarkEnd w:id="475"/>
      <w:bookmarkEnd w:id="476"/>
    </w:p>
    <w:p w14:paraId="78CCC703">
      <w:pPr>
        <w:spacing w:line="400" w:lineRule="exact"/>
        <w:ind w:firstLine="420" w:firstLineChars="200"/>
        <w:rPr>
          <w:rFonts w:hint="eastAsia" w:ascii="宋体" w:hAnsi="宋体"/>
          <w:szCs w:val="21"/>
        </w:rPr>
      </w:pPr>
      <w:r>
        <w:rPr>
          <w:rFonts w:hint="eastAsia" w:ascii="宋体" w:hAnsi="宋体"/>
          <w:szCs w:val="21"/>
        </w:rPr>
        <w:t>评标活动将按以下五个步骤进行：</w:t>
      </w:r>
    </w:p>
    <w:p w14:paraId="0B561CF2">
      <w:pPr>
        <w:spacing w:line="400" w:lineRule="exact"/>
        <w:ind w:firstLine="420" w:firstLineChars="200"/>
        <w:rPr>
          <w:rFonts w:hint="eastAsia" w:ascii="宋体" w:hAnsi="宋体"/>
          <w:szCs w:val="21"/>
        </w:rPr>
      </w:pPr>
      <w:r>
        <w:rPr>
          <w:rFonts w:hint="eastAsia" w:ascii="宋体" w:hAnsi="宋体"/>
          <w:szCs w:val="21"/>
        </w:rPr>
        <w:t>（1）评标准备；</w:t>
      </w:r>
    </w:p>
    <w:p w14:paraId="71DCE763">
      <w:pPr>
        <w:spacing w:line="400" w:lineRule="exact"/>
        <w:ind w:firstLine="420" w:firstLineChars="200"/>
        <w:rPr>
          <w:rFonts w:hint="eastAsia" w:ascii="宋体" w:hAnsi="宋体"/>
          <w:szCs w:val="21"/>
        </w:rPr>
      </w:pPr>
      <w:r>
        <w:rPr>
          <w:rFonts w:hint="eastAsia" w:ascii="宋体" w:hAnsi="宋体"/>
          <w:szCs w:val="21"/>
        </w:rPr>
        <w:t>（2）初步评审；</w:t>
      </w:r>
    </w:p>
    <w:p w14:paraId="320A9FCB">
      <w:pPr>
        <w:spacing w:line="400" w:lineRule="exact"/>
        <w:ind w:firstLine="420" w:firstLineChars="200"/>
        <w:rPr>
          <w:rFonts w:hint="eastAsia" w:ascii="宋体" w:hAnsi="宋体"/>
          <w:szCs w:val="21"/>
        </w:rPr>
      </w:pPr>
      <w:r>
        <w:rPr>
          <w:rFonts w:hint="eastAsia" w:ascii="宋体" w:hAnsi="宋体"/>
          <w:szCs w:val="21"/>
        </w:rPr>
        <w:t>（3）详细评审；</w:t>
      </w:r>
    </w:p>
    <w:p w14:paraId="441C0872">
      <w:pPr>
        <w:spacing w:line="400" w:lineRule="exact"/>
        <w:ind w:firstLine="420" w:firstLineChars="200"/>
        <w:rPr>
          <w:rFonts w:hint="eastAsia" w:ascii="宋体" w:hAnsi="宋体"/>
          <w:szCs w:val="21"/>
        </w:rPr>
      </w:pPr>
      <w:r>
        <w:rPr>
          <w:rFonts w:hint="eastAsia" w:ascii="宋体" w:hAnsi="宋体"/>
          <w:szCs w:val="21"/>
        </w:rPr>
        <w:t>（4）澄清、说明或</w:t>
      </w:r>
      <w:r>
        <w:rPr>
          <w:rFonts w:hint="eastAsia"/>
        </w:rPr>
        <w:t>补正</w:t>
      </w:r>
      <w:r>
        <w:rPr>
          <w:rFonts w:hint="eastAsia" w:ascii="宋体" w:hAnsi="宋体"/>
          <w:szCs w:val="21"/>
        </w:rPr>
        <w:t>；</w:t>
      </w:r>
    </w:p>
    <w:p w14:paraId="3A98A8EC">
      <w:pPr>
        <w:spacing w:line="400" w:lineRule="exact"/>
        <w:ind w:firstLine="420" w:firstLineChars="200"/>
        <w:rPr>
          <w:rFonts w:hint="eastAsia" w:ascii="宋体" w:hAnsi="宋体"/>
          <w:szCs w:val="21"/>
        </w:rPr>
      </w:pPr>
      <w:r>
        <w:rPr>
          <w:rFonts w:hint="eastAsia" w:ascii="宋体" w:hAnsi="宋体"/>
          <w:szCs w:val="21"/>
        </w:rPr>
        <w:t>（5）推荐中标候选人</w:t>
      </w:r>
      <w:r>
        <w:rPr>
          <w:rFonts w:hint="eastAsia"/>
        </w:rPr>
        <w:t>或者</w:t>
      </w:r>
      <w:r>
        <w:rPr>
          <w:rFonts w:hint="eastAsia" w:ascii="宋体" w:hAnsi="宋体"/>
          <w:szCs w:val="21"/>
        </w:rPr>
        <w:t>直接确定中标人及提交评标报告。</w:t>
      </w:r>
    </w:p>
    <w:p w14:paraId="47B747FD">
      <w:pPr>
        <w:pStyle w:val="25"/>
      </w:pPr>
      <w:bookmarkStart w:id="477" w:name="_Toc162103213"/>
      <w:bookmarkStart w:id="478" w:name="_Toc166326931"/>
      <w:bookmarkStart w:id="479" w:name="_Toc183107231"/>
      <w:bookmarkStart w:id="480" w:name="_Toc256000095"/>
      <w:bookmarkStart w:id="481" w:name="_Toc150507311"/>
      <w:r>
        <w:rPr>
          <w:rFonts w:hint="eastAsia"/>
        </w:rPr>
        <w:t>A2.评标准备</w:t>
      </w:r>
      <w:bookmarkEnd w:id="477"/>
      <w:bookmarkEnd w:id="478"/>
      <w:bookmarkEnd w:id="479"/>
      <w:bookmarkEnd w:id="480"/>
      <w:bookmarkEnd w:id="481"/>
    </w:p>
    <w:p w14:paraId="77F71DEE">
      <w:pPr>
        <w:pStyle w:val="25"/>
        <w:rPr>
          <w:rFonts w:hint="eastAsia" w:ascii="宋体" w:hAnsi="宋体"/>
          <w:bCs/>
          <w:sz w:val="21"/>
          <w:szCs w:val="21"/>
        </w:rPr>
      </w:pPr>
      <w:bookmarkStart w:id="482" w:name="_Toc150507312"/>
      <w:bookmarkStart w:id="483" w:name="_Toc256000096"/>
      <w:bookmarkStart w:id="484" w:name="_Toc166326932"/>
      <w:bookmarkStart w:id="485" w:name="_Toc162103214"/>
      <w:bookmarkStart w:id="486" w:name="_Toc183107232"/>
      <w:r>
        <w:rPr>
          <w:rFonts w:hint="eastAsia"/>
          <w:bCs/>
          <w:sz w:val="21"/>
          <w:szCs w:val="21"/>
        </w:rPr>
        <w:t>A2.1评标委员会成员签到</w:t>
      </w:r>
      <w:bookmarkEnd w:id="482"/>
      <w:bookmarkEnd w:id="483"/>
      <w:bookmarkEnd w:id="484"/>
      <w:bookmarkEnd w:id="485"/>
      <w:bookmarkEnd w:id="486"/>
    </w:p>
    <w:p w14:paraId="5BF93AAB">
      <w:pPr>
        <w:spacing w:line="400" w:lineRule="exact"/>
        <w:ind w:firstLine="420" w:firstLineChars="200"/>
        <w:rPr>
          <w:rFonts w:hint="eastAsia" w:ascii="宋体" w:hAnsi="宋体"/>
          <w:szCs w:val="21"/>
        </w:rPr>
      </w:pPr>
      <w:r>
        <w:rPr>
          <w:rFonts w:hint="eastAsia" w:ascii="宋体" w:hAnsi="宋体"/>
          <w:szCs w:val="21"/>
        </w:rPr>
        <w:t>评标委员会成员到达评标现场时应在</w:t>
      </w:r>
      <w:r>
        <w:rPr>
          <w:rFonts w:hint="eastAsia"/>
        </w:rPr>
        <w:t>签到</w:t>
      </w:r>
      <w:r>
        <w:rPr>
          <w:rFonts w:hint="eastAsia" w:ascii="宋体" w:hAnsi="宋体"/>
          <w:szCs w:val="21"/>
        </w:rPr>
        <w:t>表上签到以证明其出席。评标委员会签到表见</w:t>
      </w:r>
      <w:r>
        <w:rPr>
          <w:rFonts w:hint="eastAsia" w:ascii="宋体" w:hAnsi="宋体"/>
          <w:b/>
          <w:szCs w:val="21"/>
        </w:rPr>
        <w:t>附表A-1</w:t>
      </w:r>
      <w:r>
        <w:rPr>
          <w:rFonts w:hint="eastAsia" w:ascii="宋体" w:hAnsi="宋体"/>
          <w:szCs w:val="21"/>
        </w:rPr>
        <w:t>。并按照要求阅读评标纪律。</w:t>
      </w:r>
    </w:p>
    <w:p w14:paraId="0580A3A6">
      <w:pPr>
        <w:spacing w:line="400" w:lineRule="exact"/>
        <w:ind w:firstLine="420" w:firstLineChars="200"/>
        <w:rPr>
          <w:rFonts w:hint="eastAsia" w:ascii="宋体" w:hAnsi="宋体"/>
          <w:szCs w:val="21"/>
        </w:rPr>
      </w:pPr>
      <w:r>
        <w:rPr>
          <w:rFonts w:hint="eastAsia" w:ascii="宋体" w:hAnsi="宋体"/>
          <w:szCs w:val="21"/>
        </w:rPr>
        <w:t>评标委员会成员在评标前，应当签订签署评标专家告知承诺函。评标专家告知承诺函见</w:t>
      </w:r>
      <w:r>
        <w:rPr>
          <w:rFonts w:hint="eastAsia" w:ascii="宋体" w:hAnsi="宋体"/>
          <w:b/>
          <w:szCs w:val="21"/>
        </w:rPr>
        <w:t>附表A-2。</w:t>
      </w:r>
      <w:r>
        <w:rPr>
          <w:rFonts w:hint="eastAsia" w:ascii="宋体" w:hAnsi="宋体"/>
          <w:szCs w:val="21"/>
        </w:rPr>
        <w:t>评标委员会成员对尽职、回避、保密、廉洁，不参与串通投标等进行承诺，承诺遵守有关评标管理规定以及评标纪律，客观、公正地进行评标，并接受招投标监管部门的监督。</w:t>
      </w:r>
    </w:p>
    <w:p w14:paraId="300BBA09">
      <w:pPr>
        <w:pStyle w:val="25"/>
        <w:rPr>
          <w:bCs/>
          <w:sz w:val="21"/>
          <w:szCs w:val="21"/>
        </w:rPr>
      </w:pPr>
      <w:bookmarkStart w:id="487" w:name="_Toc183107233"/>
      <w:bookmarkStart w:id="488" w:name="_Toc150507313"/>
      <w:bookmarkStart w:id="489" w:name="_Toc162103215"/>
      <w:bookmarkStart w:id="490" w:name="_Toc256000097"/>
      <w:bookmarkStart w:id="491" w:name="_Toc166326933"/>
      <w:r>
        <w:rPr>
          <w:rFonts w:hint="eastAsia"/>
          <w:bCs/>
          <w:sz w:val="21"/>
          <w:szCs w:val="21"/>
        </w:rPr>
        <w:t>A2.2评标委员会的分工</w:t>
      </w:r>
      <w:bookmarkEnd w:id="487"/>
      <w:bookmarkEnd w:id="488"/>
      <w:bookmarkEnd w:id="489"/>
      <w:bookmarkEnd w:id="490"/>
      <w:bookmarkEnd w:id="491"/>
    </w:p>
    <w:p w14:paraId="66D876B1">
      <w:pPr>
        <w:spacing w:line="420" w:lineRule="exact"/>
        <w:ind w:firstLine="420" w:firstLineChars="200"/>
        <w:rPr>
          <w:rFonts w:hint="eastAsia" w:ascii="宋体" w:hAnsi="宋体"/>
          <w:szCs w:val="21"/>
        </w:rPr>
      </w:pPr>
      <w:r>
        <w:rPr>
          <w:rFonts w:hint="eastAsia" w:ascii="宋体" w:hAnsi="宋体"/>
          <w:szCs w:val="21"/>
        </w:rPr>
        <w:t>A2.2.</w:t>
      </w:r>
      <w:r>
        <w:rPr>
          <w:rFonts w:ascii="宋体" w:hAnsi="宋体"/>
          <w:szCs w:val="21"/>
        </w:rPr>
        <w:t>1</w:t>
      </w:r>
      <w:r>
        <w:rPr>
          <w:rFonts w:hint="eastAsia" w:ascii="宋体" w:hAnsi="宋体"/>
          <w:szCs w:val="21"/>
        </w:rPr>
        <w:t>评标委员会首先推选一名评标委员会主任。评标委员会主任负责评标活动的组织工作。</w:t>
      </w:r>
    </w:p>
    <w:p w14:paraId="4B890824">
      <w:pPr>
        <w:spacing w:line="400" w:lineRule="exact"/>
        <w:ind w:firstLine="420" w:firstLineChars="200"/>
        <w:rPr>
          <w:rFonts w:hint="eastAsia" w:ascii="宋体" w:hAnsi="宋体"/>
          <w:szCs w:val="21"/>
        </w:rPr>
      </w:pPr>
      <w:r>
        <w:rPr>
          <w:rFonts w:hint="eastAsia" w:ascii="宋体" w:hAnsi="宋体"/>
          <w:szCs w:val="21"/>
        </w:rPr>
        <w:t>A2.2.2 评标委员会主任除履行自己作为评标委员会</w:t>
      </w:r>
      <w:r>
        <w:rPr>
          <w:rFonts w:hint="eastAsia"/>
        </w:rPr>
        <w:t>成员</w:t>
      </w:r>
      <w:r>
        <w:rPr>
          <w:rFonts w:hint="eastAsia" w:ascii="宋体" w:hAnsi="宋体"/>
          <w:szCs w:val="21"/>
        </w:rPr>
        <w:t>独立评标的职责外，主要负责以下工作：</w:t>
      </w:r>
    </w:p>
    <w:p w14:paraId="7F5BF85D">
      <w:pPr>
        <w:spacing w:line="400" w:lineRule="exact"/>
        <w:ind w:firstLine="420" w:firstLineChars="200"/>
        <w:rPr>
          <w:rFonts w:hint="eastAsia" w:ascii="宋体" w:hAnsi="宋体"/>
          <w:szCs w:val="21"/>
        </w:rPr>
      </w:pPr>
      <w:r>
        <w:rPr>
          <w:rFonts w:hint="eastAsia" w:ascii="宋体" w:hAnsi="宋体"/>
          <w:szCs w:val="21"/>
        </w:rPr>
        <w:t>（1）组织评标委员会成员学习</w:t>
      </w:r>
      <w:r>
        <w:rPr>
          <w:rFonts w:hint="eastAsia"/>
        </w:rPr>
        <w:t>招标文件</w:t>
      </w:r>
      <w:r>
        <w:rPr>
          <w:rFonts w:hint="eastAsia" w:ascii="宋体" w:hAnsi="宋体"/>
          <w:szCs w:val="21"/>
        </w:rPr>
        <w:t>中载明的评标标准和方法；</w:t>
      </w:r>
    </w:p>
    <w:p w14:paraId="5471E299">
      <w:pPr>
        <w:spacing w:line="430" w:lineRule="exact"/>
        <w:ind w:firstLine="420" w:firstLineChars="200"/>
        <w:rPr>
          <w:rFonts w:hint="eastAsia" w:ascii="宋体" w:hAnsi="宋体"/>
          <w:szCs w:val="21"/>
        </w:rPr>
      </w:pPr>
      <w:r>
        <w:rPr>
          <w:rFonts w:hint="eastAsia" w:ascii="宋体" w:hAnsi="宋体"/>
          <w:szCs w:val="21"/>
        </w:rPr>
        <w:t>（2）提醒招标人做好评标准备工作，包括提供所需的评标基础资料；</w:t>
      </w:r>
    </w:p>
    <w:p w14:paraId="1C335886">
      <w:pPr>
        <w:spacing w:line="400" w:lineRule="exact"/>
        <w:ind w:firstLine="420" w:firstLineChars="200"/>
        <w:rPr>
          <w:rFonts w:hint="eastAsia" w:ascii="宋体" w:hAnsi="宋体"/>
          <w:szCs w:val="21"/>
        </w:rPr>
      </w:pPr>
      <w:r>
        <w:rPr>
          <w:rFonts w:hint="eastAsia" w:ascii="宋体" w:hAnsi="宋体"/>
          <w:szCs w:val="21"/>
        </w:rPr>
        <w:t>（3）汇总各评标委员会成员认为</w:t>
      </w:r>
      <w:r>
        <w:rPr>
          <w:rFonts w:hint="eastAsia"/>
        </w:rPr>
        <w:t>需要</w:t>
      </w:r>
      <w:r>
        <w:rPr>
          <w:rFonts w:hint="eastAsia" w:ascii="宋体" w:hAnsi="宋体"/>
          <w:szCs w:val="21"/>
        </w:rPr>
        <w:t>投标人澄清、说明或者补正的问题，组织评标委员会对投标人质询并对投标人的答复进行评审；</w:t>
      </w:r>
    </w:p>
    <w:p w14:paraId="55FCF801">
      <w:pPr>
        <w:spacing w:line="400" w:lineRule="exact"/>
        <w:ind w:firstLine="420" w:firstLineChars="200"/>
        <w:rPr>
          <w:rFonts w:hint="eastAsia" w:ascii="宋体" w:hAnsi="宋体"/>
          <w:szCs w:val="21"/>
        </w:rPr>
      </w:pPr>
      <w:r>
        <w:rPr>
          <w:rFonts w:hint="eastAsia" w:ascii="宋体" w:hAnsi="宋体"/>
          <w:szCs w:val="21"/>
        </w:rPr>
        <w:t>（4）对出现较大争议的事项进行</w:t>
      </w:r>
      <w:r>
        <w:rPr>
          <w:rFonts w:hint="eastAsia"/>
        </w:rPr>
        <w:t>书面</w:t>
      </w:r>
      <w:r>
        <w:rPr>
          <w:rFonts w:hint="eastAsia" w:ascii="宋体" w:hAnsi="宋体"/>
          <w:szCs w:val="21"/>
        </w:rPr>
        <w:t>记录；</w:t>
      </w:r>
    </w:p>
    <w:p w14:paraId="2D29F2DB">
      <w:pPr>
        <w:spacing w:line="400" w:lineRule="exact"/>
        <w:ind w:firstLine="420" w:firstLineChars="200"/>
        <w:rPr>
          <w:rFonts w:hint="eastAsia" w:ascii="宋体" w:hAnsi="宋体"/>
          <w:szCs w:val="21"/>
        </w:rPr>
      </w:pPr>
      <w:r>
        <w:rPr>
          <w:rFonts w:hint="eastAsia" w:ascii="宋体" w:hAnsi="宋体"/>
          <w:szCs w:val="21"/>
        </w:rPr>
        <w:t>（5）查验评标用表格和评标记录的完整性及有效性；</w:t>
      </w:r>
    </w:p>
    <w:p w14:paraId="313E5ABA">
      <w:pPr>
        <w:spacing w:line="400" w:lineRule="exact"/>
        <w:ind w:firstLine="420" w:firstLineChars="200"/>
        <w:rPr>
          <w:rFonts w:hint="eastAsia" w:ascii="宋体" w:hAnsi="宋体"/>
          <w:szCs w:val="21"/>
        </w:rPr>
      </w:pPr>
      <w:r>
        <w:rPr>
          <w:rFonts w:hint="eastAsia" w:ascii="宋体" w:hAnsi="宋体"/>
          <w:szCs w:val="21"/>
        </w:rPr>
        <w:t>（6）组织对评标结论进行复核</w:t>
      </w:r>
      <w:r>
        <w:rPr>
          <w:rFonts w:hint="eastAsia"/>
        </w:rPr>
        <w:t>确认</w:t>
      </w:r>
      <w:r>
        <w:rPr>
          <w:rFonts w:hint="eastAsia" w:ascii="宋体" w:hAnsi="宋体"/>
          <w:szCs w:val="21"/>
        </w:rPr>
        <w:t>；</w:t>
      </w:r>
    </w:p>
    <w:p w14:paraId="6405D099">
      <w:pPr>
        <w:spacing w:line="400" w:lineRule="exact"/>
        <w:ind w:firstLine="420" w:firstLineChars="200"/>
        <w:rPr>
          <w:rFonts w:hint="eastAsia" w:ascii="宋体" w:hAnsi="宋体"/>
          <w:szCs w:val="21"/>
        </w:rPr>
      </w:pPr>
      <w:r>
        <w:rPr>
          <w:rFonts w:hint="eastAsia" w:ascii="宋体" w:hAnsi="宋体"/>
          <w:szCs w:val="21"/>
        </w:rPr>
        <w:t>（7）组织编写评标报告，推荐中标候选人。</w:t>
      </w:r>
    </w:p>
    <w:p w14:paraId="2CB78C6D">
      <w:pPr>
        <w:spacing w:line="420" w:lineRule="exact"/>
        <w:ind w:firstLine="420" w:firstLineChars="200"/>
        <w:rPr>
          <w:rFonts w:hint="eastAsia" w:ascii="宋体" w:hAnsi="宋体"/>
          <w:szCs w:val="21"/>
        </w:rPr>
      </w:pPr>
      <w:r>
        <w:rPr>
          <w:rFonts w:hint="eastAsia" w:ascii="宋体" w:hAnsi="宋体"/>
          <w:szCs w:val="21"/>
        </w:rPr>
        <w:t>A2.2.3评标委员会主任在与其他评标委员会成员商议的基础上可以将评标委员会按照评标专家抽取专业划分为技术组和经济组。</w:t>
      </w:r>
    </w:p>
    <w:p w14:paraId="14B889F6">
      <w:pPr>
        <w:pStyle w:val="25"/>
        <w:rPr>
          <w:bCs/>
          <w:sz w:val="21"/>
          <w:szCs w:val="21"/>
        </w:rPr>
      </w:pPr>
      <w:bookmarkStart w:id="492" w:name="_Toc150507314"/>
      <w:bookmarkStart w:id="493" w:name="_Toc166326934"/>
      <w:bookmarkStart w:id="494" w:name="_Toc183107234"/>
      <w:bookmarkStart w:id="495" w:name="_Toc162103216"/>
      <w:bookmarkStart w:id="496" w:name="_Toc256000098"/>
      <w:r>
        <w:rPr>
          <w:rFonts w:hint="eastAsia"/>
          <w:bCs/>
          <w:sz w:val="21"/>
          <w:szCs w:val="21"/>
        </w:rPr>
        <w:t>A2.3熟悉文件资料</w:t>
      </w:r>
      <w:bookmarkEnd w:id="492"/>
      <w:bookmarkEnd w:id="493"/>
      <w:bookmarkEnd w:id="494"/>
      <w:bookmarkEnd w:id="495"/>
      <w:bookmarkEnd w:id="496"/>
    </w:p>
    <w:p w14:paraId="14A7046F">
      <w:pPr>
        <w:spacing w:line="400" w:lineRule="exact"/>
        <w:ind w:firstLine="420" w:firstLineChars="200"/>
        <w:rPr>
          <w:rFonts w:hint="eastAsia" w:ascii="宋体" w:hAnsi="宋体"/>
          <w:szCs w:val="21"/>
        </w:rPr>
      </w:pPr>
      <w:r>
        <w:rPr>
          <w:rFonts w:hint="eastAsia" w:ascii="宋体" w:hAnsi="宋体"/>
          <w:szCs w:val="21"/>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5DCF4DBA">
      <w:pPr>
        <w:spacing w:line="430" w:lineRule="exact"/>
        <w:ind w:firstLine="420" w:firstLineChars="200"/>
        <w:rPr>
          <w:rFonts w:hint="eastAsia" w:ascii="宋体" w:hAnsi="宋体"/>
          <w:szCs w:val="21"/>
        </w:rPr>
      </w:pPr>
      <w:r>
        <w:rPr>
          <w:rFonts w:hint="eastAsia" w:ascii="宋体" w:hAnsi="宋体"/>
          <w:szCs w:val="21"/>
        </w:rPr>
        <w:t>A2.3.2招标人或招标代理机构应向评标委员会提供评标所需的信息和数据，包括：</w:t>
      </w:r>
    </w:p>
    <w:p w14:paraId="614BF874">
      <w:pPr>
        <w:spacing w:line="400" w:lineRule="exact"/>
        <w:ind w:firstLine="420" w:firstLineChars="200"/>
        <w:rPr>
          <w:rFonts w:hint="eastAsia" w:ascii="宋体" w:hAnsi="宋体"/>
          <w:szCs w:val="21"/>
        </w:rPr>
      </w:pPr>
      <w:r>
        <w:rPr>
          <w:rFonts w:hint="eastAsia" w:ascii="宋体" w:hAnsi="宋体"/>
          <w:szCs w:val="21"/>
        </w:rPr>
        <w:t>（1）招标文件及其澄清、修改</w:t>
      </w:r>
      <w:r>
        <w:rPr>
          <w:rFonts w:hint="eastAsia"/>
        </w:rPr>
        <w:t>文件</w:t>
      </w:r>
      <w:r>
        <w:rPr>
          <w:rFonts w:hint="eastAsia" w:ascii="宋体" w:hAnsi="宋体"/>
          <w:szCs w:val="21"/>
        </w:rPr>
        <w:t>；</w:t>
      </w:r>
    </w:p>
    <w:p w14:paraId="622F54D4">
      <w:pPr>
        <w:spacing w:line="400" w:lineRule="exact"/>
        <w:ind w:firstLine="420" w:firstLineChars="200"/>
        <w:rPr>
          <w:rFonts w:hint="eastAsia" w:ascii="宋体" w:hAnsi="宋体"/>
          <w:szCs w:val="21"/>
        </w:rPr>
      </w:pPr>
      <w:r>
        <w:rPr>
          <w:rFonts w:hint="eastAsia" w:ascii="宋体" w:hAnsi="宋体"/>
          <w:szCs w:val="21"/>
        </w:rPr>
        <w:t>（2）投标人的投标文件；</w:t>
      </w:r>
    </w:p>
    <w:p w14:paraId="164DB95F">
      <w:pPr>
        <w:spacing w:line="430" w:lineRule="exact"/>
        <w:ind w:firstLine="420" w:firstLineChars="200"/>
        <w:rPr>
          <w:rFonts w:hint="eastAsia" w:ascii="宋体" w:hAnsi="宋体"/>
          <w:szCs w:val="21"/>
        </w:rPr>
      </w:pPr>
      <w:r>
        <w:rPr>
          <w:rFonts w:hint="eastAsia" w:ascii="宋体" w:hAnsi="宋体"/>
          <w:szCs w:val="21"/>
        </w:rPr>
        <w:t>（3）开标记录表以及二次刷卡、保证金缴纳等信息；</w:t>
      </w:r>
    </w:p>
    <w:p w14:paraId="22990BBF">
      <w:pPr>
        <w:spacing w:line="400" w:lineRule="exact"/>
        <w:ind w:firstLine="420" w:firstLineChars="200"/>
        <w:rPr>
          <w:rFonts w:hint="eastAsia" w:ascii="宋体" w:hAnsi="宋体"/>
          <w:szCs w:val="21"/>
        </w:rPr>
      </w:pPr>
      <w:r>
        <w:rPr>
          <w:rFonts w:hint="eastAsia" w:ascii="宋体" w:hAnsi="宋体"/>
          <w:szCs w:val="21"/>
        </w:rPr>
        <w:t>（4）最高投标限价；</w:t>
      </w:r>
    </w:p>
    <w:p w14:paraId="0291E30A">
      <w:pPr>
        <w:spacing w:line="400" w:lineRule="exact"/>
        <w:ind w:firstLine="420" w:firstLineChars="200"/>
        <w:rPr>
          <w:rFonts w:hint="eastAsia" w:ascii="宋体" w:hAnsi="宋体"/>
          <w:szCs w:val="21"/>
        </w:rPr>
      </w:pPr>
      <w:r>
        <w:rPr>
          <w:rFonts w:hint="eastAsia" w:ascii="宋体" w:hAnsi="宋体"/>
          <w:szCs w:val="21"/>
        </w:rPr>
        <w:t>（5）评标表格；</w:t>
      </w:r>
    </w:p>
    <w:p w14:paraId="67B73A95">
      <w:pPr>
        <w:spacing w:line="400" w:lineRule="exact"/>
        <w:ind w:firstLine="420" w:firstLineChars="200"/>
        <w:rPr>
          <w:rFonts w:hint="eastAsia" w:ascii="宋体" w:hAnsi="宋体"/>
          <w:szCs w:val="21"/>
        </w:rPr>
      </w:pPr>
      <w:r>
        <w:rPr>
          <w:rFonts w:hint="eastAsia" w:ascii="宋体" w:hAnsi="宋体"/>
          <w:szCs w:val="21"/>
        </w:rPr>
        <w:t>（6）有关的法律、法规、规章、国家标准以及招标人或评标委员会认为必要的其他信息和数据。</w:t>
      </w:r>
    </w:p>
    <w:p w14:paraId="272FABAB">
      <w:pPr>
        <w:pStyle w:val="25"/>
        <w:rPr>
          <w:bCs/>
          <w:sz w:val="21"/>
          <w:szCs w:val="21"/>
        </w:rPr>
      </w:pPr>
      <w:bookmarkStart w:id="497" w:name="_Toc183107235"/>
      <w:bookmarkStart w:id="498" w:name="_Toc256000099"/>
      <w:bookmarkStart w:id="499" w:name="_Toc166326935"/>
      <w:bookmarkStart w:id="500" w:name="_Toc162103217"/>
      <w:bookmarkStart w:id="501" w:name="_Toc150507315"/>
      <w:r>
        <w:rPr>
          <w:rFonts w:hint="eastAsia"/>
          <w:bCs/>
          <w:sz w:val="21"/>
          <w:szCs w:val="21"/>
        </w:rPr>
        <w:t>A2.4暗标编号</w:t>
      </w:r>
      <w:bookmarkEnd w:id="497"/>
      <w:bookmarkEnd w:id="498"/>
      <w:bookmarkEnd w:id="499"/>
      <w:bookmarkEnd w:id="500"/>
      <w:bookmarkEnd w:id="501"/>
    </w:p>
    <w:p w14:paraId="02BA5DD1">
      <w:pPr>
        <w:spacing w:line="400" w:lineRule="exact"/>
        <w:ind w:firstLine="420" w:firstLineChars="200"/>
        <w:rPr>
          <w:rFonts w:hint="eastAsia" w:ascii="宋体" w:hAnsi="宋体"/>
          <w:szCs w:val="21"/>
        </w:rPr>
      </w:pPr>
      <w:r>
        <w:rPr>
          <w:rFonts w:hint="eastAsia" w:ascii="宋体" w:hAnsi="宋体"/>
          <w:szCs w:val="21"/>
        </w:rPr>
        <w:t>第二章“投标人须知”前附表第3.7.4款要求对技术标采用“模块化暗标”评审方式且编制有</w:t>
      </w:r>
      <w:r>
        <w:rPr>
          <w:rFonts w:hint="eastAsia"/>
        </w:rPr>
        <w:t>模块化</w:t>
      </w:r>
      <w:r>
        <w:rPr>
          <w:rFonts w:hint="eastAsia" w:ascii="宋体" w:hAnsi="宋体"/>
          <w:szCs w:val="21"/>
        </w:rPr>
        <w:t>暗标要求的，则在评标工作开始前，就暗标模块编号与投标人的对应关系使用</w:t>
      </w:r>
      <w:r>
        <w:rPr>
          <w:rFonts w:ascii="宋体" w:hAnsi="宋体"/>
          <w:b/>
          <w:szCs w:val="21"/>
        </w:rPr>
        <w:t>附表A-3</w:t>
      </w:r>
      <w:r>
        <w:rPr>
          <w:rFonts w:hint="eastAsia" w:ascii="宋体" w:hAnsi="宋体"/>
          <w:szCs w:val="21"/>
        </w:rPr>
        <w:t>做好暗标编号记录，暗标模块编号按随机方式编排。在评标委员会技术标成员均完成暗标部分评审并对评审结果签字确认和汇总后，招标人方可向评标委员会公布暗标编号。</w:t>
      </w:r>
    </w:p>
    <w:p w14:paraId="18932D72">
      <w:pPr>
        <w:pStyle w:val="25"/>
        <w:rPr>
          <w:bCs/>
          <w:sz w:val="21"/>
          <w:szCs w:val="21"/>
        </w:rPr>
      </w:pPr>
      <w:bookmarkStart w:id="502" w:name="_Toc150507316"/>
      <w:bookmarkStart w:id="503" w:name="_Toc183107236"/>
      <w:bookmarkStart w:id="504" w:name="_Toc162103218"/>
      <w:bookmarkStart w:id="505" w:name="_Toc166326936"/>
      <w:bookmarkStart w:id="506" w:name="_Toc256000100"/>
      <w:r>
        <w:rPr>
          <w:rFonts w:hint="eastAsia"/>
          <w:bCs/>
          <w:sz w:val="21"/>
          <w:szCs w:val="21"/>
        </w:rPr>
        <w:t>A2.5对投标文件进行基础性数据分析和整理工作</w:t>
      </w:r>
      <w:bookmarkEnd w:id="502"/>
      <w:bookmarkEnd w:id="503"/>
      <w:bookmarkEnd w:id="504"/>
      <w:bookmarkEnd w:id="505"/>
      <w:bookmarkEnd w:id="506"/>
    </w:p>
    <w:p w14:paraId="6806025A">
      <w:pPr>
        <w:spacing w:line="400" w:lineRule="exact"/>
        <w:ind w:firstLine="420" w:firstLineChars="200"/>
        <w:rPr>
          <w:rFonts w:hint="eastAsia" w:ascii="宋体" w:hAnsi="宋体"/>
          <w:szCs w:val="21"/>
        </w:rPr>
      </w:pPr>
      <w:r>
        <w:rPr>
          <w:rFonts w:hint="eastAsia" w:ascii="宋体" w:hAnsi="宋体"/>
          <w:szCs w:val="21"/>
        </w:rPr>
        <w:t>A2.5.1在不改变投标人投标文件实质性内容的前提下，评标委员会应当借助</w:t>
      </w:r>
      <w:r>
        <w:rPr>
          <w:rFonts w:ascii="宋体" w:hAnsi="宋体"/>
          <w:szCs w:val="21"/>
        </w:rPr>
        <w:t>计算机辅助评标系统</w:t>
      </w:r>
      <w:r>
        <w:rPr>
          <w:rFonts w:hint="eastAsia" w:ascii="宋体" w:hAnsi="宋体"/>
          <w:szCs w:val="21"/>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rPr>
        <w:t>投标文件</w:t>
      </w:r>
      <w:r>
        <w:rPr>
          <w:rFonts w:hint="eastAsia" w:ascii="宋体" w:hAnsi="宋体"/>
          <w:szCs w:val="21"/>
        </w:rPr>
        <w:t>澄清通知。《</w:t>
      </w:r>
      <w:r>
        <w:rPr>
          <w:rFonts w:ascii="宋体" w:hAnsi="宋体"/>
          <w:szCs w:val="21"/>
        </w:rPr>
        <w:t>投标文件</w:t>
      </w:r>
      <w:r>
        <w:rPr>
          <w:rFonts w:hint="eastAsia" w:ascii="宋体" w:hAnsi="宋体"/>
          <w:szCs w:val="21"/>
        </w:rPr>
        <w:t>问题澄清通知》采用投标人须知附表六所提供的格式。</w:t>
      </w:r>
    </w:p>
    <w:p w14:paraId="34014053">
      <w:pPr>
        <w:spacing w:line="400" w:lineRule="exact"/>
        <w:ind w:firstLine="420" w:firstLineChars="200"/>
        <w:rPr>
          <w:rFonts w:hint="eastAsia" w:ascii="宋体" w:hAnsi="宋体"/>
          <w:szCs w:val="21"/>
        </w:rPr>
      </w:pPr>
      <w:r>
        <w:rPr>
          <w:rFonts w:hint="eastAsia" w:ascii="宋体" w:hAnsi="宋体"/>
          <w:szCs w:val="21"/>
        </w:rPr>
        <w:t>A2.5.2投标人接到评标委员会发出的</w:t>
      </w:r>
      <w:r>
        <w:rPr>
          <w:rFonts w:ascii="宋体" w:hAnsi="宋体"/>
          <w:szCs w:val="21"/>
        </w:rPr>
        <w:t>投标文件</w:t>
      </w:r>
      <w:r>
        <w:rPr>
          <w:rFonts w:hint="eastAsia" w:ascii="宋体" w:hAnsi="宋体"/>
          <w:szCs w:val="21"/>
        </w:rPr>
        <w:t>澄清</w:t>
      </w:r>
      <w:r>
        <w:rPr>
          <w:rFonts w:hint="eastAsia"/>
        </w:rPr>
        <w:t>通知</w:t>
      </w:r>
      <w:r>
        <w:rPr>
          <w:rFonts w:hint="eastAsia" w:ascii="宋体" w:hAnsi="宋体"/>
          <w:szCs w:val="21"/>
        </w:rPr>
        <w:t>后，</w:t>
      </w:r>
      <w:r>
        <w:rPr>
          <w:rFonts w:ascii="宋体" w:hAnsi="宋体"/>
          <w:szCs w:val="21"/>
        </w:rPr>
        <w:t>应按评标委员会的要求在规定的时间</w:t>
      </w:r>
      <w:r>
        <w:rPr>
          <w:rFonts w:hint="eastAsia" w:ascii="宋体" w:hAnsi="宋体"/>
          <w:szCs w:val="21"/>
        </w:rPr>
        <w:t>内，</w:t>
      </w:r>
      <w:r>
        <w:rPr>
          <w:rFonts w:ascii="宋体" w:hAnsi="宋体"/>
          <w:szCs w:val="21"/>
        </w:rPr>
        <w:t>通过</w:t>
      </w:r>
      <w:r>
        <w:rPr>
          <w:rFonts w:hint="eastAsia" w:ascii="宋体" w:hAnsi="宋体"/>
          <w:szCs w:val="21"/>
        </w:rPr>
        <w:t>电子招标投标系统（辽宁省工程建设项目数字化开标评标系统）提交</w:t>
      </w:r>
      <w:r>
        <w:rPr>
          <w:rFonts w:ascii="宋体" w:hAnsi="宋体"/>
          <w:szCs w:val="21"/>
        </w:rPr>
        <w:t>投标文件</w:t>
      </w:r>
      <w:r>
        <w:rPr>
          <w:rFonts w:hint="eastAsia" w:ascii="宋体" w:hAnsi="宋体"/>
          <w:szCs w:val="21"/>
        </w:rPr>
        <w:t>的</w:t>
      </w:r>
      <w:r>
        <w:rPr>
          <w:rFonts w:ascii="宋体" w:hAnsi="宋体"/>
          <w:szCs w:val="21"/>
        </w:rPr>
        <w:t>澄清</w:t>
      </w:r>
      <w:r>
        <w:rPr>
          <w:rFonts w:hint="eastAsia" w:ascii="宋体" w:hAnsi="宋体"/>
          <w:szCs w:val="21"/>
        </w:rPr>
        <w:t>和相关资料（如有）</w:t>
      </w:r>
      <w:r>
        <w:rPr>
          <w:rFonts w:ascii="宋体" w:hAnsi="宋体"/>
          <w:szCs w:val="21"/>
        </w:rPr>
        <w:t>。</w:t>
      </w:r>
      <w:r>
        <w:rPr>
          <w:rFonts w:hint="eastAsia" w:ascii="宋体" w:hAnsi="宋体"/>
          <w:szCs w:val="21"/>
        </w:rPr>
        <w:t>《</w:t>
      </w:r>
      <w:r>
        <w:rPr>
          <w:rFonts w:ascii="宋体" w:hAnsi="宋体"/>
          <w:szCs w:val="21"/>
        </w:rPr>
        <w:t>投标文件</w:t>
      </w:r>
      <w:r>
        <w:rPr>
          <w:rFonts w:hint="eastAsia" w:ascii="宋体" w:hAnsi="宋体"/>
          <w:szCs w:val="21"/>
        </w:rPr>
        <w:t>问题的澄清》采用投标人须知附表七所提供的格式。</w:t>
      </w:r>
    </w:p>
    <w:p w14:paraId="35BD59FF">
      <w:pPr>
        <w:pStyle w:val="25"/>
      </w:pPr>
      <w:bookmarkStart w:id="507" w:name="_Toc166326937"/>
      <w:bookmarkStart w:id="508" w:name="_Toc150507317"/>
      <w:bookmarkStart w:id="509" w:name="_Toc256000101"/>
      <w:bookmarkStart w:id="510" w:name="_Toc162103219"/>
      <w:bookmarkStart w:id="511" w:name="_Toc183107237"/>
      <w:r>
        <w:rPr>
          <w:rFonts w:hint="eastAsia"/>
        </w:rPr>
        <w:t>A3</w:t>
      </w:r>
      <w:r>
        <w:t>.</w:t>
      </w:r>
      <w:r>
        <w:rPr>
          <w:rFonts w:hint="eastAsia"/>
        </w:rPr>
        <w:t>初步评审</w:t>
      </w:r>
      <w:bookmarkEnd w:id="507"/>
      <w:bookmarkEnd w:id="508"/>
      <w:bookmarkEnd w:id="509"/>
      <w:bookmarkEnd w:id="510"/>
      <w:bookmarkEnd w:id="511"/>
    </w:p>
    <w:p w14:paraId="01A72DDC">
      <w:pPr>
        <w:pStyle w:val="25"/>
        <w:rPr>
          <w:bCs/>
          <w:sz w:val="21"/>
          <w:szCs w:val="21"/>
        </w:rPr>
      </w:pPr>
      <w:bookmarkStart w:id="512" w:name="_Toc183107238"/>
      <w:bookmarkStart w:id="513" w:name="_Toc150507318"/>
      <w:bookmarkStart w:id="514" w:name="_Toc162103220"/>
      <w:bookmarkStart w:id="515" w:name="_Toc166326938"/>
      <w:bookmarkStart w:id="516" w:name="_Toc256000102"/>
      <w:r>
        <w:rPr>
          <w:rFonts w:hint="eastAsia"/>
          <w:bCs/>
          <w:sz w:val="21"/>
          <w:szCs w:val="21"/>
        </w:rPr>
        <w:t>A3.1形式评审</w:t>
      </w:r>
      <w:bookmarkEnd w:id="512"/>
      <w:bookmarkEnd w:id="513"/>
      <w:bookmarkEnd w:id="514"/>
      <w:bookmarkEnd w:id="515"/>
      <w:bookmarkEnd w:id="516"/>
    </w:p>
    <w:p w14:paraId="7FEFAEEC">
      <w:pPr>
        <w:spacing w:line="400" w:lineRule="exac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评标委员会根据评标办法前附表中规定的评审因素和评审标准，对投标人的投标文件进行形式评审，并使用</w:t>
      </w:r>
      <w:r>
        <w:rPr>
          <w:rFonts w:hint="eastAsia" w:ascii="宋体" w:hAnsi="宋体"/>
          <w:b/>
          <w:szCs w:val="21"/>
        </w:rPr>
        <w:t>附表A-4</w:t>
      </w:r>
      <w:r>
        <w:rPr>
          <w:rFonts w:hint="eastAsia" w:ascii="宋体" w:hAnsi="宋体"/>
          <w:szCs w:val="21"/>
        </w:rPr>
        <w:t>记录评审结果。</w:t>
      </w:r>
    </w:p>
    <w:p w14:paraId="0131847A">
      <w:pPr>
        <w:pStyle w:val="25"/>
        <w:rPr>
          <w:bCs/>
          <w:sz w:val="21"/>
          <w:szCs w:val="21"/>
        </w:rPr>
      </w:pPr>
      <w:bookmarkStart w:id="517" w:name="_Toc162103221"/>
      <w:bookmarkStart w:id="518" w:name="_Toc150507319"/>
      <w:bookmarkStart w:id="519" w:name="_Toc166326939"/>
      <w:bookmarkStart w:id="520" w:name="_Toc183107239"/>
      <w:bookmarkStart w:id="521" w:name="_Toc256000103"/>
      <w:r>
        <w:rPr>
          <w:rFonts w:hint="eastAsia"/>
          <w:bCs/>
          <w:sz w:val="21"/>
          <w:szCs w:val="21"/>
        </w:rPr>
        <w:t>A3.2资格评审</w:t>
      </w:r>
      <w:bookmarkEnd w:id="517"/>
      <w:bookmarkEnd w:id="518"/>
      <w:bookmarkEnd w:id="519"/>
      <w:bookmarkEnd w:id="520"/>
      <w:bookmarkEnd w:id="521"/>
    </w:p>
    <w:p w14:paraId="72485F35">
      <w:pPr>
        <w:spacing w:line="400" w:lineRule="exac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评标委员会根据评标办法前附表中规定的评审因素和评审标准，对投标人的投标文件进行资格评审，并使用</w:t>
      </w:r>
      <w:r>
        <w:rPr>
          <w:rFonts w:hint="eastAsia" w:ascii="宋体" w:hAnsi="宋体"/>
          <w:b/>
          <w:szCs w:val="21"/>
        </w:rPr>
        <w:t>附表A-5</w:t>
      </w:r>
      <w:r>
        <w:rPr>
          <w:rFonts w:hint="eastAsia" w:ascii="宋体" w:hAnsi="宋体"/>
          <w:szCs w:val="21"/>
        </w:rPr>
        <w:t>记录评审结果。</w:t>
      </w:r>
    </w:p>
    <w:p w14:paraId="2ECB1749">
      <w:pPr>
        <w:pStyle w:val="25"/>
        <w:rPr>
          <w:bCs/>
          <w:sz w:val="21"/>
          <w:szCs w:val="21"/>
        </w:rPr>
      </w:pPr>
      <w:bookmarkStart w:id="522" w:name="_Toc183107240"/>
      <w:bookmarkStart w:id="523" w:name="_Toc166326940"/>
      <w:bookmarkStart w:id="524" w:name="_Toc162103222"/>
      <w:bookmarkStart w:id="525" w:name="_Toc256000104"/>
      <w:bookmarkStart w:id="526" w:name="_Toc150507320"/>
      <w:r>
        <w:rPr>
          <w:rFonts w:hint="eastAsia"/>
          <w:bCs/>
          <w:sz w:val="21"/>
          <w:szCs w:val="21"/>
        </w:rPr>
        <w:t>A3.3响应性评审</w:t>
      </w:r>
      <w:bookmarkEnd w:id="522"/>
      <w:bookmarkEnd w:id="523"/>
      <w:bookmarkEnd w:id="524"/>
      <w:bookmarkEnd w:id="525"/>
      <w:bookmarkEnd w:id="526"/>
    </w:p>
    <w:p w14:paraId="607A7354">
      <w:pPr>
        <w:spacing w:line="400" w:lineRule="exact"/>
        <w:ind w:firstLine="420" w:firstLineChars="200"/>
        <w:rPr>
          <w:rFonts w:hint="eastAsia" w:ascii="宋体" w:hAnsi="宋体"/>
          <w:szCs w:val="21"/>
        </w:rPr>
      </w:pPr>
      <w:r>
        <w:rPr>
          <w:rFonts w:hint="eastAsia" w:ascii="宋体" w:hAnsi="宋体"/>
          <w:szCs w:val="21"/>
        </w:rPr>
        <w:t>A3.3.1评标委员会根据评标办法前附表中规定的评审因素和评审标准，对投标人的投标文件进行响应性评审，并使用</w:t>
      </w:r>
      <w:r>
        <w:rPr>
          <w:rFonts w:hint="eastAsia" w:ascii="宋体" w:hAnsi="宋体"/>
          <w:b/>
          <w:szCs w:val="21"/>
        </w:rPr>
        <w:t>附表A-6</w:t>
      </w:r>
      <w:r>
        <w:rPr>
          <w:rFonts w:hint="eastAsia" w:ascii="宋体" w:hAnsi="宋体"/>
          <w:szCs w:val="21"/>
        </w:rPr>
        <w:t>记录评审结果。</w:t>
      </w:r>
    </w:p>
    <w:p w14:paraId="0E0B4346">
      <w:pPr>
        <w:spacing w:line="400" w:lineRule="exact"/>
        <w:ind w:firstLine="420" w:firstLineChars="200"/>
        <w:rPr>
          <w:rFonts w:hint="eastAsia" w:ascii="宋体" w:hAnsi="宋体"/>
          <w:szCs w:val="21"/>
        </w:rPr>
      </w:pPr>
      <w:r>
        <w:rPr>
          <w:rFonts w:hint="eastAsia" w:ascii="宋体" w:hAnsi="宋体"/>
          <w:szCs w:val="21"/>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10A0E5D0">
      <w:pPr>
        <w:pStyle w:val="25"/>
        <w:rPr>
          <w:bCs/>
          <w:sz w:val="21"/>
          <w:szCs w:val="21"/>
        </w:rPr>
      </w:pPr>
      <w:bookmarkStart w:id="527" w:name="_Toc166326941"/>
      <w:bookmarkStart w:id="528" w:name="_Toc183107241"/>
      <w:bookmarkStart w:id="529" w:name="_Toc256000105"/>
      <w:bookmarkStart w:id="530" w:name="_Toc162103223"/>
      <w:bookmarkStart w:id="531" w:name="_Toc150507321"/>
      <w:r>
        <w:rPr>
          <w:rFonts w:hint="eastAsia"/>
          <w:bCs/>
          <w:sz w:val="21"/>
          <w:szCs w:val="21"/>
        </w:rPr>
        <w:t>A3.</w:t>
      </w:r>
      <w:r>
        <w:rPr>
          <w:bCs/>
          <w:sz w:val="21"/>
          <w:szCs w:val="21"/>
        </w:rPr>
        <w:t>4</w:t>
      </w:r>
      <w:r>
        <w:rPr>
          <w:rFonts w:hint="eastAsia"/>
          <w:bCs/>
          <w:sz w:val="21"/>
          <w:szCs w:val="21"/>
        </w:rPr>
        <w:t>算术错误修正</w:t>
      </w:r>
      <w:bookmarkEnd w:id="527"/>
      <w:bookmarkEnd w:id="528"/>
      <w:bookmarkEnd w:id="529"/>
      <w:bookmarkEnd w:id="530"/>
      <w:bookmarkEnd w:id="531"/>
    </w:p>
    <w:p w14:paraId="726BCED3">
      <w:pPr>
        <w:spacing w:line="400" w:lineRule="exact"/>
        <w:ind w:firstLine="420" w:firstLineChars="200"/>
        <w:rPr>
          <w:rFonts w:ascii="黑体" w:eastAsia="黑体"/>
          <w:szCs w:val="21"/>
        </w:rPr>
      </w:pPr>
      <w:r>
        <w:rPr>
          <w:rFonts w:hint="eastAsia" w:ascii="宋体" w:hAnsi="宋体"/>
          <w:szCs w:val="21"/>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7CB89B64">
      <w:pPr>
        <w:pStyle w:val="25"/>
        <w:rPr>
          <w:bCs/>
          <w:sz w:val="21"/>
          <w:szCs w:val="21"/>
        </w:rPr>
      </w:pPr>
      <w:bookmarkStart w:id="532" w:name="_Toc162103224"/>
      <w:bookmarkStart w:id="533" w:name="_Toc150507322"/>
      <w:bookmarkStart w:id="534" w:name="_Toc256000106"/>
      <w:bookmarkStart w:id="535" w:name="_Toc183107242"/>
      <w:bookmarkStart w:id="536" w:name="_Toc166326942"/>
      <w:r>
        <w:rPr>
          <w:rFonts w:hint="eastAsia"/>
          <w:bCs/>
          <w:sz w:val="21"/>
          <w:szCs w:val="21"/>
        </w:rPr>
        <w:t>A3.</w:t>
      </w:r>
      <w:r>
        <w:rPr>
          <w:bCs/>
          <w:sz w:val="21"/>
          <w:szCs w:val="21"/>
        </w:rPr>
        <w:t>5</w:t>
      </w:r>
      <w:r>
        <w:rPr>
          <w:rFonts w:hint="eastAsia"/>
          <w:bCs/>
          <w:sz w:val="21"/>
          <w:szCs w:val="21"/>
        </w:rPr>
        <w:t>判断投标报价是否低于成本</w:t>
      </w:r>
      <w:bookmarkEnd w:id="532"/>
      <w:bookmarkEnd w:id="533"/>
      <w:bookmarkEnd w:id="534"/>
      <w:bookmarkEnd w:id="535"/>
      <w:bookmarkEnd w:id="536"/>
    </w:p>
    <w:p w14:paraId="7EB453EF">
      <w:pPr>
        <w:spacing w:line="400" w:lineRule="exact"/>
        <w:ind w:firstLine="420" w:firstLineChars="200"/>
        <w:rPr>
          <w:rFonts w:hint="eastAsia" w:ascii="宋体" w:hAnsi="宋体"/>
          <w:szCs w:val="21"/>
        </w:rPr>
      </w:pPr>
      <w:r>
        <w:rPr>
          <w:rFonts w:hint="eastAsia" w:ascii="宋体" w:hAnsi="宋体"/>
          <w:szCs w:val="21"/>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rPr>
        <w:t>附表</w:t>
      </w:r>
      <w:r>
        <w:rPr>
          <w:rFonts w:ascii="宋体" w:hAnsi="宋体"/>
          <w:b/>
          <w:szCs w:val="21"/>
        </w:rPr>
        <w:t>C</w:t>
      </w:r>
      <w:r>
        <w:rPr>
          <w:rFonts w:hint="eastAsia" w:ascii="宋体" w:hAnsi="宋体"/>
          <w:b/>
          <w:szCs w:val="21"/>
        </w:rPr>
        <w:t>-1</w:t>
      </w:r>
      <w:r>
        <w:rPr>
          <w:rFonts w:hint="eastAsia" w:ascii="宋体" w:hAnsi="宋体"/>
          <w:szCs w:val="21"/>
        </w:rPr>
        <w:t>记录评审结果</w:t>
      </w:r>
    </w:p>
    <w:p w14:paraId="7F3782C8">
      <w:pPr>
        <w:pStyle w:val="25"/>
        <w:rPr>
          <w:bCs/>
          <w:sz w:val="21"/>
          <w:szCs w:val="21"/>
        </w:rPr>
      </w:pPr>
      <w:bookmarkStart w:id="537" w:name="_Toc150507323"/>
      <w:bookmarkStart w:id="538" w:name="_Toc166326943"/>
      <w:bookmarkStart w:id="539" w:name="_Toc256000107"/>
      <w:bookmarkStart w:id="540" w:name="_Toc162103225"/>
      <w:bookmarkStart w:id="541" w:name="_Toc183107243"/>
      <w:r>
        <w:rPr>
          <w:rFonts w:hint="eastAsia"/>
          <w:bCs/>
          <w:sz w:val="21"/>
          <w:szCs w:val="21"/>
        </w:rPr>
        <w:t>A3.</w:t>
      </w:r>
      <w:r>
        <w:rPr>
          <w:bCs/>
          <w:sz w:val="21"/>
          <w:szCs w:val="21"/>
        </w:rPr>
        <w:t>6</w:t>
      </w:r>
      <w:r>
        <w:rPr>
          <w:rFonts w:hint="eastAsia"/>
          <w:bCs/>
          <w:sz w:val="21"/>
          <w:szCs w:val="21"/>
        </w:rPr>
        <w:t xml:space="preserve"> 判断投标是否为应当被否决</w:t>
      </w:r>
      <w:bookmarkEnd w:id="537"/>
      <w:bookmarkEnd w:id="538"/>
      <w:bookmarkEnd w:id="539"/>
      <w:bookmarkEnd w:id="540"/>
      <w:bookmarkEnd w:id="541"/>
    </w:p>
    <w:p w14:paraId="070914E0">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.1判断投标人的投标是否应当被</w:t>
      </w:r>
      <w:r>
        <w:rPr>
          <w:rFonts w:hint="eastAsia"/>
        </w:rPr>
        <w:t>否决</w:t>
      </w:r>
      <w:r>
        <w:rPr>
          <w:rFonts w:hint="eastAsia" w:ascii="宋体" w:hAnsi="宋体"/>
          <w:szCs w:val="21"/>
        </w:rPr>
        <w:t>的全部条件（包括本章第3.1.2项、第3.1.3项中规定的条件），在本章前附表中集中列示。并使用</w:t>
      </w:r>
      <w:r>
        <w:rPr>
          <w:rFonts w:hint="eastAsia" w:ascii="宋体" w:hAnsi="宋体"/>
          <w:b/>
          <w:szCs w:val="21"/>
        </w:rPr>
        <w:t>附表A-9</w:t>
      </w:r>
      <w:r>
        <w:rPr>
          <w:rFonts w:hint="eastAsia" w:ascii="宋体" w:hAnsi="宋体"/>
          <w:szCs w:val="21"/>
        </w:rPr>
        <w:t>记录评审结果。</w:t>
      </w:r>
    </w:p>
    <w:p w14:paraId="1A706031">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.2本章</w:t>
      </w:r>
      <w:r>
        <w:rPr>
          <w:rFonts w:hint="eastAsia" w:ascii="宋体" w:hAnsi="宋体"/>
          <w:b/>
          <w:szCs w:val="21"/>
        </w:rPr>
        <w:t>附件B</w:t>
      </w:r>
      <w:r>
        <w:rPr>
          <w:rFonts w:hint="eastAsia" w:ascii="宋体" w:hAnsi="宋体"/>
          <w:szCs w:val="21"/>
        </w:rPr>
        <w:t>集中列示的否决投标的条件不应与第二章“投标人须知”和本章前附表和正文部分包括的否决投标的条件抵触，</w:t>
      </w:r>
      <w:r>
        <w:rPr>
          <w:rFonts w:hint="eastAsia"/>
        </w:rPr>
        <w:t>如果</w:t>
      </w:r>
      <w:r>
        <w:rPr>
          <w:rFonts w:hint="eastAsia" w:ascii="宋体" w:hAnsi="宋体"/>
          <w:szCs w:val="21"/>
        </w:rPr>
        <w:t>出现相互矛盾的情况，以本章前附表和正文部分的规定为准。</w:t>
      </w:r>
    </w:p>
    <w:p w14:paraId="727F1FF0">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.3评标委员会在评标（包括初步评审和详细评审）过程中，依据本章前附表和正文部分中规定的否决投标的条件判断投标人的投标是否为应当被否决。</w:t>
      </w:r>
    </w:p>
    <w:p w14:paraId="52CEA30F">
      <w:pPr>
        <w:pStyle w:val="25"/>
        <w:rPr>
          <w:bCs/>
          <w:sz w:val="21"/>
          <w:szCs w:val="21"/>
        </w:rPr>
      </w:pPr>
      <w:bookmarkStart w:id="542" w:name="_Toc256000108"/>
      <w:bookmarkStart w:id="543" w:name="_Toc150507324"/>
      <w:bookmarkStart w:id="544" w:name="_Toc162103226"/>
      <w:bookmarkStart w:id="545" w:name="_Toc166326944"/>
      <w:bookmarkStart w:id="546" w:name="_Toc183107244"/>
      <w:r>
        <w:rPr>
          <w:rFonts w:hint="eastAsia"/>
          <w:bCs/>
          <w:sz w:val="21"/>
          <w:szCs w:val="21"/>
        </w:rPr>
        <w:t>A3.</w:t>
      </w:r>
      <w:r>
        <w:rPr>
          <w:bCs/>
          <w:sz w:val="21"/>
          <w:szCs w:val="21"/>
        </w:rPr>
        <w:t>7</w:t>
      </w:r>
      <w:r>
        <w:rPr>
          <w:rFonts w:hint="eastAsia"/>
          <w:bCs/>
          <w:sz w:val="21"/>
          <w:szCs w:val="21"/>
        </w:rPr>
        <w:t xml:space="preserve"> 澄清、说明或补正</w:t>
      </w:r>
      <w:bookmarkEnd w:id="542"/>
      <w:bookmarkEnd w:id="543"/>
      <w:bookmarkEnd w:id="544"/>
      <w:bookmarkEnd w:id="545"/>
      <w:bookmarkEnd w:id="546"/>
    </w:p>
    <w:p w14:paraId="48E4F1E5">
      <w:pPr>
        <w:spacing w:line="400" w:lineRule="exact"/>
        <w:ind w:firstLine="420" w:firstLineChars="200"/>
        <w:rPr>
          <w:rFonts w:hint="eastAsia" w:ascii="宋体" w:hAnsi="宋体"/>
          <w:szCs w:val="21"/>
        </w:rPr>
      </w:pPr>
      <w:r>
        <w:rPr>
          <w:rFonts w:hint="eastAsia" w:ascii="宋体" w:hAnsi="宋体"/>
          <w:szCs w:val="21"/>
        </w:rPr>
        <w:t>在初步评审过程中，评标委员会应当就投标文件中</w:t>
      </w:r>
      <w:r>
        <w:rPr>
          <w:rFonts w:hint="eastAsia"/>
        </w:rPr>
        <w:t>含义不明确、对同类问题表述不一致或者有明显文字和计算错误的内容</w:t>
      </w:r>
      <w:r>
        <w:rPr>
          <w:rFonts w:hint="eastAsia" w:ascii="宋体" w:hAnsi="宋体"/>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rPr>
        <w:t>通过电子招标投标系统</w:t>
      </w:r>
      <w:r>
        <w:rPr>
          <w:rFonts w:hint="eastAsia" w:ascii="宋体" w:hAnsi="宋体"/>
          <w:szCs w:val="21"/>
        </w:rPr>
        <w:t>（辽宁省工程建设项目数字化开标评标系统）</w:t>
      </w:r>
      <w:r>
        <w:rPr>
          <w:rFonts w:hint="eastAsia"/>
        </w:rPr>
        <w:t>以书面形式进行。</w:t>
      </w:r>
    </w:p>
    <w:p w14:paraId="54C166A9">
      <w:pPr>
        <w:pStyle w:val="25"/>
      </w:pPr>
      <w:bookmarkStart w:id="547" w:name="_Toc183107245"/>
      <w:bookmarkStart w:id="548" w:name="_Toc162103227"/>
      <w:bookmarkStart w:id="549" w:name="_Toc150507325"/>
      <w:bookmarkStart w:id="550" w:name="_Toc166326945"/>
      <w:bookmarkStart w:id="551" w:name="_Toc256000109"/>
      <w:r>
        <w:rPr>
          <w:rFonts w:hint="eastAsia"/>
        </w:rPr>
        <w:t>A4.详细评审</w:t>
      </w:r>
      <w:bookmarkEnd w:id="547"/>
      <w:bookmarkEnd w:id="548"/>
      <w:bookmarkEnd w:id="549"/>
      <w:bookmarkEnd w:id="550"/>
      <w:bookmarkEnd w:id="551"/>
    </w:p>
    <w:p w14:paraId="36D6E7F8">
      <w:pPr>
        <w:spacing w:line="400" w:lineRule="exact"/>
        <w:ind w:firstLine="420" w:firstLineChars="200"/>
        <w:rPr>
          <w:rFonts w:hint="eastAsia" w:ascii="宋体" w:hAnsi="宋体"/>
          <w:szCs w:val="21"/>
        </w:rPr>
      </w:pPr>
      <w:bookmarkStart w:id="552" w:name="_Toc162103228"/>
      <w:bookmarkStart w:id="553" w:name="_Toc150507326"/>
      <w:r>
        <w:rPr>
          <w:rFonts w:hint="eastAsia" w:ascii="宋体" w:hAnsi="宋体"/>
          <w:szCs w:val="21"/>
        </w:rPr>
        <w:t>只有通过了初步评审、被判定为合格的投标方可进入详细评审。初步评审通过后，使用</w:t>
      </w:r>
      <w:r>
        <w:rPr>
          <w:rFonts w:hint="eastAsia" w:ascii="宋体" w:hAnsi="宋体"/>
          <w:b/>
          <w:szCs w:val="21"/>
        </w:rPr>
        <w:t>附表A-</w:t>
      </w:r>
      <w:r>
        <w:rPr>
          <w:rFonts w:ascii="宋体" w:hAnsi="宋体"/>
          <w:b/>
          <w:szCs w:val="21"/>
        </w:rPr>
        <w:t>8</w:t>
      </w:r>
      <w:r>
        <w:rPr>
          <w:rFonts w:hint="eastAsia" w:ascii="宋体" w:hAnsi="宋体"/>
          <w:szCs w:val="21"/>
        </w:rPr>
        <w:t>记录初步评审结果</w:t>
      </w:r>
      <w:r>
        <w:rPr>
          <w:rFonts w:hint="eastAsia" w:ascii="黑体" w:hAnsi="宋体" w:eastAsia="黑体"/>
          <w:szCs w:val="21"/>
        </w:rPr>
        <w:t>。</w:t>
      </w:r>
    </w:p>
    <w:p w14:paraId="3D88CF16">
      <w:pPr>
        <w:pStyle w:val="25"/>
        <w:rPr>
          <w:bCs/>
          <w:sz w:val="21"/>
          <w:szCs w:val="21"/>
        </w:rPr>
      </w:pPr>
      <w:bookmarkStart w:id="554" w:name="_Toc166326946"/>
      <w:bookmarkStart w:id="555" w:name="_Toc183107246"/>
      <w:bookmarkStart w:id="556" w:name="_Toc256000110"/>
      <w:r>
        <w:rPr>
          <w:rFonts w:hint="eastAsia"/>
          <w:bCs/>
          <w:sz w:val="21"/>
          <w:szCs w:val="21"/>
        </w:rPr>
        <w:t>A4.1详细评审的程序</w:t>
      </w:r>
      <w:bookmarkEnd w:id="552"/>
      <w:bookmarkEnd w:id="553"/>
      <w:bookmarkEnd w:id="554"/>
      <w:bookmarkEnd w:id="555"/>
      <w:bookmarkEnd w:id="556"/>
    </w:p>
    <w:p w14:paraId="1CA1187B">
      <w:pPr>
        <w:spacing w:line="400" w:lineRule="exact"/>
        <w:ind w:firstLine="420" w:firstLineChars="200"/>
        <w:rPr>
          <w:rFonts w:hint="eastAsia" w:ascii="宋体" w:hAnsi="宋体"/>
          <w:szCs w:val="21"/>
        </w:rPr>
      </w:pPr>
      <w:r>
        <w:rPr>
          <w:rFonts w:hint="eastAsia" w:ascii="宋体" w:hAnsi="宋体"/>
          <w:szCs w:val="21"/>
        </w:rPr>
        <w:t>评标委员会按照本章第3.2款中规定的程序进行详细评审：</w:t>
      </w:r>
    </w:p>
    <w:p w14:paraId="13EAFAE5">
      <w:pPr>
        <w:spacing w:line="400" w:lineRule="exact"/>
        <w:ind w:firstLine="420" w:firstLineChars="200"/>
        <w:rPr>
          <w:rFonts w:hint="eastAsia" w:ascii="宋体" w:hAnsi="宋体"/>
          <w:szCs w:val="21"/>
        </w:rPr>
      </w:pPr>
      <w:r>
        <w:rPr>
          <w:rFonts w:hint="eastAsia" w:ascii="宋体" w:hAnsi="宋体"/>
          <w:szCs w:val="21"/>
        </w:rPr>
        <w:t>（1）经济标评审和评分；</w:t>
      </w:r>
    </w:p>
    <w:p w14:paraId="00101B10">
      <w:pPr>
        <w:spacing w:line="400" w:lineRule="exact"/>
        <w:ind w:firstLine="420" w:firstLineChars="200"/>
        <w:rPr>
          <w:rFonts w:hint="eastAsia" w:ascii="宋体" w:hAnsi="宋体"/>
          <w:szCs w:val="21"/>
        </w:rPr>
      </w:pPr>
      <w:r>
        <w:rPr>
          <w:rFonts w:hint="eastAsia" w:ascii="宋体" w:hAnsi="宋体"/>
          <w:szCs w:val="21"/>
        </w:rPr>
        <w:t xml:space="preserve">（2）技术标评审和评分； </w:t>
      </w:r>
    </w:p>
    <w:p w14:paraId="0EC09102">
      <w:pPr>
        <w:spacing w:line="400" w:lineRule="exact"/>
        <w:ind w:firstLine="420" w:firstLineChars="200"/>
        <w:rPr>
          <w:rFonts w:hint="eastAsia" w:ascii="宋体" w:hAnsi="宋体"/>
          <w:szCs w:val="21"/>
        </w:rPr>
      </w:pPr>
      <w:r>
        <w:rPr>
          <w:rFonts w:hint="eastAsia" w:ascii="宋体" w:hAnsi="宋体"/>
          <w:szCs w:val="21"/>
        </w:rPr>
        <w:t>（3）资信标评审和评分；</w:t>
      </w:r>
    </w:p>
    <w:p w14:paraId="2EEE067D">
      <w:pPr>
        <w:spacing w:line="400" w:lineRule="exact"/>
        <w:ind w:firstLine="420" w:firstLineChars="200"/>
        <w:rPr>
          <w:rFonts w:hint="eastAsia" w:ascii="宋体" w:hAnsi="宋体"/>
          <w:szCs w:val="21"/>
        </w:rPr>
      </w:pPr>
      <w:r>
        <w:rPr>
          <w:rFonts w:hint="eastAsia" w:ascii="宋体" w:hAnsi="宋体"/>
          <w:szCs w:val="21"/>
        </w:rPr>
        <w:t>（4）其他因素评审和</w:t>
      </w:r>
      <w:r>
        <w:rPr>
          <w:rFonts w:hint="eastAsia"/>
        </w:rPr>
        <w:t>评分</w:t>
      </w:r>
      <w:r>
        <w:rPr>
          <w:rFonts w:hint="eastAsia" w:ascii="宋体" w:hAnsi="宋体"/>
          <w:szCs w:val="21"/>
        </w:rPr>
        <w:t>；</w:t>
      </w:r>
    </w:p>
    <w:p w14:paraId="6D256DB2">
      <w:pPr>
        <w:spacing w:line="400" w:lineRule="exact"/>
        <w:ind w:firstLine="420" w:firstLineChars="200"/>
        <w:rPr>
          <w:rFonts w:hint="eastAsia" w:ascii="宋体" w:hAnsi="宋体"/>
          <w:szCs w:val="21"/>
        </w:rPr>
      </w:pPr>
      <w:r>
        <w:rPr>
          <w:rFonts w:hint="eastAsia" w:ascii="宋体" w:hAnsi="宋体"/>
          <w:szCs w:val="21"/>
        </w:rPr>
        <w:t>（5）汇总评分结果。</w:t>
      </w:r>
    </w:p>
    <w:p w14:paraId="546DC8BF">
      <w:pPr>
        <w:pStyle w:val="25"/>
        <w:rPr>
          <w:bCs/>
          <w:sz w:val="21"/>
          <w:szCs w:val="21"/>
        </w:rPr>
      </w:pPr>
      <w:bookmarkStart w:id="557" w:name="_Toc256000111"/>
      <w:bookmarkStart w:id="558" w:name="_Toc162103229"/>
      <w:bookmarkStart w:id="559" w:name="_Toc183107247"/>
      <w:bookmarkStart w:id="560" w:name="_Toc150507327"/>
      <w:bookmarkStart w:id="561" w:name="_Toc166326947"/>
      <w:r>
        <w:rPr>
          <w:rFonts w:hint="eastAsia"/>
          <w:bCs/>
          <w:sz w:val="21"/>
          <w:szCs w:val="21"/>
        </w:rPr>
        <w:t>A4.2经济标评审和评分</w:t>
      </w:r>
      <w:bookmarkEnd w:id="557"/>
      <w:bookmarkEnd w:id="558"/>
      <w:bookmarkEnd w:id="559"/>
      <w:bookmarkEnd w:id="560"/>
      <w:bookmarkEnd w:id="561"/>
    </w:p>
    <w:p w14:paraId="28337A7A">
      <w:pPr>
        <w:spacing w:line="400" w:lineRule="exact"/>
        <w:ind w:firstLine="420" w:firstLineChars="200"/>
        <w:rPr>
          <w:rFonts w:hint="eastAsia" w:ascii="宋体" w:hAnsi="宋体"/>
          <w:szCs w:val="21"/>
        </w:rPr>
      </w:pPr>
      <w:r>
        <w:rPr>
          <w:rFonts w:hint="eastAsia" w:ascii="宋体" w:hAnsi="宋体"/>
          <w:szCs w:val="21"/>
        </w:rPr>
        <w:t>A4.2.1按照评标办法前附表中规定的方法计算各投标人的“评标价”。</w:t>
      </w:r>
    </w:p>
    <w:p w14:paraId="7AA01C52">
      <w:pPr>
        <w:spacing w:line="400" w:lineRule="exact"/>
        <w:ind w:firstLine="420" w:firstLineChars="200"/>
        <w:rPr>
          <w:rFonts w:hint="eastAsia" w:ascii="宋体" w:hAnsi="宋体"/>
          <w:szCs w:val="21"/>
        </w:rPr>
      </w:pPr>
      <w:r>
        <w:rPr>
          <w:rFonts w:hint="eastAsia" w:ascii="宋体" w:hAnsi="宋体"/>
          <w:szCs w:val="21"/>
        </w:rPr>
        <w:t>A4.2.2按照评标办法前附表中</w:t>
      </w:r>
      <w:r>
        <w:rPr>
          <w:rFonts w:hint="eastAsia"/>
        </w:rPr>
        <w:t>规定</w:t>
      </w:r>
      <w:r>
        <w:rPr>
          <w:rFonts w:hint="eastAsia" w:ascii="宋体" w:hAnsi="宋体"/>
          <w:szCs w:val="21"/>
        </w:rPr>
        <w:t>的方法计算“评标基准价”。</w:t>
      </w:r>
    </w:p>
    <w:p w14:paraId="0DCC22C4">
      <w:pPr>
        <w:spacing w:line="400" w:lineRule="exact"/>
        <w:ind w:firstLine="420" w:firstLineChars="200"/>
        <w:rPr>
          <w:rFonts w:hint="eastAsia" w:ascii="宋体" w:hAnsi="宋体"/>
          <w:szCs w:val="21"/>
        </w:rPr>
      </w:pPr>
      <w:r>
        <w:rPr>
          <w:rFonts w:hint="eastAsia" w:ascii="宋体" w:hAnsi="宋体"/>
          <w:szCs w:val="21"/>
        </w:rPr>
        <w:t>A4.2.</w:t>
      </w:r>
      <w:r>
        <w:rPr>
          <w:rFonts w:ascii="宋体" w:hAnsi="宋体"/>
          <w:szCs w:val="21"/>
        </w:rPr>
        <w:t>3</w:t>
      </w:r>
      <w:r>
        <w:rPr>
          <w:rFonts w:hint="eastAsia" w:ascii="宋体" w:hAnsi="宋体"/>
          <w:szCs w:val="21"/>
        </w:rPr>
        <w:t>按照评标办法前附表中</w:t>
      </w:r>
      <w:r>
        <w:rPr>
          <w:rFonts w:hint="eastAsia"/>
        </w:rPr>
        <w:t>规定</w:t>
      </w:r>
      <w:r>
        <w:rPr>
          <w:rFonts w:hint="eastAsia" w:ascii="宋体" w:hAnsi="宋体"/>
          <w:szCs w:val="21"/>
        </w:rPr>
        <w:t>的方法，计算各个已通过了初步评审的投标报价的“偏差率”。</w:t>
      </w:r>
    </w:p>
    <w:p w14:paraId="55A39506">
      <w:pPr>
        <w:spacing w:line="400" w:lineRule="exact"/>
        <w:ind w:firstLine="420" w:firstLineChars="200"/>
        <w:rPr>
          <w:rFonts w:hint="eastAsia" w:ascii="宋体" w:hAnsi="宋体"/>
          <w:szCs w:val="21"/>
        </w:rPr>
      </w:pPr>
      <w:r>
        <w:rPr>
          <w:rFonts w:hint="eastAsia" w:ascii="宋体" w:hAnsi="宋体"/>
          <w:szCs w:val="21"/>
        </w:rPr>
        <w:t>A4.2.</w:t>
      </w:r>
      <w:r>
        <w:rPr>
          <w:rFonts w:ascii="宋体" w:hAnsi="宋体"/>
          <w:szCs w:val="21"/>
        </w:rPr>
        <w:t>4</w:t>
      </w:r>
      <w:r>
        <w:rPr>
          <w:rFonts w:hint="eastAsia" w:ascii="宋体" w:hAnsi="宋体"/>
          <w:szCs w:val="21"/>
        </w:rPr>
        <w:t>按照评标办法前附表中规定的评分标准，对照投标报价的偏差率，分别对各个投标报价进行评分，使用</w:t>
      </w:r>
      <w:r>
        <w:rPr>
          <w:rFonts w:hint="eastAsia" w:ascii="宋体" w:hAnsi="宋体"/>
          <w:b/>
          <w:szCs w:val="21"/>
        </w:rPr>
        <w:t>附表A-</w:t>
      </w:r>
      <w:r>
        <w:rPr>
          <w:rFonts w:ascii="宋体" w:hAnsi="宋体"/>
          <w:b/>
          <w:szCs w:val="21"/>
        </w:rPr>
        <w:t>10</w:t>
      </w:r>
      <w:r>
        <w:rPr>
          <w:rFonts w:hint="eastAsia" w:ascii="宋体" w:hAnsi="宋体"/>
          <w:szCs w:val="21"/>
        </w:rPr>
        <w:t>记录对经济标的评分结果，经济标的得分记录为</w:t>
      </w:r>
      <w:r>
        <w:rPr>
          <w:rFonts w:hint="eastAsia" w:ascii="宋体" w:hAnsi="宋体"/>
          <w:b/>
          <w:szCs w:val="21"/>
        </w:rPr>
        <w:t>A</w:t>
      </w:r>
      <w:r>
        <w:rPr>
          <w:rFonts w:hint="eastAsia" w:ascii="宋体" w:hAnsi="宋体"/>
          <w:szCs w:val="21"/>
        </w:rPr>
        <w:t>。</w:t>
      </w:r>
    </w:p>
    <w:p w14:paraId="1CAD2C99">
      <w:pPr>
        <w:pStyle w:val="25"/>
        <w:rPr>
          <w:bCs/>
          <w:sz w:val="21"/>
          <w:szCs w:val="21"/>
        </w:rPr>
      </w:pPr>
      <w:bookmarkStart w:id="562" w:name="_Toc166326948"/>
      <w:bookmarkStart w:id="563" w:name="_Toc162103230"/>
      <w:bookmarkStart w:id="564" w:name="_Toc256000112"/>
      <w:bookmarkStart w:id="565" w:name="_Toc150507328"/>
      <w:bookmarkStart w:id="566" w:name="_Toc183107248"/>
      <w:r>
        <w:rPr>
          <w:rFonts w:hint="eastAsia"/>
          <w:bCs/>
          <w:sz w:val="21"/>
          <w:szCs w:val="21"/>
        </w:rPr>
        <w:t>A4.3 技术标评审和评分</w:t>
      </w:r>
      <w:bookmarkEnd w:id="562"/>
      <w:bookmarkEnd w:id="563"/>
      <w:bookmarkEnd w:id="564"/>
      <w:bookmarkEnd w:id="565"/>
      <w:bookmarkEnd w:id="566"/>
    </w:p>
    <w:p w14:paraId="4884DA2B">
      <w:pPr>
        <w:spacing w:line="400" w:lineRule="exact"/>
        <w:ind w:firstLine="420" w:firstLineChars="200"/>
        <w:rPr>
          <w:rFonts w:hint="eastAsia" w:ascii="宋体" w:hAnsi="宋体"/>
          <w:szCs w:val="21"/>
        </w:rPr>
      </w:pPr>
      <w:r>
        <w:rPr>
          <w:rFonts w:hint="eastAsia" w:ascii="宋体" w:hAnsi="宋体"/>
          <w:szCs w:val="21"/>
        </w:rPr>
        <w:t>按照评标办法前附表中规定的分值设定、各项评分因素、评分标准，对施工组织设计进行评审和评分，并使用</w:t>
      </w:r>
      <w:r>
        <w:rPr>
          <w:rFonts w:hint="eastAsia" w:ascii="宋体" w:hAnsi="宋体"/>
          <w:b/>
          <w:szCs w:val="21"/>
        </w:rPr>
        <w:t>附表A-</w:t>
      </w:r>
      <w:r>
        <w:rPr>
          <w:rFonts w:ascii="宋体" w:hAnsi="宋体"/>
          <w:b/>
          <w:szCs w:val="21"/>
        </w:rPr>
        <w:t>11</w:t>
      </w:r>
      <w:r>
        <w:rPr>
          <w:rFonts w:hint="eastAsia" w:ascii="宋体" w:hAnsi="宋体"/>
          <w:szCs w:val="21"/>
        </w:rPr>
        <w:t>记录对技术标的评分结果，技术标的得分记录为</w:t>
      </w:r>
      <w:r>
        <w:rPr>
          <w:rFonts w:hint="eastAsia" w:ascii="宋体" w:hAnsi="宋体"/>
          <w:b/>
          <w:szCs w:val="21"/>
        </w:rPr>
        <w:t>B</w:t>
      </w:r>
      <w:r>
        <w:rPr>
          <w:rFonts w:hint="eastAsia" w:ascii="宋体" w:hAnsi="宋体"/>
          <w:szCs w:val="21"/>
        </w:rPr>
        <w:t>。</w:t>
      </w:r>
    </w:p>
    <w:p w14:paraId="5BA537F4">
      <w:pPr>
        <w:pStyle w:val="25"/>
        <w:rPr>
          <w:bCs/>
          <w:sz w:val="21"/>
          <w:szCs w:val="21"/>
        </w:rPr>
      </w:pPr>
      <w:bookmarkStart w:id="567" w:name="_Toc256000113"/>
      <w:bookmarkStart w:id="568" w:name="_Toc162103231"/>
      <w:bookmarkStart w:id="569" w:name="_Toc183107249"/>
      <w:bookmarkStart w:id="570" w:name="_Toc150507329"/>
      <w:bookmarkStart w:id="571" w:name="_Toc166326949"/>
      <w:r>
        <w:rPr>
          <w:rFonts w:hint="eastAsia"/>
          <w:bCs/>
          <w:sz w:val="21"/>
          <w:szCs w:val="21"/>
        </w:rPr>
        <w:t>A4.4</w:t>
      </w:r>
      <w:bookmarkStart w:id="572" w:name="_Hlk164534604"/>
      <w:r>
        <w:rPr>
          <w:rFonts w:hint="eastAsia"/>
          <w:bCs/>
          <w:sz w:val="21"/>
          <w:szCs w:val="21"/>
        </w:rPr>
        <w:t>资信</w:t>
      </w:r>
      <w:bookmarkEnd w:id="572"/>
      <w:r>
        <w:rPr>
          <w:rFonts w:hint="eastAsia"/>
          <w:bCs/>
          <w:sz w:val="21"/>
          <w:szCs w:val="21"/>
        </w:rPr>
        <w:t>标评审和评分</w:t>
      </w:r>
      <w:bookmarkEnd w:id="567"/>
      <w:bookmarkEnd w:id="568"/>
      <w:bookmarkEnd w:id="569"/>
      <w:bookmarkEnd w:id="570"/>
      <w:bookmarkEnd w:id="571"/>
    </w:p>
    <w:p w14:paraId="7646FF50">
      <w:pPr>
        <w:spacing w:line="400" w:lineRule="exact"/>
        <w:ind w:firstLine="420" w:firstLineChars="200"/>
        <w:rPr>
          <w:rFonts w:hint="eastAsia" w:ascii="宋体" w:hAnsi="宋体"/>
          <w:szCs w:val="21"/>
        </w:rPr>
      </w:pPr>
      <w:r>
        <w:rPr>
          <w:rFonts w:hint="eastAsia" w:ascii="宋体" w:hAnsi="宋体"/>
          <w:szCs w:val="21"/>
        </w:rPr>
        <w:t>按照评标办法前附表中规定的分值设定、各项评分因素、评分标准，对企业业绩、资信和项目管理机构等进行评审和评分，并使用</w:t>
      </w:r>
      <w:r>
        <w:rPr>
          <w:rFonts w:hint="eastAsia" w:ascii="宋体" w:hAnsi="宋体"/>
          <w:b/>
          <w:szCs w:val="21"/>
        </w:rPr>
        <w:t>附表A-1</w:t>
      </w:r>
      <w:r>
        <w:rPr>
          <w:rFonts w:ascii="宋体" w:hAnsi="宋体"/>
          <w:b/>
          <w:szCs w:val="21"/>
        </w:rPr>
        <w:t>3</w:t>
      </w:r>
      <w:r>
        <w:rPr>
          <w:rFonts w:hint="eastAsia" w:ascii="宋体" w:hAnsi="宋体"/>
          <w:szCs w:val="21"/>
        </w:rPr>
        <w:t>记录对资信标的评分结果，资信标的得分记录为</w:t>
      </w:r>
      <w:r>
        <w:rPr>
          <w:rFonts w:hint="eastAsia" w:ascii="宋体" w:hAnsi="宋体"/>
          <w:b/>
          <w:szCs w:val="21"/>
        </w:rPr>
        <w:t>C</w:t>
      </w:r>
      <w:r>
        <w:rPr>
          <w:rFonts w:hint="eastAsia" w:ascii="宋体" w:hAnsi="宋体"/>
          <w:szCs w:val="21"/>
        </w:rPr>
        <w:t>。</w:t>
      </w:r>
    </w:p>
    <w:p w14:paraId="2E8F78B1">
      <w:pPr>
        <w:pStyle w:val="25"/>
        <w:rPr>
          <w:bCs/>
          <w:sz w:val="21"/>
          <w:szCs w:val="21"/>
        </w:rPr>
      </w:pPr>
      <w:bookmarkStart w:id="573" w:name="_Toc256000114"/>
      <w:bookmarkStart w:id="574" w:name="_Toc150507330"/>
      <w:bookmarkStart w:id="575" w:name="_Toc162103232"/>
      <w:bookmarkStart w:id="576" w:name="_Toc166326950"/>
      <w:bookmarkStart w:id="577" w:name="_Toc183107250"/>
      <w:r>
        <w:rPr>
          <w:rFonts w:hint="eastAsia"/>
          <w:bCs/>
          <w:sz w:val="21"/>
          <w:szCs w:val="21"/>
        </w:rPr>
        <w:t>A4.5 其他因素的评审和评分</w:t>
      </w:r>
      <w:bookmarkEnd w:id="573"/>
      <w:bookmarkEnd w:id="574"/>
      <w:bookmarkEnd w:id="575"/>
      <w:bookmarkEnd w:id="576"/>
      <w:bookmarkEnd w:id="577"/>
    </w:p>
    <w:p w14:paraId="795405D3">
      <w:pPr>
        <w:spacing w:line="400" w:lineRule="exact"/>
        <w:ind w:firstLine="420" w:firstLineChars="200"/>
        <w:rPr>
          <w:rFonts w:hint="eastAsia" w:ascii="宋体" w:hAnsi="宋体"/>
          <w:szCs w:val="21"/>
        </w:rPr>
      </w:pPr>
      <w:r>
        <w:rPr>
          <w:rFonts w:hint="eastAsia" w:ascii="宋体" w:hAnsi="宋体"/>
          <w:szCs w:val="21"/>
        </w:rPr>
        <w:t>根据评标办法前附表中规定的分值设定、各项评分因素和相应的评分标准，对其他因素（如果有）进行评审和评分，并使用</w:t>
      </w:r>
      <w:r>
        <w:rPr>
          <w:rFonts w:hint="eastAsia" w:ascii="宋体" w:hAnsi="宋体"/>
          <w:b/>
          <w:szCs w:val="21"/>
        </w:rPr>
        <w:t>附表A-1</w:t>
      </w:r>
      <w:r>
        <w:rPr>
          <w:rFonts w:ascii="宋体" w:hAnsi="宋体"/>
          <w:b/>
          <w:szCs w:val="21"/>
        </w:rPr>
        <w:t>4</w:t>
      </w:r>
      <w:r>
        <w:rPr>
          <w:rFonts w:hint="eastAsia" w:ascii="宋体" w:hAnsi="宋体"/>
          <w:szCs w:val="21"/>
        </w:rPr>
        <w:t>记录对其他</w:t>
      </w:r>
      <w:r>
        <w:rPr>
          <w:rFonts w:hint="eastAsia"/>
        </w:rPr>
        <w:t>因素</w:t>
      </w:r>
      <w:r>
        <w:rPr>
          <w:rFonts w:hint="eastAsia" w:ascii="宋体" w:hAnsi="宋体"/>
          <w:szCs w:val="21"/>
        </w:rPr>
        <w:t>的评分结果，其他因素的得分记录为</w:t>
      </w:r>
      <w:r>
        <w:rPr>
          <w:rFonts w:hint="eastAsia" w:ascii="宋体" w:hAnsi="宋体"/>
          <w:b/>
          <w:szCs w:val="21"/>
        </w:rPr>
        <w:t>D</w:t>
      </w:r>
      <w:r>
        <w:rPr>
          <w:rFonts w:hint="eastAsia" w:ascii="宋体" w:hAnsi="宋体"/>
          <w:szCs w:val="21"/>
        </w:rPr>
        <w:t>。</w:t>
      </w:r>
    </w:p>
    <w:p w14:paraId="7014A81B">
      <w:pPr>
        <w:pStyle w:val="25"/>
        <w:rPr>
          <w:bCs/>
          <w:sz w:val="21"/>
          <w:szCs w:val="21"/>
        </w:rPr>
      </w:pPr>
      <w:bookmarkStart w:id="578" w:name="_Toc166326951"/>
      <w:bookmarkStart w:id="579" w:name="_Toc256000115"/>
      <w:bookmarkStart w:id="580" w:name="_Toc183107251"/>
      <w:bookmarkStart w:id="581" w:name="_Toc150507331"/>
      <w:bookmarkStart w:id="582" w:name="_Toc162103233"/>
      <w:r>
        <w:rPr>
          <w:rFonts w:hint="eastAsia"/>
          <w:bCs/>
          <w:sz w:val="21"/>
          <w:szCs w:val="21"/>
        </w:rPr>
        <w:t>A4.6 澄清、说明或补正</w:t>
      </w:r>
      <w:bookmarkEnd w:id="578"/>
      <w:bookmarkEnd w:id="579"/>
      <w:bookmarkEnd w:id="580"/>
      <w:bookmarkEnd w:id="581"/>
      <w:bookmarkEnd w:id="582"/>
    </w:p>
    <w:p w14:paraId="4AA7F8AF">
      <w:pPr>
        <w:spacing w:line="400" w:lineRule="exact"/>
        <w:ind w:firstLine="420" w:firstLineChars="200"/>
        <w:rPr>
          <w:rFonts w:hint="eastAsia" w:ascii="宋体" w:hAnsi="宋体"/>
          <w:szCs w:val="21"/>
        </w:rPr>
      </w:pPr>
      <w:r>
        <w:rPr>
          <w:rFonts w:hint="eastAsia" w:ascii="宋体" w:hAnsi="宋体"/>
          <w:szCs w:val="21"/>
        </w:rPr>
        <w:t>在详细评审过程中，评标委员会应当就投标文件中</w:t>
      </w:r>
      <w:r>
        <w:rPr>
          <w:rFonts w:hint="eastAsia"/>
        </w:rPr>
        <w:t>含义不明确、对同类问题表述不一致或者有明显文字和计算错误的内容</w:t>
      </w:r>
      <w:r>
        <w:rPr>
          <w:rFonts w:hint="eastAsia" w:ascii="宋体" w:hAnsi="宋体"/>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rPr>
        <w:t>通过电子招标投标系统（辽宁省工程建设项目数字化开标评标系统）以书面形式进行。</w:t>
      </w:r>
    </w:p>
    <w:p w14:paraId="149E1CAE">
      <w:pPr>
        <w:pStyle w:val="25"/>
        <w:rPr>
          <w:bCs/>
          <w:sz w:val="21"/>
          <w:szCs w:val="21"/>
        </w:rPr>
      </w:pPr>
      <w:bookmarkStart w:id="583" w:name="_Toc166326952"/>
      <w:bookmarkStart w:id="584" w:name="_Toc256000116"/>
      <w:bookmarkStart w:id="585" w:name="_Toc162103234"/>
      <w:bookmarkStart w:id="586" w:name="_Toc150507332"/>
      <w:bookmarkStart w:id="587" w:name="_Toc183107252"/>
      <w:r>
        <w:rPr>
          <w:rFonts w:hint="eastAsia"/>
          <w:bCs/>
          <w:sz w:val="21"/>
          <w:szCs w:val="21"/>
        </w:rPr>
        <w:t>A4.7汇总评分（评审）结果</w:t>
      </w:r>
      <w:bookmarkEnd w:id="583"/>
      <w:bookmarkEnd w:id="584"/>
      <w:bookmarkEnd w:id="585"/>
      <w:bookmarkEnd w:id="586"/>
      <w:bookmarkEnd w:id="587"/>
    </w:p>
    <w:p w14:paraId="4AAD2E7B">
      <w:pPr>
        <w:spacing w:line="400" w:lineRule="exact"/>
        <w:ind w:firstLine="420" w:firstLineChars="200"/>
        <w:rPr>
          <w:rFonts w:hint="eastAsia" w:ascii="宋体" w:hAnsi="宋体"/>
          <w:szCs w:val="21"/>
        </w:rPr>
      </w:pPr>
      <w:r>
        <w:rPr>
          <w:rFonts w:hint="eastAsia" w:ascii="宋体" w:hAnsi="宋体"/>
          <w:szCs w:val="21"/>
        </w:rPr>
        <w:t>评标委员会成员应按照</w:t>
      </w:r>
      <w:r>
        <w:rPr>
          <w:rFonts w:hint="eastAsia" w:ascii="宋体" w:hAnsi="宋体"/>
          <w:b/>
          <w:szCs w:val="21"/>
        </w:rPr>
        <w:t>附表A-1</w:t>
      </w:r>
      <w:r>
        <w:rPr>
          <w:rFonts w:ascii="宋体" w:hAnsi="宋体"/>
          <w:b/>
          <w:szCs w:val="21"/>
        </w:rPr>
        <w:t>5</w:t>
      </w:r>
      <w:r>
        <w:rPr>
          <w:rFonts w:hint="eastAsia" w:ascii="宋体" w:hAnsi="宋体"/>
          <w:szCs w:val="21"/>
        </w:rPr>
        <w:t>的格式汇总各个评标委员会成员的详细评审评分结果，并按照详细评审最终得分由高至低的次序对投标人进行排序。</w:t>
      </w:r>
    </w:p>
    <w:p w14:paraId="4D868A1C">
      <w:pPr>
        <w:pStyle w:val="25"/>
      </w:pPr>
      <w:bookmarkStart w:id="588" w:name="_Toc256000117"/>
      <w:bookmarkStart w:id="589" w:name="_Toc150507333"/>
      <w:bookmarkStart w:id="590" w:name="_Toc183107253"/>
      <w:bookmarkStart w:id="591" w:name="_Toc162103235"/>
      <w:bookmarkStart w:id="592" w:name="_Toc166326953"/>
      <w:r>
        <w:rPr>
          <w:rFonts w:hint="eastAsia"/>
        </w:rPr>
        <w:t>A5</w:t>
      </w:r>
      <w:r>
        <w:t>.</w:t>
      </w:r>
      <w:r>
        <w:rPr>
          <w:rFonts w:hint="eastAsia"/>
        </w:rPr>
        <w:t>推荐中标候选人或者直接确定中标人</w:t>
      </w:r>
      <w:bookmarkEnd w:id="588"/>
      <w:bookmarkEnd w:id="589"/>
      <w:bookmarkEnd w:id="590"/>
      <w:bookmarkEnd w:id="591"/>
      <w:bookmarkEnd w:id="592"/>
    </w:p>
    <w:p w14:paraId="77D8CCC3">
      <w:pPr>
        <w:pStyle w:val="25"/>
        <w:rPr>
          <w:bCs/>
          <w:sz w:val="21"/>
          <w:szCs w:val="21"/>
        </w:rPr>
      </w:pPr>
      <w:bookmarkStart w:id="593" w:name="_Toc150507334"/>
      <w:bookmarkStart w:id="594" w:name="_Toc256000118"/>
      <w:bookmarkStart w:id="595" w:name="_Toc183107254"/>
      <w:bookmarkStart w:id="596" w:name="_Toc166326954"/>
      <w:bookmarkStart w:id="597" w:name="_Toc162103236"/>
      <w:r>
        <w:rPr>
          <w:rFonts w:hint="eastAsia"/>
          <w:bCs/>
          <w:sz w:val="21"/>
          <w:szCs w:val="21"/>
        </w:rPr>
        <w:t>A5.1推荐中标候选人</w:t>
      </w:r>
      <w:bookmarkEnd w:id="593"/>
      <w:bookmarkEnd w:id="594"/>
      <w:bookmarkEnd w:id="595"/>
      <w:bookmarkEnd w:id="596"/>
      <w:bookmarkEnd w:id="597"/>
    </w:p>
    <w:p w14:paraId="78743EFE">
      <w:pPr>
        <w:spacing w:line="400" w:lineRule="exact"/>
        <w:ind w:firstLine="420" w:firstLineChars="200"/>
        <w:rPr>
          <w:rFonts w:hint="eastAsia" w:ascii="宋体" w:hAnsi="宋体"/>
          <w:szCs w:val="21"/>
        </w:rPr>
      </w:pPr>
      <w:r>
        <w:rPr>
          <w:rFonts w:hint="eastAsia" w:ascii="宋体" w:hAnsi="宋体"/>
          <w:szCs w:val="21"/>
        </w:rPr>
        <w:t>A5.1.1</w:t>
      </w:r>
      <w:r>
        <w:rPr>
          <w:rFonts w:hint="eastAsia"/>
        </w:rPr>
        <w:t>评标委员会按照本章评标办法前附表规定的推荐方法和第二章“投标人须知”前附表第7.1款推荐的中标候选人数量</w:t>
      </w:r>
      <w:r>
        <w:rPr>
          <w:rFonts w:hint="eastAsia" w:ascii="宋体" w:hAnsi="宋体"/>
          <w:szCs w:val="21"/>
        </w:rPr>
        <w:t>，按照</w:t>
      </w:r>
      <w:r>
        <w:rPr>
          <w:rFonts w:hint="eastAsia" w:ascii="宋体" w:hAnsi="宋体"/>
          <w:b/>
          <w:szCs w:val="21"/>
        </w:rPr>
        <w:t>附表A-1</w:t>
      </w:r>
      <w:r>
        <w:rPr>
          <w:rFonts w:ascii="宋体" w:hAnsi="宋体"/>
          <w:b/>
          <w:szCs w:val="21"/>
        </w:rPr>
        <w:t>7</w:t>
      </w:r>
      <w:r>
        <w:rPr>
          <w:rFonts w:hint="eastAsia" w:ascii="宋体" w:hAnsi="宋体"/>
          <w:bCs/>
          <w:szCs w:val="21"/>
        </w:rPr>
        <w:t>格式推荐中标候选人。</w:t>
      </w:r>
      <w:r>
        <w:rPr>
          <w:rFonts w:hint="eastAsia" w:ascii="宋体" w:hAnsi="宋体"/>
          <w:szCs w:val="21"/>
        </w:rPr>
        <w:t>评标委员会在推荐中标候选人时，应遵照以下原则:</w:t>
      </w:r>
    </w:p>
    <w:p w14:paraId="7FE04EBA">
      <w:pPr>
        <w:spacing w:line="400" w:lineRule="exact"/>
        <w:ind w:firstLine="420" w:firstLineChars="200"/>
        <w:rPr>
          <w:rFonts w:hint="eastAsia" w:ascii="宋体" w:hAnsi="宋体"/>
          <w:szCs w:val="21"/>
        </w:rPr>
      </w:pPr>
      <w:r>
        <w:rPr>
          <w:rFonts w:hint="eastAsia" w:ascii="宋体" w:hAnsi="宋体"/>
          <w:szCs w:val="21"/>
        </w:rPr>
        <w:t>（1）评标委员会按照</w:t>
      </w:r>
      <w:bookmarkStart w:id="598" w:name="_Hlk171344251"/>
      <w:r>
        <w:rPr>
          <w:rFonts w:hint="eastAsia"/>
        </w:rPr>
        <w:t>本章评标办法前附表规定的</w:t>
      </w:r>
      <w:r>
        <w:rPr>
          <w:rFonts w:hint="eastAsia" w:ascii="宋体" w:hAnsi="宋体"/>
          <w:szCs w:val="21"/>
        </w:rPr>
        <w:t>方法</w:t>
      </w:r>
      <w:bookmarkEnd w:id="598"/>
      <w:r>
        <w:rPr>
          <w:rFonts w:hint="eastAsia" w:ascii="宋体" w:hAnsi="宋体"/>
          <w:szCs w:val="21"/>
        </w:rPr>
        <w:t>推荐中标候选人。</w:t>
      </w:r>
      <w:r>
        <w:rPr>
          <w:rFonts w:hint="eastAsia"/>
        </w:rPr>
        <w:t>招标文件允许多标段投标、多标段中标的，各标段中标候选人的推荐按规定执行，对某些标段由此产生的空缺由排序在后的投标人依次替补。</w:t>
      </w:r>
    </w:p>
    <w:p w14:paraId="2070CCB4">
      <w:pPr>
        <w:spacing w:line="400" w:lineRule="exact"/>
        <w:ind w:firstLine="420" w:firstLineChars="200"/>
        <w:rPr>
          <w:rFonts w:hint="eastAsia" w:ascii="宋体" w:hAnsi="宋体"/>
          <w:szCs w:val="21"/>
        </w:rPr>
      </w:pPr>
      <w:r>
        <w:rPr>
          <w:rFonts w:hint="eastAsia" w:ascii="宋体" w:hAnsi="宋体"/>
          <w:szCs w:val="21"/>
        </w:rPr>
        <w:t>（2）如果评标委员会根据本章的规定否决有关投标后，有效投标不足三个，且少于第二章“投标人须知”前附表第7.1款规定的中标</w:t>
      </w:r>
      <w:r>
        <w:rPr>
          <w:rFonts w:hint="eastAsia"/>
        </w:rPr>
        <w:t>候选人</w:t>
      </w:r>
      <w:r>
        <w:rPr>
          <w:rFonts w:hint="eastAsia" w:ascii="宋体" w:hAnsi="宋体"/>
          <w:szCs w:val="21"/>
        </w:rPr>
        <w:t>数量的，</w:t>
      </w:r>
      <w:bookmarkStart w:id="599" w:name="_Hlk171344300"/>
      <w:r>
        <w:rPr>
          <w:rFonts w:hint="eastAsia" w:ascii="宋体" w:hAnsi="宋体"/>
          <w:szCs w:val="21"/>
        </w:rPr>
        <w:t>则评标委员会可以将所有有效投标人作为中标候选人向招标人推荐。</w:t>
      </w:r>
      <w:bookmarkEnd w:id="599"/>
      <w:r>
        <w:rPr>
          <w:rFonts w:hint="eastAsia" w:ascii="宋体" w:hAnsi="宋体"/>
          <w:szCs w:val="21"/>
        </w:rPr>
        <w:t>如果因有效投标不足三个使得投标明显缺乏竞争的，评标委员会可以否决所有投标，并建议招标人重新招标。</w:t>
      </w:r>
    </w:p>
    <w:p w14:paraId="25D30683">
      <w:pPr>
        <w:spacing w:line="400" w:lineRule="exact"/>
        <w:ind w:firstLine="420" w:firstLineChars="200"/>
        <w:rPr>
          <w:rFonts w:hint="eastAsia" w:ascii="宋体" w:hAnsi="宋体"/>
          <w:szCs w:val="21"/>
        </w:rPr>
      </w:pPr>
      <w:r>
        <w:rPr>
          <w:rFonts w:hint="eastAsia" w:ascii="宋体" w:hAnsi="宋体"/>
          <w:szCs w:val="21"/>
        </w:rPr>
        <w:t>A5.1.2投标人数量少于三个或者所有投标被否决的，招标人应当依法重新招标。</w:t>
      </w:r>
    </w:p>
    <w:p w14:paraId="11E17F28">
      <w:pPr>
        <w:pStyle w:val="25"/>
        <w:rPr>
          <w:bCs/>
          <w:sz w:val="21"/>
          <w:szCs w:val="21"/>
        </w:rPr>
      </w:pPr>
      <w:bookmarkStart w:id="600" w:name="_Toc166326955"/>
      <w:bookmarkStart w:id="601" w:name="_Toc150507335"/>
      <w:bookmarkStart w:id="602" w:name="_Toc162103237"/>
      <w:bookmarkStart w:id="603" w:name="_Toc256000119"/>
      <w:bookmarkStart w:id="604" w:name="_Toc183107255"/>
      <w:r>
        <w:rPr>
          <w:rFonts w:hint="eastAsia"/>
          <w:bCs/>
          <w:sz w:val="21"/>
          <w:szCs w:val="21"/>
        </w:rPr>
        <w:t>A5.2直接确定中标人</w:t>
      </w:r>
      <w:bookmarkEnd w:id="600"/>
      <w:bookmarkEnd w:id="601"/>
      <w:bookmarkEnd w:id="602"/>
      <w:bookmarkEnd w:id="603"/>
      <w:bookmarkEnd w:id="604"/>
    </w:p>
    <w:p w14:paraId="5AA38F36">
      <w:pPr>
        <w:spacing w:line="400" w:lineRule="exact"/>
        <w:ind w:firstLine="420" w:firstLineChars="200"/>
        <w:rPr>
          <w:rFonts w:hint="eastAsia" w:ascii="宋体" w:hAnsi="宋体"/>
          <w:szCs w:val="21"/>
        </w:rPr>
      </w:pPr>
      <w:r>
        <w:rPr>
          <w:rFonts w:hint="eastAsia" w:ascii="宋体" w:hAnsi="宋体"/>
          <w:szCs w:val="21"/>
        </w:rPr>
        <w:t>第二章“投标人须知”前附表授权评标委员会</w:t>
      </w:r>
      <w:r>
        <w:rPr>
          <w:rFonts w:hint="eastAsia"/>
        </w:rPr>
        <w:t>直接</w:t>
      </w:r>
      <w:r>
        <w:rPr>
          <w:rFonts w:hint="eastAsia" w:ascii="宋体" w:hAnsi="宋体"/>
          <w:szCs w:val="21"/>
        </w:rPr>
        <w:t>确定中标人的，评标委员会按照最终得分由高至低的次序排列。</w:t>
      </w:r>
    </w:p>
    <w:p w14:paraId="28142305">
      <w:pPr>
        <w:pStyle w:val="25"/>
        <w:rPr>
          <w:bCs/>
          <w:sz w:val="21"/>
          <w:szCs w:val="21"/>
        </w:rPr>
      </w:pPr>
      <w:bookmarkStart w:id="605" w:name="_Toc150507336"/>
      <w:bookmarkStart w:id="606" w:name="_Toc183107256"/>
      <w:bookmarkStart w:id="607" w:name="_Toc256000120"/>
      <w:bookmarkStart w:id="608" w:name="_Toc162103238"/>
      <w:bookmarkStart w:id="609" w:name="_Toc166326956"/>
      <w:r>
        <w:rPr>
          <w:rFonts w:hint="eastAsia"/>
          <w:bCs/>
          <w:sz w:val="21"/>
          <w:szCs w:val="21"/>
        </w:rPr>
        <w:t>A5.3编制评标报告</w:t>
      </w:r>
      <w:bookmarkEnd w:id="605"/>
      <w:bookmarkEnd w:id="606"/>
      <w:bookmarkEnd w:id="607"/>
      <w:bookmarkEnd w:id="608"/>
      <w:bookmarkEnd w:id="609"/>
    </w:p>
    <w:p w14:paraId="62403264">
      <w:pPr>
        <w:spacing w:line="400" w:lineRule="exact"/>
        <w:ind w:firstLine="420" w:firstLineChars="200"/>
        <w:rPr>
          <w:rFonts w:hint="eastAsia" w:ascii="宋体" w:hAnsi="宋体"/>
          <w:szCs w:val="21"/>
        </w:rPr>
      </w:pPr>
      <w:r>
        <w:rPr>
          <w:rFonts w:hint="eastAsia" w:ascii="宋体" w:hAnsi="宋体"/>
          <w:szCs w:val="21"/>
        </w:rPr>
        <w:t>评标委员会根据本章第3.4.2项的规定向</w:t>
      </w:r>
      <w:r>
        <w:rPr>
          <w:rFonts w:hint="eastAsia"/>
        </w:rPr>
        <w:t>招标</w:t>
      </w:r>
      <w:r>
        <w:rPr>
          <w:rFonts w:hint="eastAsia" w:ascii="宋体" w:hAnsi="宋体"/>
          <w:szCs w:val="21"/>
        </w:rPr>
        <w:t>人提交评标报告。评标报告应当由全体评标委员会成员签字，并于评标结束时抄送有关行政监督部门。评标报告应当包括以下内容：</w:t>
      </w:r>
    </w:p>
    <w:p w14:paraId="3E0D4820">
      <w:pPr>
        <w:spacing w:line="400" w:lineRule="exact"/>
        <w:ind w:firstLine="420" w:firstLineChars="200"/>
        <w:rPr>
          <w:rFonts w:hint="eastAsia" w:ascii="宋体" w:hAnsi="宋体"/>
          <w:szCs w:val="21"/>
        </w:rPr>
      </w:pPr>
      <w:r>
        <w:rPr>
          <w:rFonts w:hint="eastAsia" w:ascii="宋体" w:hAnsi="宋体"/>
          <w:szCs w:val="21"/>
        </w:rPr>
        <w:t>（1）基本情况和数据表；</w:t>
      </w:r>
    </w:p>
    <w:p w14:paraId="6E7B998F">
      <w:pPr>
        <w:spacing w:line="400" w:lineRule="exact"/>
        <w:ind w:firstLine="420" w:firstLineChars="200"/>
        <w:rPr>
          <w:rFonts w:hint="eastAsia" w:ascii="宋体" w:hAnsi="宋体"/>
          <w:szCs w:val="21"/>
        </w:rPr>
      </w:pPr>
      <w:r>
        <w:rPr>
          <w:rFonts w:hint="eastAsia" w:ascii="宋体" w:hAnsi="宋体"/>
          <w:szCs w:val="21"/>
        </w:rPr>
        <w:t>（2）评标委员会成员名单；</w:t>
      </w:r>
    </w:p>
    <w:p w14:paraId="3E0760B7">
      <w:pPr>
        <w:spacing w:line="400" w:lineRule="exact"/>
        <w:ind w:firstLine="420" w:firstLineChars="200"/>
        <w:rPr>
          <w:rFonts w:hint="eastAsia" w:ascii="宋体" w:hAnsi="宋体"/>
          <w:szCs w:val="21"/>
        </w:rPr>
      </w:pPr>
      <w:r>
        <w:rPr>
          <w:rFonts w:hint="eastAsia" w:ascii="宋体" w:hAnsi="宋体"/>
          <w:szCs w:val="21"/>
        </w:rPr>
        <w:t>（3）开标记录；</w:t>
      </w:r>
    </w:p>
    <w:p w14:paraId="38E7547A">
      <w:pPr>
        <w:spacing w:line="400" w:lineRule="exact"/>
        <w:ind w:firstLine="420" w:firstLineChars="200"/>
        <w:rPr>
          <w:rFonts w:hint="eastAsia" w:ascii="宋体" w:hAnsi="宋体"/>
          <w:szCs w:val="21"/>
        </w:rPr>
      </w:pPr>
      <w:r>
        <w:rPr>
          <w:rFonts w:hint="eastAsia" w:ascii="宋体" w:hAnsi="宋体"/>
          <w:szCs w:val="21"/>
        </w:rPr>
        <w:t>（4）通过初步评审的投标人一览表；</w:t>
      </w:r>
    </w:p>
    <w:p w14:paraId="55ED459F">
      <w:pPr>
        <w:spacing w:line="400" w:lineRule="exact"/>
        <w:ind w:firstLine="420" w:firstLineChars="200"/>
        <w:rPr>
          <w:rFonts w:hint="eastAsia" w:ascii="宋体" w:hAnsi="宋体"/>
          <w:szCs w:val="21"/>
        </w:rPr>
      </w:pPr>
      <w:r>
        <w:rPr>
          <w:rFonts w:hint="eastAsia" w:ascii="宋体" w:hAnsi="宋体"/>
          <w:szCs w:val="21"/>
        </w:rPr>
        <w:t>（5）被否决投标的情况说明；</w:t>
      </w:r>
    </w:p>
    <w:p w14:paraId="43607F01">
      <w:pPr>
        <w:spacing w:line="400" w:lineRule="exact"/>
        <w:ind w:firstLine="420" w:firstLineChars="200"/>
        <w:rPr>
          <w:rFonts w:hint="eastAsia" w:ascii="宋体" w:hAnsi="宋体"/>
          <w:szCs w:val="21"/>
        </w:rPr>
      </w:pPr>
      <w:r>
        <w:rPr>
          <w:rFonts w:hint="eastAsia" w:ascii="宋体" w:hAnsi="宋体"/>
          <w:szCs w:val="21"/>
        </w:rPr>
        <w:t>（6）评标标准、评标方法或者评标</w:t>
      </w:r>
      <w:r>
        <w:rPr>
          <w:rFonts w:hint="eastAsia"/>
        </w:rPr>
        <w:t>因素</w:t>
      </w:r>
      <w:r>
        <w:rPr>
          <w:rFonts w:hint="eastAsia" w:ascii="宋体" w:hAnsi="宋体"/>
          <w:szCs w:val="21"/>
        </w:rPr>
        <w:t>一览表；</w:t>
      </w:r>
    </w:p>
    <w:p w14:paraId="4222EDCA">
      <w:pPr>
        <w:spacing w:line="400" w:lineRule="exact"/>
        <w:ind w:firstLine="420" w:firstLineChars="200"/>
        <w:rPr>
          <w:rFonts w:hint="eastAsia" w:ascii="宋体" w:hAnsi="宋体"/>
          <w:szCs w:val="21"/>
        </w:rPr>
      </w:pPr>
      <w:r>
        <w:rPr>
          <w:rFonts w:hint="eastAsia" w:ascii="宋体" w:hAnsi="宋体"/>
          <w:szCs w:val="21"/>
        </w:rPr>
        <w:t>（7）经评审的价格一览表（包括评标委员会在评标过程中所形成的所有记载评标结果、结论的表格、说明、记录等文件）；</w:t>
      </w:r>
    </w:p>
    <w:p w14:paraId="03798BCE">
      <w:pPr>
        <w:spacing w:line="400" w:lineRule="exact"/>
        <w:ind w:firstLine="420" w:firstLineChars="200"/>
        <w:rPr>
          <w:rFonts w:hint="eastAsia" w:ascii="宋体" w:hAnsi="宋体"/>
          <w:szCs w:val="21"/>
        </w:rPr>
      </w:pPr>
      <w:r>
        <w:rPr>
          <w:rFonts w:hint="eastAsia" w:ascii="宋体" w:hAnsi="宋体"/>
          <w:szCs w:val="21"/>
        </w:rPr>
        <w:t>（8）经评审的投标人排序；</w:t>
      </w:r>
    </w:p>
    <w:p w14:paraId="5A8766E7">
      <w:pPr>
        <w:spacing w:line="400" w:lineRule="exact"/>
        <w:ind w:firstLine="420" w:firstLineChars="200"/>
        <w:rPr>
          <w:rFonts w:hint="eastAsia" w:ascii="宋体" w:hAnsi="宋体"/>
          <w:szCs w:val="21"/>
        </w:rPr>
      </w:pPr>
      <w:r>
        <w:rPr>
          <w:rFonts w:hint="eastAsia" w:ascii="宋体" w:hAnsi="宋体"/>
          <w:szCs w:val="21"/>
        </w:rPr>
        <w:t>（9）推荐的中标候选人名单（</w:t>
      </w:r>
      <w:r>
        <w:rPr>
          <w:rFonts w:hint="eastAsia"/>
        </w:rPr>
        <w:t>如果</w:t>
      </w:r>
      <w:r>
        <w:rPr>
          <w:rFonts w:hint="eastAsia" w:ascii="宋体" w:hAnsi="宋体"/>
          <w:szCs w:val="21"/>
        </w:rPr>
        <w:t>第二章“投标人须知”前附表授权评标委员会直接确定中标人，则为“确定的中标人”）与签订合同前要</w:t>
      </w:r>
      <w:r>
        <w:rPr>
          <w:rFonts w:hint="eastAsia"/>
        </w:rPr>
        <w:t>处理</w:t>
      </w:r>
      <w:r>
        <w:rPr>
          <w:rFonts w:hint="eastAsia" w:ascii="宋体" w:hAnsi="宋体"/>
          <w:szCs w:val="21"/>
        </w:rPr>
        <w:t>的事宜；</w:t>
      </w:r>
    </w:p>
    <w:p w14:paraId="3850B43C">
      <w:pPr>
        <w:spacing w:line="400" w:lineRule="exact"/>
        <w:ind w:firstLine="420" w:firstLineChars="200"/>
        <w:rPr>
          <w:rFonts w:hint="eastAsia" w:ascii="宋体" w:hAnsi="宋体"/>
          <w:szCs w:val="21"/>
        </w:rPr>
      </w:pPr>
      <w:r>
        <w:rPr>
          <w:rFonts w:hint="eastAsia" w:ascii="宋体" w:hAnsi="宋体"/>
          <w:szCs w:val="21"/>
        </w:rPr>
        <w:t>（10）澄清、说明、补正事项纪要。</w:t>
      </w:r>
    </w:p>
    <w:p w14:paraId="4C54E006">
      <w:pPr>
        <w:pStyle w:val="25"/>
      </w:pPr>
      <w:bookmarkStart w:id="610" w:name="_Toc162103239"/>
      <w:bookmarkStart w:id="611" w:name="_Toc183107257"/>
      <w:bookmarkStart w:id="612" w:name="_Toc166326957"/>
      <w:bookmarkStart w:id="613" w:name="_Toc150507337"/>
      <w:bookmarkStart w:id="614" w:name="_Toc256000121"/>
      <w:r>
        <w:rPr>
          <w:rFonts w:hint="eastAsia"/>
        </w:rPr>
        <w:t>A6.特殊情况的处置程序</w:t>
      </w:r>
      <w:bookmarkEnd w:id="610"/>
      <w:bookmarkEnd w:id="611"/>
      <w:bookmarkEnd w:id="612"/>
      <w:bookmarkEnd w:id="613"/>
      <w:bookmarkEnd w:id="614"/>
    </w:p>
    <w:p w14:paraId="65F1AC08">
      <w:pPr>
        <w:pStyle w:val="25"/>
        <w:rPr>
          <w:bCs/>
          <w:sz w:val="21"/>
          <w:szCs w:val="21"/>
        </w:rPr>
      </w:pPr>
      <w:bookmarkStart w:id="615" w:name="_Toc256000122"/>
      <w:bookmarkStart w:id="616" w:name="_Toc162103240"/>
      <w:bookmarkStart w:id="617" w:name="_Toc166326958"/>
      <w:bookmarkStart w:id="618" w:name="_Toc183107258"/>
      <w:bookmarkStart w:id="619" w:name="_Toc150507338"/>
      <w:r>
        <w:rPr>
          <w:rFonts w:hint="eastAsia"/>
          <w:bCs/>
          <w:sz w:val="21"/>
          <w:szCs w:val="21"/>
        </w:rPr>
        <w:t>A6.1暗标评审的评审程序规定（适用于对技术标进行暗标评审的）</w:t>
      </w:r>
      <w:bookmarkEnd w:id="615"/>
      <w:bookmarkEnd w:id="616"/>
      <w:bookmarkEnd w:id="617"/>
      <w:bookmarkEnd w:id="618"/>
      <w:bookmarkEnd w:id="619"/>
    </w:p>
    <w:p w14:paraId="7B272210">
      <w:pPr>
        <w:spacing w:line="400" w:lineRule="exact"/>
        <w:ind w:firstLine="420" w:firstLineChars="200"/>
        <w:rPr>
          <w:rFonts w:hint="eastAsia" w:ascii="宋体" w:hAnsi="宋体"/>
          <w:szCs w:val="21"/>
        </w:rPr>
      </w:pPr>
      <w:r>
        <w:rPr>
          <w:rFonts w:hint="eastAsia" w:ascii="宋体" w:hAnsi="宋体"/>
          <w:szCs w:val="21"/>
        </w:rPr>
        <w:t>如果第二章“投标人须知”前附表第</w:t>
      </w:r>
      <w:r>
        <w:rPr>
          <w:rFonts w:hint="eastAsia"/>
        </w:rPr>
        <w:t>3.7.4</w:t>
      </w:r>
      <w:r>
        <w:rPr>
          <w:rFonts w:hint="eastAsia" w:ascii="宋体" w:hAnsi="宋体"/>
          <w:szCs w:val="21"/>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19F3C287">
      <w:pPr>
        <w:pStyle w:val="25"/>
        <w:rPr>
          <w:bCs/>
          <w:sz w:val="21"/>
          <w:szCs w:val="21"/>
        </w:rPr>
      </w:pPr>
      <w:bookmarkStart w:id="620" w:name="_Toc150507339"/>
      <w:bookmarkStart w:id="621" w:name="_Toc162103241"/>
      <w:bookmarkStart w:id="622" w:name="_Toc166326959"/>
      <w:bookmarkStart w:id="623" w:name="_Toc256000123"/>
      <w:bookmarkStart w:id="624" w:name="_Toc183107259"/>
      <w:r>
        <w:rPr>
          <w:rFonts w:hint="eastAsia"/>
          <w:bCs/>
          <w:sz w:val="21"/>
          <w:szCs w:val="21"/>
        </w:rPr>
        <w:t>A6.2关于评标活动暂停</w:t>
      </w:r>
      <w:bookmarkEnd w:id="620"/>
      <w:bookmarkEnd w:id="621"/>
      <w:bookmarkEnd w:id="622"/>
      <w:bookmarkEnd w:id="623"/>
      <w:bookmarkEnd w:id="624"/>
    </w:p>
    <w:p w14:paraId="0FE8CDA7">
      <w:pPr>
        <w:spacing w:line="400" w:lineRule="exact"/>
        <w:ind w:firstLine="420" w:firstLineChars="200"/>
        <w:rPr>
          <w:rFonts w:hint="eastAsia" w:ascii="宋体" w:hAnsi="宋体"/>
          <w:szCs w:val="21"/>
        </w:rPr>
      </w:pPr>
      <w:r>
        <w:rPr>
          <w:rFonts w:hint="eastAsia" w:ascii="宋体" w:hAnsi="宋体"/>
          <w:szCs w:val="21"/>
        </w:rPr>
        <w:t>A6.2.1评标委员会应当执行连续评标的原则，按评标办法中规定的程序、内容、方法、标准完成全部评标工作。只有发生不可抗力导致评标</w:t>
      </w:r>
      <w:r>
        <w:rPr>
          <w:rFonts w:hint="eastAsia"/>
        </w:rPr>
        <w:t>工作</w:t>
      </w:r>
      <w:r>
        <w:rPr>
          <w:rFonts w:hint="eastAsia" w:ascii="宋体" w:hAnsi="宋体"/>
          <w:szCs w:val="21"/>
        </w:rPr>
        <w:t>无法继续时，评标活动方可暂停。</w:t>
      </w:r>
    </w:p>
    <w:p w14:paraId="4B64889D">
      <w:pPr>
        <w:spacing w:line="400" w:lineRule="exact"/>
        <w:ind w:firstLine="420" w:firstLineChars="200"/>
        <w:rPr>
          <w:rFonts w:hint="eastAsia" w:ascii="宋体" w:hAnsi="宋体"/>
          <w:szCs w:val="21"/>
        </w:rPr>
      </w:pPr>
      <w:r>
        <w:rPr>
          <w:rFonts w:hint="eastAsia" w:ascii="宋体" w:hAnsi="宋体"/>
          <w:szCs w:val="21"/>
        </w:rPr>
        <w:t>A6.2.2发生评标暂停情况时，评标委员会应当封存全部投标文件和评标记录，待不可抗力的影响结束且具备继续评标的条件时，由原评标委员会继续评标。</w:t>
      </w:r>
    </w:p>
    <w:p w14:paraId="45484289">
      <w:pPr>
        <w:pStyle w:val="25"/>
        <w:rPr>
          <w:bCs/>
          <w:sz w:val="21"/>
          <w:szCs w:val="21"/>
        </w:rPr>
      </w:pPr>
      <w:bookmarkStart w:id="625" w:name="_Toc256000124"/>
      <w:bookmarkStart w:id="626" w:name="_Toc183107260"/>
      <w:bookmarkStart w:id="627" w:name="_Toc162103242"/>
      <w:bookmarkStart w:id="628" w:name="_Toc166326960"/>
      <w:bookmarkStart w:id="629" w:name="_Toc150507340"/>
      <w:r>
        <w:rPr>
          <w:rFonts w:hint="eastAsia"/>
          <w:bCs/>
          <w:sz w:val="21"/>
          <w:szCs w:val="21"/>
        </w:rPr>
        <w:t>A6.3关于评标中途更换评标委员会成员</w:t>
      </w:r>
      <w:bookmarkEnd w:id="625"/>
      <w:bookmarkEnd w:id="626"/>
      <w:bookmarkEnd w:id="627"/>
      <w:bookmarkEnd w:id="628"/>
      <w:bookmarkEnd w:id="629"/>
    </w:p>
    <w:p w14:paraId="732ABD85">
      <w:pPr>
        <w:spacing w:line="400" w:lineRule="exact"/>
        <w:ind w:firstLine="420" w:firstLineChars="200"/>
        <w:rPr>
          <w:rFonts w:hint="eastAsia" w:ascii="宋体" w:hAnsi="宋体"/>
          <w:szCs w:val="21"/>
        </w:rPr>
      </w:pPr>
      <w:r>
        <w:rPr>
          <w:rFonts w:hint="eastAsia" w:ascii="宋体" w:hAnsi="宋体"/>
          <w:szCs w:val="21"/>
        </w:rPr>
        <w:t>A6.3.1除非发生下列情况之一，评标委员会成员</w:t>
      </w:r>
      <w:r>
        <w:rPr>
          <w:rFonts w:hint="eastAsia"/>
        </w:rPr>
        <w:t>不得</w:t>
      </w:r>
      <w:r>
        <w:rPr>
          <w:rFonts w:hint="eastAsia" w:ascii="宋体" w:hAnsi="宋体"/>
          <w:szCs w:val="21"/>
        </w:rPr>
        <w:t>在评标中途更换：</w:t>
      </w:r>
    </w:p>
    <w:p w14:paraId="31091F7F">
      <w:pPr>
        <w:spacing w:line="400" w:lineRule="exact"/>
        <w:ind w:firstLine="420" w:firstLineChars="200"/>
        <w:rPr>
          <w:rFonts w:hint="eastAsia" w:ascii="宋体" w:hAnsi="宋体"/>
          <w:szCs w:val="21"/>
        </w:rPr>
      </w:pPr>
      <w:r>
        <w:rPr>
          <w:rFonts w:hint="eastAsia" w:ascii="宋体" w:hAnsi="宋体"/>
          <w:szCs w:val="21"/>
        </w:rPr>
        <w:t>（1）因不可抗拒的客观原因，不能到场或需在评标</w:t>
      </w:r>
      <w:r>
        <w:rPr>
          <w:rFonts w:hint="eastAsia"/>
        </w:rPr>
        <w:t>中途</w:t>
      </w:r>
      <w:r>
        <w:rPr>
          <w:rFonts w:hint="eastAsia" w:ascii="宋体" w:hAnsi="宋体"/>
          <w:szCs w:val="21"/>
        </w:rPr>
        <w:t>退出评标活动。</w:t>
      </w:r>
    </w:p>
    <w:p w14:paraId="0BE3C012">
      <w:pPr>
        <w:spacing w:line="400" w:lineRule="exact"/>
        <w:ind w:firstLine="420" w:firstLineChars="200"/>
        <w:rPr>
          <w:rFonts w:hint="eastAsia" w:ascii="宋体" w:hAnsi="宋体"/>
          <w:szCs w:val="21"/>
        </w:rPr>
      </w:pPr>
      <w:r>
        <w:rPr>
          <w:rFonts w:hint="eastAsia" w:ascii="宋体" w:hAnsi="宋体"/>
          <w:szCs w:val="21"/>
        </w:rPr>
        <w:t>（2）根据法律法规规定，某个或某几个评标委员会</w:t>
      </w:r>
      <w:r>
        <w:rPr>
          <w:rFonts w:hint="eastAsia"/>
        </w:rPr>
        <w:t>成员</w:t>
      </w:r>
      <w:r>
        <w:rPr>
          <w:rFonts w:hint="eastAsia" w:ascii="宋体" w:hAnsi="宋体"/>
          <w:szCs w:val="21"/>
        </w:rPr>
        <w:t>需要回避。</w:t>
      </w:r>
    </w:p>
    <w:p w14:paraId="4ECD5DAD">
      <w:pPr>
        <w:spacing w:line="400" w:lineRule="exact"/>
        <w:ind w:firstLine="420" w:firstLineChars="200"/>
        <w:rPr>
          <w:rFonts w:hint="eastAsia" w:ascii="宋体" w:hAnsi="宋体"/>
          <w:szCs w:val="21"/>
        </w:rPr>
      </w:pPr>
      <w:r>
        <w:rPr>
          <w:rFonts w:hint="eastAsia" w:ascii="宋体" w:hAnsi="宋体"/>
          <w:szCs w:val="21"/>
        </w:rPr>
        <w:t>A6.3.2退出评标的评标委员会成员，其已完成的</w:t>
      </w:r>
      <w:r>
        <w:rPr>
          <w:rFonts w:hint="eastAsia"/>
        </w:rPr>
        <w:t>评标</w:t>
      </w:r>
      <w:r>
        <w:rPr>
          <w:rFonts w:hint="eastAsia" w:ascii="宋体" w:hAnsi="宋体"/>
          <w:szCs w:val="21"/>
        </w:rPr>
        <w:t>行为无效。由招标人根据本招标文件规定的评标委员会成员生产方式另行确定替代者进行评标。</w:t>
      </w:r>
    </w:p>
    <w:p w14:paraId="2CF8F433">
      <w:pPr>
        <w:pStyle w:val="25"/>
        <w:rPr>
          <w:bCs/>
          <w:sz w:val="21"/>
          <w:szCs w:val="21"/>
        </w:rPr>
      </w:pPr>
      <w:bookmarkStart w:id="630" w:name="_Toc162103243"/>
      <w:bookmarkStart w:id="631" w:name="_Toc150507341"/>
      <w:bookmarkStart w:id="632" w:name="_Toc183107261"/>
      <w:bookmarkStart w:id="633" w:name="_Toc256000125"/>
      <w:bookmarkStart w:id="634" w:name="_Toc166326961"/>
      <w:r>
        <w:rPr>
          <w:rFonts w:hint="eastAsia"/>
          <w:bCs/>
          <w:sz w:val="21"/>
          <w:szCs w:val="21"/>
        </w:rPr>
        <w:t>A6.4 评标争议处理</w:t>
      </w:r>
      <w:bookmarkEnd w:id="630"/>
      <w:bookmarkEnd w:id="631"/>
      <w:bookmarkEnd w:id="632"/>
      <w:bookmarkEnd w:id="633"/>
      <w:bookmarkEnd w:id="634"/>
    </w:p>
    <w:p w14:paraId="752E25B0">
      <w:pPr>
        <w:spacing w:line="400" w:lineRule="exact"/>
        <w:ind w:firstLine="420" w:firstLineChars="200"/>
        <w:rPr>
          <w:rFonts w:hint="eastAsia" w:ascii="宋体" w:hAnsi="宋体"/>
          <w:szCs w:val="21"/>
        </w:rPr>
      </w:pPr>
      <w:r>
        <w:rPr>
          <w:rFonts w:hint="eastAsia" w:ascii="宋体" w:hAnsi="宋体"/>
          <w:szCs w:val="21"/>
        </w:rPr>
        <w:t>A6.4.1评标委员会全体成员应独立评审，对所</w:t>
      </w:r>
      <w:r>
        <w:rPr>
          <w:rFonts w:hint="eastAsia"/>
        </w:rPr>
        <w:t>提出</w:t>
      </w:r>
      <w:r>
        <w:rPr>
          <w:rFonts w:hint="eastAsia" w:ascii="宋体" w:hAnsi="宋体"/>
          <w:szCs w:val="21"/>
        </w:rPr>
        <w:t>的评审意见承担个人责任。</w:t>
      </w:r>
    </w:p>
    <w:p w14:paraId="473B3B73">
      <w:pPr>
        <w:spacing w:line="400" w:lineRule="exact"/>
        <w:ind w:firstLine="420" w:firstLineChars="200"/>
        <w:rPr>
          <w:rFonts w:hint="eastAsia" w:ascii="宋体" w:hAnsi="宋体"/>
          <w:szCs w:val="21"/>
        </w:rPr>
      </w:pPr>
      <w:r>
        <w:rPr>
          <w:rFonts w:hint="eastAsia" w:ascii="宋体" w:hAnsi="宋体"/>
          <w:szCs w:val="21"/>
        </w:rPr>
        <w:t>A6.4.2在任何评标环节中，需评标委员会就某项</w:t>
      </w:r>
      <w:r>
        <w:rPr>
          <w:rFonts w:hint="eastAsia"/>
        </w:rPr>
        <w:t>定性</w:t>
      </w:r>
      <w:r>
        <w:rPr>
          <w:rFonts w:hint="eastAsia" w:ascii="宋体" w:hAnsi="宋体"/>
          <w:szCs w:val="21"/>
        </w:rPr>
        <w:t>的评审结论做出表决的，由评标委员会全体成员按照少数服从多数的原则，以记名投票方式表决。表决不得违背法律、法规、规章和招标文件的规定。</w:t>
      </w:r>
    </w:p>
    <w:p w14:paraId="517733E5">
      <w:pPr>
        <w:spacing w:line="400" w:lineRule="exact"/>
        <w:ind w:firstLine="420" w:firstLineChars="200"/>
        <w:rPr>
          <w:rFonts w:hint="eastAsia" w:ascii="宋体" w:hAnsi="宋体"/>
          <w:szCs w:val="21"/>
          <w:bdr w:val="single" w:color="auto" w:sz="4" w:space="0"/>
        </w:rPr>
      </w:pPr>
      <w:r>
        <w:rPr>
          <w:rFonts w:hint="eastAsia" w:ascii="宋体" w:hAnsi="宋体"/>
          <w:szCs w:val="21"/>
        </w:rPr>
        <w:t>A6.4.</w:t>
      </w:r>
      <w:r>
        <w:rPr>
          <w:rFonts w:ascii="宋体" w:hAnsi="宋体"/>
          <w:szCs w:val="21"/>
        </w:rPr>
        <w:t>3</w:t>
      </w:r>
      <w:r>
        <w:rPr>
          <w:rFonts w:hint="eastAsia"/>
        </w:rPr>
        <w:t>评标委员会成员对书面决议或评审结论持有异议的，</w:t>
      </w:r>
      <w:r>
        <w:rPr>
          <w:rFonts w:hint="eastAsia" w:ascii="宋体" w:hAnsi="宋体"/>
        </w:rPr>
        <w:t>可以</w:t>
      </w:r>
      <w:r>
        <w:rPr>
          <w:rFonts w:hint="eastAsia"/>
        </w:rPr>
        <w:t>书面阐述其不同意见和理由。拒绝在书面决议或评标报告上签名，且不陈述其不同意见和理由的，视为同意书面决议或评标结论，评标委员会应当</w:t>
      </w:r>
      <w:r>
        <w:rPr>
          <w:rFonts w:hint="eastAsia" w:ascii="宋体" w:hAnsi="宋体"/>
        </w:rPr>
        <w:t>对此</w:t>
      </w:r>
      <w:r>
        <w:rPr>
          <w:rFonts w:hint="eastAsia"/>
        </w:rPr>
        <w:t>在评标报告中做出书面说明。</w:t>
      </w:r>
    </w:p>
    <w:p w14:paraId="458529CE">
      <w:pPr>
        <w:pStyle w:val="25"/>
      </w:pPr>
      <w:bookmarkStart w:id="635" w:name="_Toc150507342"/>
      <w:bookmarkStart w:id="636" w:name="_Toc166326962"/>
      <w:bookmarkStart w:id="637" w:name="_Toc256000126"/>
      <w:bookmarkStart w:id="638" w:name="_Toc162103244"/>
      <w:bookmarkStart w:id="639" w:name="_Toc183107262"/>
      <w:r>
        <w:rPr>
          <w:rFonts w:hint="eastAsia"/>
        </w:rPr>
        <w:t>A7.补充条款</w:t>
      </w:r>
      <w:bookmarkEnd w:id="635"/>
      <w:bookmarkEnd w:id="636"/>
      <w:bookmarkEnd w:id="637"/>
      <w:bookmarkEnd w:id="638"/>
      <w:bookmarkEnd w:id="639"/>
    </w:p>
    <w:p w14:paraId="28AB2BAF">
      <w:pPr>
        <w:adjustRightInd w:val="0"/>
        <w:snapToGrid w:val="0"/>
        <w:spacing w:line="440" w:lineRule="exact"/>
        <w:ind w:firstLine="420" w:firstLineChars="200"/>
        <w:rPr>
          <w:rFonts w:hint="eastAsia" w:ascii="宋体" w:hAnsi="宋体"/>
          <w:szCs w:val="21"/>
        </w:rPr>
      </w:pPr>
      <w:r>
        <w:rPr>
          <w:rFonts w:hint="eastAsia" w:ascii="宋体" w:hAnsi="宋体"/>
          <w:szCs w:val="21"/>
        </w:rPr>
        <w:t>……</w:t>
      </w:r>
    </w:p>
    <w:bookmarkEnd w:id="465"/>
    <w:bookmarkEnd w:id="471"/>
    <w:p w14:paraId="47240782">
      <w:pPr>
        <w:adjustRightInd w:val="0"/>
        <w:snapToGrid w:val="0"/>
        <w:spacing w:line="440" w:lineRule="exact"/>
        <w:ind w:firstLine="420" w:firstLineChars="200"/>
        <w:rPr>
          <w:rFonts w:hint="eastAsia" w:ascii="宋体" w:hAnsi="宋体"/>
          <w:szCs w:val="21"/>
        </w:rPr>
      </w:pPr>
      <w:r>
        <w:rPr>
          <w:rFonts w:ascii="宋体" w:hAnsi="宋体"/>
          <w:szCs w:val="21"/>
        </w:rPr>
        <w:br w:type="page"/>
      </w:r>
    </w:p>
    <w:p w14:paraId="57C538E8">
      <w:pPr>
        <w:adjustRightInd w:val="0"/>
        <w:snapToGrid w:val="0"/>
        <w:spacing w:line="440" w:lineRule="exact"/>
        <w:ind w:firstLine="420" w:firstLineChars="200"/>
        <w:rPr>
          <w:rFonts w:hint="eastAsia" w:ascii="宋体" w:hAnsi="宋体"/>
          <w:szCs w:val="21"/>
        </w:rPr>
        <w:sectPr>
          <w:type w:val="continuous"/>
          <w:pgSz w:w="11906" w:h="16838"/>
          <w:pgMar w:top="1440" w:right="1797" w:bottom="1440" w:left="1797" w:header="851" w:footer="851" w:gutter="0"/>
          <w:cols w:space="720" w:num="1"/>
          <w:docGrid w:linePitch="312" w:charSpace="0"/>
        </w:sectPr>
      </w:pPr>
    </w:p>
    <w:p w14:paraId="14C840DB">
      <w:pPr>
        <w:pStyle w:val="3"/>
        <w:rPr>
          <w:b w:val="0"/>
          <w:sz w:val="24"/>
          <w:szCs w:val="24"/>
        </w:rPr>
      </w:pPr>
      <w:bookmarkStart w:id="640" w:name="_Toc256000127"/>
      <w:bookmarkStart w:id="641" w:name="_Toc183107263"/>
      <w:r>
        <w:rPr>
          <w:rFonts w:hint="eastAsia"/>
          <w:b w:val="0"/>
          <w:sz w:val="24"/>
          <w:szCs w:val="24"/>
        </w:rPr>
        <w:t>附件B：否决投标的条件</w:t>
      </w:r>
      <w:bookmarkEnd w:id="640"/>
      <w:bookmarkEnd w:id="641"/>
    </w:p>
    <w:p w14:paraId="1FEA6D30">
      <w:pPr>
        <w:jc w:val="center"/>
        <w:rPr>
          <w:rFonts w:ascii="黑体" w:eastAsia="黑体"/>
          <w:b/>
          <w:sz w:val="28"/>
          <w:szCs w:val="28"/>
        </w:rPr>
      </w:pPr>
      <w:r>
        <w:rPr>
          <w:rFonts w:hint="eastAsia" w:ascii="黑体" w:eastAsia="黑体"/>
          <w:b/>
          <w:sz w:val="28"/>
          <w:szCs w:val="28"/>
        </w:rPr>
        <w:t>否决投标的条件</w:t>
      </w:r>
    </w:p>
    <w:p w14:paraId="2661D102">
      <w:pPr>
        <w:pStyle w:val="25"/>
      </w:pPr>
      <w:bookmarkStart w:id="642" w:name="_Toc256000128"/>
      <w:bookmarkStart w:id="643" w:name="_Toc166326964"/>
      <w:bookmarkStart w:id="644" w:name="_Toc183107264"/>
      <w:bookmarkStart w:id="645" w:name="_Toc150507344"/>
      <w:r>
        <w:rPr>
          <w:rFonts w:hint="eastAsia"/>
        </w:rPr>
        <w:t>B0.总  则</w:t>
      </w:r>
      <w:bookmarkEnd w:id="642"/>
      <w:bookmarkEnd w:id="643"/>
      <w:bookmarkEnd w:id="644"/>
      <w:bookmarkEnd w:id="645"/>
    </w:p>
    <w:p w14:paraId="00F121EA">
      <w:pPr>
        <w:spacing w:line="430" w:lineRule="exact"/>
        <w:ind w:firstLine="420" w:firstLineChars="200"/>
        <w:rPr>
          <w:rFonts w:hint="eastAsia" w:ascii="宋体" w:hAnsi="宋体"/>
        </w:rPr>
      </w:pPr>
      <w:r>
        <w:rPr>
          <w:rFonts w:hint="eastAsia" w:ascii="宋体" w:hAnsi="宋体"/>
        </w:rPr>
        <w:t>本附件所集中列示的否决投标的条件，是本章“评标办法”的组成部分，是对第二章“投标人须知”和本章正文部分所规定的否决投标的条件的总结和补充，如果出现不一致的情况，</w:t>
      </w:r>
      <w:r>
        <w:rPr>
          <w:rFonts w:hint="eastAsia"/>
        </w:rPr>
        <w:t>以本章前附表和正文部分的规定为准。</w:t>
      </w:r>
    </w:p>
    <w:p w14:paraId="27653223">
      <w:pPr>
        <w:pStyle w:val="25"/>
      </w:pPr>
      <w:bookmarkStart w:id="646" w:name="_Toc256000129"/>
      <w:bookmarkStart w:id="647" w:name="_Toc183107265"/>
      <w:bookmarkStart w:id="648" w:name="_Toc166326965"/>
      <w:bookmarkStart w:id="649" w:name="_Toc150507345"/>
      <w:r>
        <w:rPr>
          <w:rFonts w:hint="eastAsia"/>
        </w:rPr>
        <w:t>B1</w:t>
      </w:r>
      <w:r>
        <w:t>.</w:t>
      </w:r>
      <w:r>
        <w:rPr>
          <w:rFonts w:hint="eastAsia"/>
        </w:rPr>
        <w:t>否决投标的条件</w:t>
      </w:r>
      <w:bookmarkEnd w:id="646"/>
      <w:bookmarkEnd w:id="647"/>
      <w:bookmarkEnd w:id="648"/>
      <w:bookmarkEnd w:id="649"/>
    </w:p>
    <w:p w14:paraId="178B7723">
      <w:pPr>
        <w:spacing w:line="430" w:lineRule="exact"/>
        <w:ind w:firstLine="420" w:firstLineChars="200"/>
        <w:rPr>
          <w:rFonts w:hint="eastAsia" w:ascii="宋体" w:hAnsi="宋体"/>
        </w:rPr>
      </w:pPr>
      <w:r>
        <w:rPr>
          <w:rFonts w:hint="eastAsia" w:ascii="宋体" w:hAnsi="宋体"/>
        </w:rPr>
        <w:t>投标人或其投标文件有下列情形之一的，</w:t>
      </w:r>
      <w:r>
        <w:rPr>
          <w:rFonts w:hint="eastAsia"/>
        </w:rPr>
        <w:t>评标委员会应当否决其投标</w:t>
      </w:r>
      <w:r>
        <w:rPr>
          <w:rFonts w:hint="eastAsia" w:ascii="宋体" w:hAnsi="宋体"/>
        </w:rPr>
        <w:t>：</w:t>
      </w:r>
    </w:p>
    <w:p w14:paraId="2F29670D">
      <w:pPr>
        <w:spacing w:line="430" w:lineRule="exact"/>
        <w:ind w:firstLine="420" w:firstLineChars="200"/>
        <w:rPr>
          <w:rFonts w:hint="eastAsia" w:ascii="宋体" w:hAnsi="宋体"/>
        </w:rPr>
      </w:pPr>
      <w:r>
        <w:rPr>
          <w:rFonts w:hint="eastAsia" w:ascii="宋体" w:hAnsi="宋体"/>
        </w:rPr>
        <w:t>B1.1在形式评审、资格评审、响应性评审中，评标委员会认定投标人的投标文件不符合评标办法前附表中规定的任何一项评审标准的。主要包括以下内容：</w:t>
      </w:r>
    </w:p>
    <w:p w14:paraId="5D16200F">
      <w:pPr>
        <w:spacing w:line="430" w:lineRule="exact"/>
        <w:ind w:firstLine="420" w:firstLineChars="200"/>
      </w:pPr>
      <w:r>
        <w:rPr>
          <w:rFonts w:hint="eastAsia"/>
        </w:rPr>
        <w:t>（1）</w:t>
      </w:r>
      <w:r>
        <w:rPr>
          <w:rFonts w:hint="eastAsia" w:ascii="宋体" w:hAnsi="宋体"/>
        </w:rPr>
        <w:t>投标人名称与营业执照、资质证书、安全生产许可证不一致；或提供无效的营业执照、资质证书、安全生产许可证的；</w:t>
      </w:r>
    </w:p>
    <w:p w14:paraId="502FADBB">
      <w:pPr>
        <w:spacing w:line="430" w:lineRule="exact"/>
        <w:ind w:firstLine="420" w:firstLineChars="200"/>
        <w:rPr>
          <w:rFonts w:hint="eastAsia" w:ascii="宋体" w:hAnsi="宋体"/>
        </w:rPr>
      </w:pPr>
      <w:r>
        <w:rPr>
          <w:rFonts w:hint="eastAsia"/>
        </w:rPr>
        <w:t>（</w:t>
      </w:r>
      <w:r>
        <w:t>2</w:t>
      </w:r>
      <w:r>
        <w:rPr>
          <w:rFonts w:hint="eastAsia"/>
        </w:rPr>
        <w:t>）</w:t>
      </w:r>
      <w:r>
        <w:rPr>
          <w:rFonts w:hint="eastAsia" w:ascii="宋体" w:hAnsi="宋体"/>
        </w:rPr>
        <w:t>未按照</w:t>
      </w:r>
      <w:r>
        <w:rPr>
          <w:rFonts w:hint="eastAsia" w:ascii="宋体" w:hAnsi="宋体"/>
          <w:szCs w:val="21"/>
        </w:rPr>
        <w:t>第二章“投标人须知”</w:t>
      </w:r>
      <w:r>
        <w:rPr>
          <w:rFonts w:hint="eastAsia"/>
          <w:szCs w:val="21"/>
        </w:rPr>
        <w:t>第3.7.3（</w:t>
      </w:r>
      <w:r>
        <w:rPr>
          <w:szCs w:val="21"/>
        </w:rPr>
        <w:t>4</w:t>
      </w:r>
      <w:r>
        <w:rPr>
          <w:rFonts w:hint="eastAsia"/>
          <w:szCs w:val="21"/>
        </w:rPr>
        <w:t>）</w:t>
      </w:r>
      <w:r>
        <w:rPr>
          <w:rFonts w:hint="eastAsia" w:ascii="宋体" w:hAnsi="宋体"/>
          <w:szCs w:val="21"/>
        </w:rPr>
        <w:t>目规定和第八章“投标文件格式”的要求进行电子签章的；</w:t>
      </w:r>
    </w:p>
    <w:p w14:paraId="090E8C43">
      <w:pPr>
        <w:spacing w:line="430" w:lineRule="exact"/>
        <w:ind w:firstLine="420" w:firstLineChars="200"/>
        <w:rPr>
          <w:rFonts w:hint="eastAsia" w:ascii="宋体" w:hAnsi="宋体"/>
        </w:rPr>
      </w:pPr>
      <w:r>
        <w:rPr>
          <w:rFonts w:hint="eastAsia"/>
        </w:rPr>
        <w:t>（3）</w:t>
      </w:r>
      <w:r>
        <w:rPr>
          <w:rFonts w:hint="eastAsia" w:ascii="宋体" w:hAnsi="宋体"/>
        </w:rPr>
        <w:t>联合体投标没有提交共同投标协议或共同投标协议未按招标文件提供的格式签署、提交，未明确联合体牵头人和各方权利与义务，未承诺就中标项目向招标人承担连带责任的（如有）；</w:t>
      </w:r>
    </w:p>
    <w:p w14:paraId="6E051E89">
      <w:pPr>
        <w:spacing w:line="430" w:lineRule="exact"/>
        <w:ind w:firstLine="420" w:firstLineChars="200"/>
        <w:rPr>
          <w:rFonts w:hint="eastAsia" w:ascii="宋体" w:hAnsi="宋体"/>
        </w:rPr>
      </w:pPr>
      <w:r>
        <w:rPr>
          <w:rFonts w:hint="eastAsia" w:ascii="宋体" w:hAnsi="宋体"/>
        </w:rPr>
        <w:t>（</w:t>
      </w:r>
      <w:r>
        <w:rPr>
          <w:rFonts w:hint="eastAsia"/>
        </w:rPr>
        <w:t>4）</w:t>
      </w:r>
      <w:r>
        <w:rPr>
          <w:rFonts w:hint="eastAsia" w:ascii="宋体" w:hAnsi="宋体"/>
        </w:rPr>
        <w:t>同一投标人提交两个以上不同的投标文件或者投标报价的（但招标文件要求提交备选投标的除外）；</w:t>
      </w:r>
    </w:p>
    <w:p w14:paraId="6CC01943">
      <w:pPr>
        <w:spacing w:line="430" w:lineRule="exact"/>
        <w:ind w:firstLine="420" w:firstLineChars="200"/>
        <w:rPr>
          <w:rFonts w:hint="eastAsia" w:ascii="宋体" w:hAnsi="宋体"/>
        </w:rPr>
      </w:pPr>
      <w:r>
        <w:rPr>
          <w:rFonts w:hint="eastAsia"/>
        </w:rPr>
        <w:t>（5）</w:t>
      </w:r>
      <w:r>
        <w:rPr>
          <w:rFonts w:hint="eastAsia" w:ascii="宋体" w:hAnsi="宋体"/>
        </w:rPr>
        <w:t>未按照招标文件的要求报送应有的投标报价表格的；</w:t>
      </w:r>
    </w:p>
    <w:p w14:paraId="2B1950D6">
      <w:pPr>
        <w:spacing w:line="430" w:lineRule="exact"/>
        <w:ind w:firstLine="420" w:firstLineChars="200"/>
        <w:rPr>
          <w:rFonts w:hint="eastAsia" w:ascii="宋体" w:hAnsi="宋体"/>
        </w:rPr>
      </w:pPr>
      <w:r>
        <w:rPr>
          <w:rFonts w:hint="eastAsia"/>
        </w:rPr>
        <w:t>（6）</w:t>
      </w:r>
      <w:r>
        <w:rPr>
          <w:rFonts w:hint="eastAsia" w:ascii="宋体" w:hAnsi="宋体"/>
        </w:rPr>
        <w:t>项目经理二次刷卡实名认证未通过的；</w:t>
      </w:r>
    </w:p>
    <w:p w14:paraId="2E331491">
      <w:pPr>
        <w:spacing w:line="430" w:lineRule="exact"/>
        <w:ind w:firstLine="420" w:firstLineChars="200"/>
        <w:rPr>
          <w:rFonts w:hint="eastAsia" w:ascii="宋体" w:hAnsi="宋体"/>
          <w:szCs w:val="21"/>
        </w:rPr>
      </w:pPr>
      <w:r>
        <w:rPr>
          <w:rFonts w:hint="eastAsia"/>
        </w:rPr>
        <w:t>（7）</w:t>
      </w:r>
      <w:r>
        <w:rPr>
          <w:rFonts w:hint="eastAsia" w:ascii="宋体" w:hAnsi="宋体"/>
        </w:rPr>
        <w:t>法定</w:t>
      </w:r>
      <w:r>
        <w:rPr>
          <w:rFonts w:hint="eastAsia" w:ascii="宋体" w:hAnsi="宋体"/>
          <w:szCs w:val="21"/>
        </w:rPr>
        <w:t>代表人或授权委托人未完成实名认证的；</w:t>
      </w:r>
    </w:p>
    <w:p w14:paraId="33EE5D5E">
      <w:pPr>
        <w:spacing w:line="430" w:lineRule="exact"/>
        <w:ind w:firstLine="420" w:firstLineChars="200"/>
        <w:rPr>
          <w:rFonts w:hint="eastAsia" w:ascii="宋体" w:hAnsi="宋体"/>
        </w:rPr>
      </w:pPr>
      <w:r>
        <w:rPr>
          <w:rFonts w:hint="eastAsia"/>
        </w:rPr>
        <w:t>（8）</w:t>
      </w:r>
      <w:r>
        <w:rPr>
          <w:rFonts w:hint="eastAsia" w:ascii="宋体" w:hAnsi="宋体"/>
        </w:rPr>
        <w:t>未按招标文件要求编制技术标（暗标）投标文件的；</w:t>
      </w:r>
    </w:p>
    <w:p w14:paraId="2D4FC437">
      <w:pPr>
        <w:spacing w:line="430" w:lineRule="exact"/>
        <w:ind w:firstLine="420" w:firstLineChars="200"/>
        <w:rPr>
          <w:rFonts w:hint="eastAsia" w:ascii="宋体" w:hAnsi="宋体"/>
        </w:rPr>
      </w:pPr>
      <w:r>
        <w:rPr>
          <w:rFonts w:hint="eastAsia"/>
        </w:rPr>
        <w:t>（</w:t>
      </w:r>
      <w:r>
        <w:t>9</w:t>
      </w:r>
      <w:r>
        <w:rPr>
          <w:rFonts w:hint="eastAsia"/>
        </w:rPr>
        <w:t>）</w:t>
      </w:r>
      <w:r>
        <w:rPr>
          <w:rFonts w:hint="eastAsia" w:ascii="宋体" w:hAnsi="宋体"/>
        </w:rPr>
        <w:t>投标人资质条件不符合国家规定和招标文件要求的；</w:t>
      </w:r>
    </w:p>
    <w:p w14:paraId="0A810B91">
      <w:pPr>
        <w:spacing w:line="430" w:lineRule="exact"/>
        <w:ind w:firstLine="420" w:firstLineChars="200"/>
        <w:rPr>
          <w:rFonts w:hint="eastAsia" w:ascii="宋体" w:hAnsi="宋体"/>
        </w:rPr>
      </w:pPr>
      <w:r>
        <w:rPr>
          <w:rFonts w:hint="eastAsia"/>
        </w:rPr>
        <w:t>（</w:t>
      </w:r>
      <w:r>
        <w:t>10</w:t>
      </w:r>
      <w:r>
        <w:rPr>
          <w:rFonts w:hint="eastAsia" w:ascii="宋体" w:hAnsi="宋体"/>
        </w:rPr>
        <w:t>）项目负责人资格不符合招标文件规定的专业等级要求，或已在其他在建工程担任项目经理（同一工程相邻分段发包或者分期施工的除外）；</w:t>
      </w:r>
    </w:p>
    <w:p w14:paraId="3C4413A3">
      <w:pPr>
        <w:spacing w:line="430" w:lineRule="exact"/>
        <w:ind w:firstLine="420" w:firstLineChars="200"/>
        <w:rPr>
          <w:rFonts w:hint="eastAsia" w:ascii="宋体" w:hAnsi="宋体"/>
        </w:rPr>
      </w:pPr>
      <w:r>
        <w:rPr>
          <w:rFonts w:hint="eastAsia"/>
        </w:rPr>
        <w:t>（1</w:t>
      </w:r>
      <w:r>
        <w:t>1</w:t>
      </w:r>
      <w:r>
        <w:rPr>
          <w:rFonts w:hint="eastAsia" w:ascii="宋体" w:hAnsi="宋体"/>
        </w:rPr>
        <w:t>）</w:t>
      </w:r>
      <w:r>
        <w:rPr>
          <w:rFonts w:hint="eastAsia"/>
        </w:rPr>
        <w:t>具有投标人须知第1.4.3（10）至（17）条目规定的情形；</w:t>
      </w:r>
    </w:p>
    <w:p w14:paraId="7D785D87">
      <w:pPr>
        <w:spacing w:line="430" w:lineRule="exact"/>
        <w:ind w:firstLine="420" w:firstLineChars="200"/>
        <w:rPr>
          <w:rFonts w:hint="eastAsia" w:ascii="宋体" w:hAnsi="宋体"/>
        </w:rPr>
      </w:pPr>
      <w:r>
        <w:rPr>
          <w:rFonts w:hint="eastAsia"/>
        </w:rPr>
        <w:t>（</w:t>
      </w:r>
      <w:r>
        <w:t>12</w:t>
      </w:r>
      <w:r>
        <w:rPr>
          <w:rFonts w:hint="eastAsia"/>
        </w:rPr>
        <w:t>）</w:t>
      </w:r>
      <w:r>
        <w:rPr>
          <w:rFonts w:hint="eastAsia" w:ascii="宋体" w:hAnsi="宋体"/>
        </w:rPr>
        <w:t>未按招标文件要求提交投标保证金的；</w:t>
      </w:r>
    </w:p>
    <w:p w14:paraId="31C9D65F">
      <w:pPr>
        <w:spacing w:line="430" w:lineRule="exact"/>
        <w:ind w:firstLine="420" w:firstLineChars="200"/>
        <w:rPr>
          <w:rFonts w:hint="eastAsia" w:ascii="宋体" w:hAnsi="宋体"/>
        </w:rPr>
      </w:pPr>
      <w:r>
        <w:rPr>
          <w:rFonts w:hint="eastAsia"/>
        </w:rPr>
        <w:t>（</w:t>
      </w:r>
      <w:r>
        <w:t>13</w:t>
      </w:r>
      <w:r>
        <w:rPr>
          <w:rFonts w:hint="eastAsia" w:ascii="宋体" w:hAnsi="宋体"/>
        </w:rPr>
        <w:t>）投标人填写的清单编码、清单名称、项目特征、计量单位、工程量与招标文件给定的工程量清单不一致的；</w:t>
      </w:r>
    </w:p>
    <w:p w14:paraId="64B557EE">
      <w:pPr>
        <w:spacing w:line="430" w:lineRule="exact"/>
        <w:ind w:firstLine="420" w:firstLineChars="200"/>
        <w:rPr>
          <w:rFonts w:hint="eastAsia" w:ascii="宋体" w:hAnsi="宋体"/>
        </w:rPr>
      </w:pPr>
      <w:r>
        <w:rPr>
          <w:rFonts w:hint="eastAsia"/>
        </w:rPr>
        <w:t>（</w:t>
      </w:r>
      <w:r>
        <w:t>14</w:t>
      </w:r>
      <w:r>
        <w:rPr>
          <w:rFonts w:hint="eastAsia" w:ascii="宋体" w:hAnsi="宋体"/>
        </w:rPr>
        <w:t>）投标人修改招标文件给定的工程量清单中所列价格（包括暂列金额、材料暂估价、专业工程暂估价等）的；</w:t>
      </w:r>
    </w:p>
    <w:p w14:paraId="41BD85EA">
      <w:pPr>
        <w:spacing w:line="430" w:lineRule="exact"/>
        <w:ind w:firstLine="420" w:firstLineChars="200"/>
        <w:rPr>
          <w:rFonts w:hint="eastAsia" w:ascii="宋体" w:hAnsi="宋体"/>
        </w:rPr>
      </w:pPr>
      <w:r>
        <w:rPr>
          <w:rFonts w:hint="eastAsia" w:ascii="宋体" w:hAnsi="宋体"/>
        </w:rPr>
        <w:t>（</w:t>
      </w:r>
      <w:r>
        <w:rPr>
          <w:rFonts w:hint="eastAsia"/>
        </w:rPr>
        <w:t>1</w:t>
      </w:r>
      <w:r>
        <w:t>5</w:t>
      </w:r>
      <w:r>
        <w:rPr>
          <w:rFonts w:hint="eastAsia" w:ascii="宋体" w:hAnsi="宋体"/>
        </w:rPr>
        <w:t>）工期未响应招标文件规定的；</w:t>
      </w:r>
    </w:p>
    <w:p w14:paraId="530CD20C">
      <w:pPr>
        <w:spacing w:line="430" w:lineRule="exact"/>
        <w:ind w:firstLine="420" w:firstLineChars="200"/>
        <w:rPr>
          <w:rFonts w:hint="eastAsia" w:ascii="宋体" w:hAnsi="宋体"/>
        </w:rPr>
      </w:pPr>
      <w:r>
        <w:rPr>
          <w:rFonts w:hint="eastAsia" w:ascii="宋体" w:hAnsi="宋体"/>
        </w:rPr>
        <w:t>（</w:t>
      </w:r>
      <w:r>
        <w:rPr>
          <w:rFonts w:hint="eastAsia"/>
        </w:rPr>
        <w:t>1</w:t>
      </w:r>
      <w:r>
        <w:t>6</w:t>
      </w:r>
      <w:r>
        <w:rPr>
          <w:rFonts w:hint="eastAsia" w:ascii="宋体" w:hAnsi="宋体"/>
        </w:rPr>
        <w:t>）投标人不接受算术错误修正后的报价；</w:t>
      </w:r>
    </w:p>
    <w:p w14:paraId="06349645">
      <w:pPr>
        <w:spacing w:line="430" w:lineRule="exact"/>
        <w:ind w:firstLine="420" w:firstLineChars="200"/>
        <w:rPr>
          <w:rFonts w:hint="eastAsia" w:ascii="宋体" w:hAnsi="宋体"/>
        </w:rPr>
      </w:pPr>
      <w:r>
        <w:rPr>
          <w:rFonts w:hint="eastAsia" w:ascii="宋体" w:hAnsi="宋体"/>
        </w:rPr>
        <w:t>（</w:t>
      </w:r>
      <w:r>
        <w:rPr>
          <w:rFonts w:hint="eastAsia"/>
        </w:rPr>
        <w:t>1</w:t>
      </w:r>
      <w:r>
        <w:t>7</w:t>
      </w:r>
      <w:r>
        <w:rPr>
          <w:rFonts w:hint="eastAsia" w:ascii="宋体" w:hAnsi="宋体"/>
        </w:rPr>
        <w:t>）投标报价（含修正后）高于招标文件设定的最高投标限价的；</w:t>
      </w:r>
    </w:p>
    <w:p w14:paraId="35A44300">
      <w:pPr>
        <w:spacing w:line="430" w:lineRule="exact"/>
        <w:ind w:firstLine="420" w:firstLineChars="200"/>
        <w:rPr>
          <w:rFonts w:hint="eastAsia" w:ascii="宋体" w:hAnsi="宋体"/>
        </w:rPr>
      </w:pPr>
      <w:r>
        <w:rPr>
          <w:rFonts w:hint="eastAsia" w:ascii="宋体" w:hAnsi="宋体"/>
        </w:rPr>
        <w:t>（</w:t>
      </w:r>
      <w:r>
        <w:rPr>
          <w:rFonts w:hint="eastAsia"/>
        </w:rPr>
        <w:t>1</w:t>
      </w:r>
      <w:r>
        <w:t>8</w:t>
      </w:r>
      <w:r>
        <w:rPr>
          <w:rFonts w:hint="eastAsia" w:ascii="宋体" w:hAnsi="宋体"/>
        </w:rPr>
        <w:t>）质量不满足招标文件规定的；</w:t>
      </w:r>
    </w:p>
    <w:p w14:paraId="38F154D8">
      <w:pPr>
        <w:spacing w:line="430" w:lineRule="exact"/>
        <w:ind w:firstLine="420" w:firstLineChars="200"/>
      </w:pPr>
      <w:r>
        <w:rPr>
          <w:rFonts w:hint="eastAsia" w:ascii="宋体" w:hAnsi="宋体"/>
        </w:rPr>
        <w:t>（</w:t>
      </w:r>
      <w:r>
        <w:rPr>
          <w:rFonts w:hint="eastAsia"/>
        </w:rPr>
        <w:t>1</w:t>
      </w:r>
      <w:r>
        <w:t>9</w:t>
      </w:r>
      <w:r>
        <w:rPr>
          <w:rFonts w:hint="eastAsia"/>
        </w:rPr>
        <w:t>）投标有效期不符合招标文件规定的；</w:t>
      </w:r>
    </w:p>
    <w:p w14:paraId="2774159E">
      <w:pPr>
        <w:spacing w:line="430" w:lineRule="exact"/>
        <w:ind w:firstLine="420" w:firstLineChars="200"/>
      </w:pPr>
      <w:r>
        <w:rPr>
          <w:rFonts w:hint="eastAsia"/>
        </w:rPr>
        <w:t>（</w:t>
      </w:r>
      <w:r>
        <w:t>20</w:t>
      </w:r>
      <w:r>
        <w:rPr>
          <w:rFonts w:hint="eastAsia"/>
        </w:rPr>
        <w:t>）权利义务承诺不符合或低于招标文件规定的；</w:t>
      </w:r>
    </w:p>
    <w:p w14:paraId="2DD70738">
      <w:pPr>
        <w:spacing w:line="430" w:lineRule="exact"/>
        <w:ind w:firstLine="420" w:firstLineChars="200"/>
      </w:pPr>
      <w:r>
        <w:rPr>
          <w:rFonts w:hint="eastAsia"/>
        </w:rPr>
        <w:t>（2</w:t>
      </w:r>
      <w:r>
        <w:t>1</w:t>
      </w:r>
      <w:r>
        <w:rPr>
          <w:rFonts w:hint="eastAsia"/>
        </w:rPr>
        <w:t>）技术标准和要求不符合招标文件规定的；</w:t>
      </w:r>
    </w:p>
    <w:p w14:paraId="43FD0F90">
      <w:pPr>
        <w:spacing w:line="430" w:lineRule="exact"/>
        <w:ind w:firstLine="420" w:firstLineChars="200"/>
        <w:rPr>
          <w:rFonts w:hint="eastAsia" w:ascii="宋体" w:hAnsi="宋体"/>
        </w:rPr>
      </w:pPr>
      <w:r>
        <w:rPr>
          <w:rFonts w:hint="eastAsia"/>
        </w:rPr>
        <w:t>（2</w:t>
      </w:r>
      <w:r>
        <w:t>2</w:t>
      </w:r>
      <w:r>
        <w:rPr>
          <w:rFonts w:hint="eastAsia" w:ascii="宋体" w:hAnsi="宋体"/>
        </w:rPr>
        <w:t>）分包计划不符合招标文件规定的。</w:t>
      </w:r>
    </w:p>
    <w:p w14:paraId="47FB7E04">
      <w:pPr>
        <w:spacing w:line="430" w:lineRule="exact"/>
        <w:ind w:firstLine="420" w:firstLineChars="200"/>
        <w:rPr>
          <w:rFonts w:hint="eastAsia" w:ascii="宋体" w:hAnsi="宋体"/>
        </w:rPr>
      </w:pPr>
      <w:r>
        <w:rPr>
          <w:rFonts w:hint="eastAsia" w:ascii="宋体" w:hAnsi="宋体"/>
        </w:rPr>
        <w:t>B1.2不按评标委员会要求澄清、说明或补正的。</w:t>
      </w:r>
    </w:p>
    <w:p w14:paraId="7B75DC35">
      <w:pPr>
        <w:spacing w:line="430" w:lineRule="exact"/>
        <w:ind w:firstLine="420" w:firstLineChars="200"/>
        <w:rPr>
          <w:rFonts w:hint="eastAsia" w:ascii="宋体" w:hAnsi="宋体"/>
        </w:rPr>
      </w:pPr>
      <w:r>
        <w:rPr>
          <w:rFonts w:hint="eastAsia" w:ascii="宋体" w:hAnsi="宋体"/>
        </w:rPr>
        <w:t>B1.3有串通投标、弄虚作假</w:t>
      </w:r>
      <w:r>
        <w:rPr>
          <w:rFonts w:hint="eastAsia"/>
        </w:rPr>
        <w:t>或</w:t>
      </w:r>
      <w:r>
        <w:rPr>
          <w:rFonts w:hint="eastAsia" w:ascii="宋体" w:hAnsi="宋体"/>
        </w:rPr>
        <w:t>有其他违法行为的。包括以下内容：</w:t>
      </w:r>
    </w:p>
    <w:p w14:paraId="27AFC75C">
      <w:pPr>
        <w:spacing w:line="380" w:lineRule="exact"/>
        <w:ind w:firstLine="420" w:firstLineChars="200"/>
      </w:pPr>
      <w:r>
        <w:rPr>
          <w:rFonts w:hint="eastAsia"/>
        </w:rPr>
        <w:t>（1）有下列情形之一的，视为投标人相互串通投标：</w:t>
      </w:r>
    </w:p>
    <w:p w14:paraId="59784BFE">
      <w:pPr>
        <w:spacing w:line="380" w:lineRule="exact"/>
        <w:ind w:firstLine="420" w:firstLineChars="200"/>
      </w:pPr>
      <w:r>
        <w:rPr>
          <w:rFonts w:hint="eastAsia"/>
        </w:rPr>
        <w:t>① 不同投标人的投标文件由同一单位或者个人编制；</w:t>
      </w:r>
    </w:p>
    <w:p w14:paraId="35A5A8A2">
      <w:pPr>
        <w:spacing w:line="380" w:lineRule="exact"/>
        <w:ind w:firstLine="420" w:firstLineChars="200"/>
      </w:pPr>
      <w:r>
        <w:rPr>
          <w:rFonts w:hint="eastAsia"/>
        </w:rPr>
        <w:t>② 不同投标人委托同一单位或者个人办理投标事宜；</w:t>
      </w:r>
    </w:p>
    <w:p w14:paraId="609B9177">
      <w:pPr>
        <w:spacing w:line="380" w:lineRule="exact"/>
        <w:ind w:firstLine="420" w:firstLineChars="200"/>
      </w:pPr>
      <w:r>
        <w:rPr>
          <w:rFonts w:hint="eastAsia"/>
        </w:rPr>
        <w:t>③ 不同投标人使用同一电脑等电子设备办理投标事宜（下载招标文件、上传投标文件、授权委托人或项目经理实名认证等关键环节）；</w:t>
      </w:r>
    </w:p>
    <w:p w14:paraId="45104632">
      <w:pPr>
        <w:spacing w:line="380" w:lineRule="exact"/>
        <w:ind w:firstLine="420" w:firstLineChars="200"/>
      </w:pPr>
      <w:r>
        <w:rPr>
          <w:rFonts w:hint="eastAsia"/>
        </w:rPr>
        <w:t>④ 不同投标人的投标文件载明的项目管理成员为同一人；</w:t>
      </w:r>
    </w:p>
    <w:p w14:paraId="1C4D5296">
      <w:pPr>
        <w:spacing w:line="380" w:lineRule="exact"/>
        <w:ind w:firstLine="420" w:firstLineChars="200"/>
      </w:pPr>
      <w:r>
        <w:rPr>
          <w:rFonts w:hint="eastAsia"/>
        </w:rPr>
        <w:t>⑤ 不同投标人的投标文件非典型一致或者投标报价呈规律性差异；</w:t>
      </w:r>
    </w:p>
    <w:p w14:paraId="1E793D02">
      <w:pPr>
        <w:spacing w:line="380" w:lineRule="exact"/>
        <w:ind w:firstLine="420" w:firstLineChars="200"/>
      </w:pPr>
      <w:r>
        <w:rPr>
          <w:rFonts w:hint="eastAsia"/>
        </w:rPr>
        <w:t>⑥ 不同投标人的投标文件相互混装；</w:t>
      </w:r>
    </w:p>
    <w:p w14:paraId="1A9FE8CE">
      <w:pPr>
        <w:spacing w:line="380" w:lineRule="exact"/>
        <w:ind w:firstLine="420" w:firstLineChars="20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 xml:space="preserve"> </w:t>
      </w:r>
      <w:r>
        <w:rPr>
          <w:rFonts w:hint="eastAsia"/>
        </w:rPr>
        <w:t>不同投标人的投标保证金或保函（保险）财务费用从同一单位或者个人的账户转出；</w:t>
      </w:r>
    </w:p>
    <w:p w14:paraId="3D5CF6BB">
      <w:pPr>
        <w:spacing w:line="380" w:lineRule="exact"/>
        <w:ind w:firstLine="420" w:firstLineChars="200"/>
      </w:pPr>
      <w:r>
        <w:rPr>
          <w:rFonts w:hint="eastAsia" w:ascii="宋体" w:hAnsi="宋体"/>
        </w:rPr>
        <w:t>⑧</w:t>
      </w:r>
      <w:r>
        <w:t xml:space="preserve"> </w:t>
      </w:r>
      <w:r>
        <w:rPr>
          <w:rFonts w:hint="eastAsia"/>
        </w:rPr>
        <w:t>不同投标人的投标文件存在“MAC地址”、“文件创建标识码”、“文件制作机器码”等唯一性标识一致等情形。</w:t>
      </w:r>
    </w:p>
    <w:p w14:paraId="5D3602CD">
      <w:pPr>
        <w:spacing w:line="380" w:lineRule="exact"/>
        <w:ind w:firstLine="420" w:firstLineChars="200"/>
      </w:pPr>
      <w:r>
        <w:rPr>
          <w:rFonts w:hint="eastAsia"/>
        </w:rPr>
        <w:t>（2）有下列情形之一的，属于弄虚作假行为：</w:t>
      </w:r>
    </w:p>
    <w:p w14:paraId="1CEFD9BB">
      <w:pPr>
        <w:spacing w:line="380" w:lineRule="exact"/>
        <w:ind w:firstLine="420" w:firstLineChars="200"/>
      </w:pPr>
      <w:r>
        <w:rPr>
          <w:rFonts w:hint="eastAsia"/>
        </w:rPr>
        <w:t>① 使用通过受让或者租借等方式获取的资格、资质证书投标的，即以他人名义投标的。</w:t>
      </w:r>
    </w:p>
    <w:p w14:paraId="60032FF5">
      <w:pPr>
        <w:spacing w:line="380" w:lineRule="exact"/>
        <w:ind w:firstLine="420" w:firstLineChars="200"/>
      </w:pPr>
      <w:r>
        <w:rPr>
          <w:rFonts w:hint="eastAsia"/>
        </w:rPr>
        <w:t>② 使用伪造、变造的许可证件；</w:t>
      </w:r>
    </w:p>
    <w:p w14:paraId="0D48814D">
      <w:pPr>
        <w:spacing w:line="380" w:lineRule="exact"/>
        <w:ind w:firstLine="420" w:firstLineChars="200"/>
      </w:pPr>
      <w:r>
        <w:rPr>
          <w:rFonts w:hint="eastAsia"/>
        </w:rPr>
        <w:t>③ 提供虚假的财务状况或者业绩；</w:t>
      </w:r>
    </w:p>
    <w:p w14:paraId="25679F5A">
      <w:pPr>
        <w:spacing w:line="380" w:lineRule="exact"/>
        <w:ind w:firstLine="420" w:firstLineChars="200"/>
      </w:pPr>
      <w:r>
        <w:rPr>
          <w:rFonts w:hint="eastAsia"/>
        </w:rPr>
        <w:t>④ 提供虚假的项目负责人或者主要技术人员简历、社会保险证明；</w:t>
      </w:r>
    </w:p>
    <w:p w14:paraId="7CE28647">
      <w:pPr>
        <w:spacing w:line="380" w:lineRule="exact"/>
        <w:ind w:firstLine="420" w:firstLineChars="200"/>
      </w:pPr>
      <w:r>
        <w:rPr>
          <w:rFonts w:hint="eastAsia"/>
        </w:rPr>
        <w:t>⑤ 提供虚假的信用状况；</w:t>
      </w:r>
    </w:p>
    <w:p w14:paraId="0B717D67">
      <w:pPr>
        <w:spacing w:line="380" w:lineRule="exact"/>
        <w:ind w:firstLine="420" w:firstLineChars="200"/>
        <w:rPr>
          <w:rFonts w:hint="eastAsia" w:ascii="宋体" w:hAnsi="宋体"/>
        </w:rPr>
      </w:pPr>
      <w:r>
        <w:rPr>
          <w:rFonts w:hint="eastAsia"/>
        </w:rPr>
        <w:t>⑥ 其他弄虚作假的行为。</w:t>
      </w:r>
    </w:p>
    <w:p w14:paraId="508A1EF7">
      <w:pPr>
        <w:spacing w:line="430" w:lineRule="exact"/>
        <w:ind w:firstLine="420" w:firstLineChars="200"/>
        <w:rPr>
          <w:rFonts w:hint="eastAsia" w:ascii="宋体" w:hAnsi="宋体"/>
        </w:rPr>
      </w:pPr>
      <w:r>
        <w:rPr>
          <w:rFonts w:hint="eastAsia" w:ascii="宋体" w:hAnsi="宋体"/>
        </w:rPr>
        <w:t>B1.4有第二章“投标人须知”第1.4.3项规定的任何一种情形。包括以下内容：</w:t>
      </w:r>
    </w:p>
    <w:p w14:paraId="27116197">
      <w:pPr>
        <w:spacing w:line="360" w:lineRule="exact"/>
        <w:ind w:firstLine="420" w:firstLineChars="200"/>
      </w:pPr>
      <w:r>
        <w:rPr>
          <w:rFonts w:hint="eastAsia"/>
        </w:rPr>
        <w:t>（1）为招标人不具有独立法人资格的附属机构（单位）；</w:t>
      </w:r>
    </w:p>
    <w:p w14:paraId="1CCB0C02">
      <w:pPr>
        <w:spacing w:line="360" w:lineRule="exact"/>
        <w:ind w:firstLine="420" w:firstLineChars="200"/>
      </w:pPr>
      <w:r>
        <w:rPr>
          <w:rFonts w:hint="eastAsia"/>
        </w:rPr>
        <w:t xml:space="preserve">（2）为本标段前期准备提供设计或咨询服务的，但设计施工总承包的除外； </w:t>
      </w:r>
    </w:p>
    <w:p w14:paraId="0DD45C9A">
      <w:pPr>
        <w:spacing w:line="360" w:lineRule="exact"/>
        <w:ind w:firstLine="420" w:firstLineChars="200"/>
      </w:pPr>
      <w:r>
        <w:rPr>
          <w:rFonts w:hint="eastAsia"/>
        </w:rPr>
        <w:t>（3）为本标段的监理人；</w:t>
      </w:r>
    </w:p>
    <w:p w14:paraId="73724012">
      <w:pPr>
        <w:spacing w:line="360" w:lineRule="exact"/>
        <w:ind w:firstLine="420" w:firstLineChars="200"/>
      </w:pPr>
      <w:r>
        <w:rPr>
          <w:rFonts w:hint="eastAsia"/>
        </w:rPr>
        <w:t>（4）为本标段的代建人；</w:t>
      </w:r>
    </w:p>
    <w:p w14:paraId="29AC9779">
      <w:pPr>
        <w:spacing w:line="360" w:lineRule="exact"/>
        <w:ind w:firstLine="420" w:firstLineChars="200"/>
      </w:pPr>
      <w:r>
        <w:rPr>
          <w:rFonts w:hint="eastAsia"/>
        </w:rPr>
        <w:t>（5）为本标段提供招标代理服务；</w:t>
      </w:r>
    </w:p>
    <w:p w14:paraId="3341A790">
      <w:pPr>
        <w:spacing w:line="360" w:lineRule="exact"/>
        <w:ind w:firstLine="420" w:firstLineChars="200"/>
      </w:pPr>
      <w:r>
        <w:rPr>
          <w:rFonts w:hint="eastAsia"/>
        </w:rPr>
        <w:t xml:space="preserve">（6）与本标段的监理人或代建人或招标代理机构同为一个法定代表人或单位负责人； </w:t>
      </w:r>
    </w:p>
    <w:p w14:paraId="64A973C8">
      <w:pPr>
        <w:spacing w:line="360" w:lineRule="exact"/>
        <w:ind w:firstLine="420" w:firstLineChars="200"/>
      </w:pPr>
      <w:r>
        <w:rPr>
          <w:rFonts w:hint="eastAsia"/>
        </w:rPr>
        <w:t>（7）与本标段的监理人或代建人或招标代理机构相互控股或参股；</w:t>
      </w:r>
    </w:p>
    <w:p w14:paraId="39543DA5">
      <w:pPr>
        <w:spacing w:line="360" w:lineRule="exact"/>
        <w:ind w:firstLine="420" w:firstLineChars="200"/>
      </w:pPr>
      <w:r>
        <w:rPr>
          <w:rFonts w:hint="eastAsia"/>
        </w:rPr>
        <w:t>（8）与本标段的监理人或代建人或招标代理机构的法定代表人或单位负责人相互任职或工作；</w:t>
      </w:r>
    </w:p>
    <w:p w14:paraId="33C94BF7">
      <w:pPr>
        <w:spacing w:line="360" w:lineRule="exact"/>
        <w:ind w:firstLine="420" w:firstLineChars="200"/>
      </w:pPr>
      <w:r>
        <w:rPr>
          <w:rFonts w:hint="eastAsia"/>
        </w:rPr>
        <w:t>（9）单位负责人为同一人或者存在控股、管理关系的不同单位，同时参加本标段投标的；</w:t>
      </w:r>
    </w:p>
    <w:p w14:paraId="41D69EAC">
      <w:pPr>
        <w:spacing w:line="360" w:lineRule="exact"/>
        <w:ind w:firstLine="420" w:firstLineChars="200"/>
      </w:pPr>
      <w:r>
        <w:rPr>
          <w:rFonts w:hint="eastAsia"/>
        </w:rPr>
        <w:t>（10）被依法暂停或取消投标资格（指被本招标项目所在地县级及以上住房城乡建设主管部门或其他行政主管部门暂停或取消投标资格或禁止进入该区域建设市场且处于有效期内）；</w:t>
      </w:r>
    </w:p>
    <w:p w14:paraId="7004A317">
      <w:pPr>
        <w:spacing w:line="360" w:lineRule="exact"/>
        <w:ind w:firstLine="420" w:firstLineChars="200"/>
      </w:pPr>
      <w:r>
        <w:rPr>
          <w:rFonts w:hint="eastAsia"/>
        </w:rPr>
        <w:t xml:space="preserve">（11）被责令停产停业、暂扣或者吊销许可证、暂扣或者吊销执照； </w:t>
      </w:r>
    </w:p>
    <w:p w14:paraId="550DBBAE">
      <w:pPr>
        <w:spacing w:line="360" w:lineRule="exact"/>
        <w:ind w:firstLine="420" w:firstLineChars="200"/>
      </w:pPr>
      <w:r>
        <w:rPr>
          <w:rFonts w:hint="eastAsia"/>
        </w:rPr>
        <w:t>（12）进入清算程序，或被宣告破产，或其他丧失履约能力的情形；</w:t>
      </w:r>
    </w:p>
    <w:p w14:paraId="30C544AC">
      <w:pPr>
        <w:spacing w:line="360" w:lineRule="exact"/>
        <w:ind w:firstLine="420" w:firstLineChars="200"/>
      </w:pPr>
      <w:r>
        <w:rPr>
          <w:rFonts w:hint="eastAsia"/>
        </w:rPr>
        <w:t>（13）在最近三年内有骗取中标或严重违约或重大工程质量问题的 （以相关行业主 管部门的行政处罚决定或司法机关出具的有关法律文书为准）；</w:t>
      </w:r>
    </w:p>
    <w:p w14:paraId="4ABA949A">
      <w:pPr>
        <w:spacing w:line="360" w:lineRule="exact"/>
        <w:ind w:firstLine="420" w:firstLineChars="200"/>
      </w:pPr>
      <w:r>
        <w:rPr>
          <w:rFonts w:hint="eastAsia"/>
        </w:rPr>
        <w:t>（14）在“国家企业信用信息公示系统”（www.gsxt.gov.cn）中被列入严重违法失 信企业名单；</w:t>
      </w:r>
    </w:p>
    <w:p w14:paraId="04CFD987">
      <w:pPr>
        <w:spacing w:line="360" w:lineRule="exact"/>
        <w:ind w:firstLine="420" w:firstLineChars="200"/>
      </w:pPr>
      <w:r>
        <w:rPr>
          <w:rFonts w:hint="eastAsia"/>
        </w:rPr>
        <w:t>（15）在“信用中国”网站（www.creditchina.gov.cn）或“中国执行信息公开网” （http://zxgk.court.gov.cn/shixin/） 被列入失信被执行人名单；</w:t>
      </w:r>
    </w:p>
    <w:p w14:paraId="70327949">
      <w:pPr>
        <w:spacing w:line="360" w:lineRule="exact"/>
        <w:ind w:firstLine="420" w:firstLineChars="200"/>
      </w:pPr>
      <w:r>
        <w:rPr>
          <w:rFonts w:hint="eastAsia"/>
        </w:rPr>
        <w:t>（16）在辽宁省建设工程招投标监督平台-辽宁建设工程信息网上被列入不良行为记录且在公布期内的；</w:t>
      </w:r>
    </w:p>
    <w:p w14:paraId="1072584E">
      <w:pPr>
        <w:spacing w:line="360" w:lineRule="exact"/>
        <w:ind w:firstLine="420" w:firstLineChars="200"/>
      </w:pPr>
      <w:r>
        <w:rPr>
          <w:rFonts w:hint="eastAsia"/>
        </w:rPr>
        <w:t>（17）法律法规规定的其他情形。</w:t>
      </w:r>
    </w:p>
    <w:p w14:paraId="39C3AB82">
      <w:pPr>
        <w:spacing w:line="360" w:lineRule="exact"/>
        <w:ind w:firstLine="420" w:firstLineChars="200"/>
        <w:rPr>
          <w:rFonts w:hint="eastAsia" w:ascii="宋体" w:hAnsi="宋体"/>
        </w:rPr>
      </w:pPr>
      <w:bookmarkStart w:id="650" w:name="_Hlk165125038"/>
      <w:r>
        <w:rPr>
          <w:rFonts w:hint="eastAsia" w:ascii="宋体" w:hAnsi="宋体"/>
        </w:rPr>
        <w:t>B1.5</w:t>
      </w:r>
      <w:r>
        <w:rPr>
          <w:rFonts w:hint="eastAsia"/>
        </w:rPr>
        <w:t>未如实填写近年发生的诉讼及仲裁情况，隐瞒真实情况的。</w:t>
      </w:r>
    </w:p>
    <w:bookmarkEnd w:id="650"/>
    <w:p w14:paraId="5DC8C57E">
      <w:pPr>
        <w:spacing w:line="430" w:lineRule="exact"/>
        <w:ind w:firstLine="420" w:firstLineChars="200"/>
        <w:rPr>
          <w:rFonts w:hint="eastAsia" w:ascii="宋体" w:hAnsi="宋体"/>
          <w:szCs w:val="21"/>
        </w:rPr>
      </w:pPr>
      <w:r>
        <w:rPr>
          <w:rFonts w:hint="eastAsia" w:ascii="宋体" w:hAnsi="宋体"/>
        </w:rPr>
        <w:t>B1.6未按招标文件要求进行实名身份认证的或同一标段实名身份认证中存在不同投标人之间身份证识别器码一致的。</w:t>
      </w:r>
    </w:p>
    <w:p w14:paraId="5C9BE13B">
      <w:pPr>
        <w:spacing w:line="430" w:lineRule="exact"/>
        <w:ind w:firstLine="420" w:firstLineChars="200"/>
        <w:rPr>
          <w:rFonts w:hint="eastAsia" w:ascii="宋体" w:hAnsi="宋体"/>
          <w:szCs w:val="21"/>
        </w:rPr>
      </w:pPr>
      <w:r>
        <w:rPr>
          <w:rFonts w:hint="eastAsia" w:ascii="宋体" w:hAnsi="宋体"/>
        </w:rPr>
        <w:t>B1.7投标报价明显低于企业成本可能影响履约的。</w:t>
      </w:r>
    </w:p>
    <w:p w14:paraId="5D5A133A">
      <w:pPr>
        <w:spacing w:line="430" w:lineRule="exact"/>
        <w:ind w:firstLine="420" w:firstLineChars="200"/>
        <w:rPr>
          <w:rFonts w:hint="eastAsia" w:ascii="宋体" w:hAnsi="宋体"/>
        </w:rPr>
      </w:pPr>
      <w:r>
        <w:rPr>
          <w:rFonts w:hint="eastAsia" w:ascii="宋体" w:hAnsi="宋体"/>
        </w:rPr>
        <w:t>B1.</w:t>
      </w:r>
      <w:bookmarkStart w:id="651" w:name="_Hlk150329794"/>
      <w:r>
        <w:rPr>
          <w:rFonts w:hint="eastAsia" w:ascii="宋体" w:hAnsi="宋体"/>
        </w:rPr>
        <w:t>8未按招标文件要求采用建筑信息模型技术的（如有）。</w:t>
      </w:r>
      <w:bookmarkEnd w:id="651"/>
    </w:p>
    <w:p w14:paraId="7676B2CA">
      <w:pPr>
        <w:spacing w:line="430" w:lineRule="exact"/>
        <w:ind w:firstLine="420" w:firstLineChars="200"/>
        <w:rPr>
          <w:rFonts w:hint="eastAsia" w:ascii="宋体" w:hAnsi="宋体"/>
          <w:szCs w:val="21"/>
        </w:rPr>
      </w:pPr>
      <w:bookmarkStart w:id="652" w:name="_Hlk176003224"/>
      <w:bookmarkStart w:id="653" w:name="_Hlk176002496"/>
      <w:r>
        <w:rPr>
          <w:rFonts w:hint="eastAsia" w:ascii="宋体" w:hAnsi="宋体"/>
        </w:rPr>
        <w:t>B1.9技术标不同模块赋分点之间多个模块固定位置存在内容表述非必要性雷同的。</w:t>
      </w:r>
      <w:bookmarkEnd w:id="652"/>
    </w:p>
    <w:bookmarkEnd w:id="653"/>
    <w:p w14:paraId="0A3AC2A9">
      <w:pPr>
        <w:spacing w:line="430" w:lineRule="exact"/>
        <w:ind w:firstLine="420" w:firstLineChars="200"/>
        <w:rPr>
          <w:rFonts w:ascii="仿宋_GB2312" w:eastAsia="仿宋_GB2312"/>
        </w:rPr>
      </w:pPr>
      <w:r>
        <w:rPr>
          <w:rFonts w:hint="eastAsia" w:ascii="仿宋_GB2312" w:eastAsia="仿宋_GB2312"/>
        </w:rPr>
        <w:t>……</w:t>
      </w:r>
    </w:p>
    <w:p w14:paraId="37CB6DDD">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1AEDF3D4">
      <w:pPr>
        <w:pStyle w:val="25"/>
      </w:pPr>
      <w:bookmarkStart w:id="654" w:name="_Toc256000130"/>
      <w:bookmarkStart w:id="655" w:name="_Toc165804447"/>
      <w:r>
        <w:rPr>
          <w:rFonts w:hint="eastAsia"/>
        </w:rPr>
        <w:t>附表A-1：评标委员会签到表</w:t>
      </w:r>
      <w:bookmarkEnd w:id="654"/>
      <w:bookmarkEnd w:id="655"/>
    </w:p>
    <w:p w14:paraId="387810FC">
      <w:pPr>
        <w:adjustRightInd w:val="0"/>
        <w:snapToGrid w:val="0"/>
        <w:spacing w:before="240" w:beforeLines="100" w:after="240" w:afterLines="100" w:line="440" w:lineRule="exact"/>
        <w:jc w:val="center"/>
        <w:rPr>
          <w:rFonts w:ascii="黑体" w:hAnsi="宋体" w:eastAsia="黑体"/>
          <w:sz w:val="36"/>
          <w:szCs w:val="36"/>
        </w:rPr>
      </w:pPr>
      <w:r>
        <w:rPr>
          <w:rFonts w:hint="eastAsia" w:ascii="黑体" w:hAnsi="宋体" w:eastAsia="黑体"/>
          <w:sz w:val="36"/>
          <w:szCs w:val="36"/>
        </w:rPr>
        <w:t>评标委员会签到表</w:t>
      </w:r>
    </w:p>
    <w:p w14:paraId="458AB84E">
      <w:pPr>
        <w:rPr>
          <w:szCs w:val="44"/>
        </w:rPr>
      </w:pPr>
      <w:r>
        <w:rPr>
          <w:rFonts w:hint="eastAsia"/>
          <w:szCs w:val="44"/>
        </w:rPr>
        <w:t>标段名称：</w:t>
      </w:r>
    </w:p>
    <w:p w14:paraId="1B5A90B2">
      <w:pPr>
        <w:rPr>
          <w:szCs w:val="44"/>
        </w:rPr>
      </w:pPr>
      <w:r>
        <w:rPr>
          <w:rFonts w:hint="eastAsia"/>
          <w:szCs w:val="44"/>
        </w:rPr>
        <w:t>标段唯一标识码：</w:t>
      </w:r>
      <w:r>
        <w:rPr>
          <w:szCs w:val="44"/>
        </w:rPr>
        <w:t xml:space="preserve">                                                                             </w:t>
      </w:r>
      <w:r>
        <w:rPr>
          <w:rFonts w:hint="eastAsia"/>
          <w:szCs w:val="44"/>
        </w:rPr>
        <w:t>评标时间：         年    月    日</w:t>
      </w:r>
    </w:p>
    <w:tbl>
      <w:tblPr>
        <w:tblStyle w:val="17"/>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4090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5BA8C16">
            <w:pPr>
              <w:spacing w:line="420" w:lineRule="exact"/>
              <w:jc w:val="center"/>
              <w:rPr>
                <w:rFonts w:ascii="宋体" w:hAnsi="宋体"/>
                <w:b/>
                <w:bCs/>
                <w:szCs w:val="21"/>
              </w:rPr>
            </w:pPr>
            <w:bookmarkStart w:id="656" w:name="_Hlk165801998"/>
            <w:r>
              <w:rPr>
                <w:rFonts w:hint="eastAsia" w:ascii="宋体" w:hAnsi="宋体"/>
                <w:b/>
                <w:bCs/>
                <w:szCs w:val="21"/>
              </w:rPr>
              <w:t>序号</w:t>
            </w:r>
          </w:p>
        </w:tc>
        <w:tc>
          <w:tcPr>
            <w:tcW w:w="1169" w:type="dxa"/>
            <w:vAlign w:val="center"/>
          </w:tcPr>
          <w:p w14:paraId="54C9E3BF">
            <w:pPr>
              <w:spacing w:line="420" w:lineRule="exact"/>
              <w:jc w:val="center"/>
              <w:rPr>
                <w:rFonts w:ascii="宋体" w:hAnsi="宋体"/>
                <w:b/>
                <w:bCs/>
                <w:szCs w:val="21"/>
              </w:rPr>
            </w:pPr>
            <w:r>
              <w:rPr>
                <w:rFonts w:hint="eastAsia" w:ascii="宋体" w:hAnsi="宋体"/>
                <w:b/>
                <w:bCs/>
                <w:szCs w:val="21"/>
              </w:rPr>
              <w:t>姓名</w:t>
            </w:r>
          </w:p>
        </w:tc>
        <w:tc>
          <w:tcPr>
            <w:tcW w:w="1797" w:type="dxa"/>
            <w:vAlign w:val="center"/>
          </w:tcPr>
          <w:p w14:paraId="49EFE308">
            <w:pPr>
              <w:spacing w:line="420" w:lineRule="exact"/>
              <w:jc w:val="center"/>
              <w:rPr>
                <w:rFonts w:ascii="宋体" w:hAnsi="宋体"/>
                <w:b/>
                <w:bCs/>
                <w:szCs w:val="21"/>
              </w:rPr>
            </w:pPr>
            <w:r>
              <w:rPr>
                <w:rFonts w:hint="eastAsia" w:ascii="宋体" w:hAnsi="宋体"/>
                <w:b/>
                <w:bCs/>
                <w:szCs w:val="21"/>
              </w:rPr>
              <w:t>所在单位</w:t>
            </w:r>
          </w:p>
        </w:tc>
        <w:tc>
          <w:tcPr>
            <w:tcW w:w="1930" w:type="dxa"/>
            <w:vAlign w:val="center"/>
          </w:tcPr>
          <w:p w14:paraId="368AD932">
            <w:pPr>
              <w:spacing w:line="420" w:lineRule="exact"/>
              <w:jc w:val="center"/>
              <w:rPr>
                <w:rFonts w:ascii="宋体" w:hAnsi="宋体"/>
                <w:b/>
                <w:bCs/>
                <w:szCs w:val="21"/>
              </w:rPr>
            </w:pPr>
            <w:r>
              <w:rPr>
                <w:rFonts w:hint="eastAsia" w:ascii="宋体" w:hAnsi="宋体"/>
                <w:b/>
                <w:bCs/>
                <w:szCs w:val="21"/>
              </w:rPr>
              <w:t>身份证号</w:t>
            </w:r>
          </w:p>
        </w:tc>
        <w:tc>
          <w:tcPr>
            <w:tcW w:w="1793" w:type="dxa"/>
            <w:vAlign w:val="center"/>
          </w:tcPr>
          <w:p w14:paraId="41A93EBE">
            <w:pPr>
              <w:spacing w:line="420" w:lineRule="exact"/>
              <w:jc w:val="center"/>
              <w:rPr>
                <w:rFonts w:ascii="宋体" w:hAnsi="宋体"/>
                <w:b/>
                <w:bCs/>
                <w:szCs w:val="21"/>
              </w:rPr>
            </w:pPr>
            <w:r>
              <w:rPr>
                <w:rFonts w:hint="eastAsia" w:ascii="宋体" w:hAnsi="宋体"/>
                <w:b/>
                <w:bCs/>
                <w:szCs w:val="21"/>
              </w:rPr>
              <w:t>联系方式</w:t>
            </w:r>
          </w:p>
        </w:tc>
        <w:tc>
          <w:tcPr>
            <w:tcW w:w="1431" w:type="dxa"/>
            <w:vAlign w:val="center"/>
          </w:tcPr>
          <w:p w14:paraId="30C3DEA6">
            <w:pPr>
              <w:spacing w:line="420" w:lineRule="exact"/>
              <w:jc w:val="center"/>
              <w:rPr>
                <w:rFonts w:ascii="宋体" w:hAnsi="宋体"/>
                <w:b/>
                <w:bCs/>
                <w:szCs w:val="21"/>
              </w:rPr>
            </w:pPr>
            <w:r>
              <w:rPr>
                <w:rFonts w:hint="eastAsia" w:ascii="宋体" w:hAnsi="宋体"/>
                <w:b/>
                <w:bCs/>
                <w:szCs w:val="21"/>
              </w:rPr>
              <w:t>评审内容</w:t>
            </w:r>
          </w:p>
        </w:tc>
        <w:tc>
          <w:tcPr>
            <w:tcW w:w="1520" w:type="dxa"/>
            <w:vAlign w:val="center"/>
          </w:tcPr>
          <w:p w14:paraId="7550FF5E">
            <w:pPr>
              <w:spacing w:line="420" w:lineRule="exact"/>
              <w:jc w:val="center"/>
              <w:rPr>
                <w:rFonts w:ascii="宋体" w:hAnsi="宋体"/>
                <w:b/>
                <w:bCs/>
                <w:szCs w:val="21"/>
              </w:rPr>
            </w:pPr>
            <w:r>
              <w:rPr>
                <w:rFonts w:hint="eastAsia" w:ascii="宋体" w:hAnsi="宋体"/>
                <w:b/>
                <w:bCs/>
                <w:szCs w:val="21"/>
              </w:rPr>
              <w:t>评审角色</w:t>
            </w:r>
          </w:p>
        </w:tc>
        <w:tc>
          <w:tcPr>
            <w:tcW w:w="1706" w:type="dxa"/>
            <w:vAlign w:val="center"/>
          </w:tcPr>
          <w:p w14:paraId="1E5561B3">
            <w:pPr>
              <w:spacing w:line="420" w:lineRule="exact"/>
              <w:jc w:val="center"/>
              <w:rPr>
                <w:rFonts w:ascii="宋体" w:hAnsi="宋体"/>
                <w:b/>
                <w:bCs/>
                <w:szCs w:val="21"/>
              </w:rPr>
            </w:pPr>
            <w:r>
              <w:rPr>
                <w:rFonts w:hint="eastAsia" w:ascii="宋体" w:hAnsi="宋体"/>
                <w:b/>
                <w:bCs/>
                <w:szCs w:val="21"/>
              </w:rPr>
              <w:t>评标签到时间</w:t>
            </w:r>
          </w:p>
        </w:tc>
        <w:tc>
          <w:tcPr>
            <w:tcW w:w="1697" w:type="dxa"/>
            <w:vAlign w:val="center"/>
          </w:tcPr>
          <w:p w14:paraId="504891DD">
            <w:pPr>
              <w:spacing w:line="420" w:lineRule="exact"/>
              <w:jc w:val="center"/>
              <w:rPr>
                <w:rFonts w:ascii="宋体" w:hAnsi="宋体"/>
                <w:b/>
                <w:bCs/>
                <w:szCs w:val="21"/>
              </w:rPr>
            </w:pPr>
            <w:r>
              <w:rPr>
                <w:rFonts w:hint="eastAsia" w:ascii="宋体" w:hAnsi="宋体"/>
                <w:b/>
                <w:bCs/>
                <w:szCs w:val="21"/>
              </w:rPr>
              <w:t>签名</w:t>
            </w:r>
          </w:p>
        </w:tc>
      </w:tr>
      <w:tr w14:paraId="3FD5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40A7E9E">
            <w:pPr>
              <w:spacing w:line="420" w:lineRule="exact"/>
              <w:jc w:val="center"/>
              <w:rPr>
                <w:rFonts w:ascii="宋体" w:hAnsi="宋体"/>
                <w:szCs w:val="21"/>
              </w:rPr>
            </w:pPr>
            <w:r>
              <w:rPr>
                <w:rFonts w:hint="eastAsia" w:ascii="宋体" w:hAnsi="宋体"/>
                <w:szCs w:val="21"/>
              </w:rPr>
              <w:t>1</w:t>
            </w:r>
          </w:p>
        </w:tc>
        <w:tc>
          <w:tcPr>
            <w:tcW w:w="1169" w:type="dxa"/>
            <w:vAlign w:val="center"/>
          </w:tcPr>
          <w:p w14:paraId="463DB031">
            <w:pPr>
              <w:spacing w:line="420" w:lineRule="exact"/>
              <w:jc w:val="center"/>
              <w:rPr>
                <w:rFonts w:ascii="宋体" w:hAnsi="宋体"/>
                <w:szCs w:val="21"/>
              </w:rPr>
            </w:pPr>
          </w:p>
        </w:tc>
        <w:tc>
          <w:tcPr>
            <w:tcW w:w="1797" w:type="dxa"/>
            <w:vAlign w:val="center"/>
          </w:tcPr>
          <w:p w14:paraId="50422E7E">
            <w:pPr>
              <w:spacing w:line="420" w:lineRule="exact"/>
              <w:jc w:val="center"/>
              <w:rPr>
                <w:rFonts w:ascii="宋体" w:hAnsi="宋体"/>
                <w:szCs w:val="21"/>
              </w:rPr>
            </w:pPr>
          </w:p>
        </w:tc>
        <w:tc>
          <w:tcPr>
            <w:tcW w:w="1930" w:type="dxa"/>
            <w:vAlign w:val="center"/>
          </w:tcPr>
          <w:p w14:paraId="19AEDF1A">
            <w:pPr>
              <w:spacing w:line="420" w:lineRule="exact"/>
              <w:jc w:val="center"/>
              <w:rPr>
                <w:rFonts w:ascii="宋体" w:hAnsi="宋体"/>
                <w:szCs w:val="21"/>
              </w:rPr>
            </w:pPr>
          </w:p>
        </w:tc>
        <w:tc>
          <w:tcPr>
            <w:tcW w:w="1793" w:type="dxa"/>
            <w:vAlign w:val="center"/>
          </w:tcPr>
          <w:p w14:paraId="04A6CAAB">
            <w:pPr>
              <w:spacing w:line="420" w:lineRule="exact"/>
              <w:jc w:val="center"/>
              <w:rPr>
                <w:rFonts w:ascii="宋体" w:hAnsi="宋体"/>
                <w:szCs w:val="21"/>
              </w:rPr>
            </w:pPr>
          </w:p>
        </w:tc>
        <w:tc>
          <w:tcPr>
            <w:tcW w:w="1431" w:type="dxa"/>
            <w:vAlign w:val="center"/>
          </w:tcPr>
          <w:p w14:paraId="479FC0C7">
            <w:pPr>
              <w:spacing w:line="420" w:lineRule="exact"/>
              <w:jc w:val="center"/>
              <w:rPr>
                <w:rFonts w:ascii="宋体" w:hAnsi="宋体"/>
                <w:szCs w:val="21"/>
              </w:rPr>
            </w:pPr>
          </w:p>
        </w:tc>
        <w:tc>
          <w:tcPr>
            <w:tcW w:w="1520" w:type="dxa"/>
            <w:vAlign w:val="center"/>
          </w:tcPr>
          <w:p w14:paraId="0689793A">
            <w:pPr>
              <w:spacing w:line="420" w:lineRule="exact"/>
              <w:jc w:val="center"/>
              <w:rPr>
                <w:rFonts w:ascii="宋体" w:hAnsi="宋体"/>
                <w:szCs w:val="21"/>
              </w:rPr>
            </w:pPr>
          </w:p>
        </w:tc>
        <w:tc>
          <w:tcPr>
            <w:tcW w:w="1706" w:type="dxa"/>
            <w:vAlign w:val="center"/>
          </w:tcPr>
          <w:p w14:paraId="2E2B2FD0">
            <w:pPr>
              <w:spacing w:line="420" w:lineRule="exact"/>
              <w:jc w:val="center"/>
              <w:rPr>
                <w:rFonts w:ascii="宋体" w:hAnsi="宋体"/>
                <w:szCs w:val="21"/>
              </w:rPr>
            </w:pPr>
          </w:p>
        </w:tc>
        <w:tc>
          <w:tcPr>
            <w:tcW w:w="1697" w:type="dxa"/>
          </w:tcPr>
          <w:p w14:paraId="72D3FCDF">
            <w:pPr>
              <w:spacing w:line="420" w:lineRule="exact"/>
              <w:jc w:val="center"/>
              <w:rPr>
                <w:rFonts w:ascii="宋体" w:hAnsi="宋体"/>
                <w:szCs w:val="21"/>
              </w:rPr>
            </w:pPr>
          </w:p>
        </w:tc>
      </w:tr>
      <w:tr w14:paraId="660B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8063CCC">
            <w:pPr>
              <w:spacing w:line="420" w:lineRule="exact"/>
              <w:jc w:val="center"/>
              <w:rPr>
                <w:rFonts w:ascii="宋体" w:hAnsi="宋体"/>
                <w:szCs w:val="21"/>
              </w:rPr>
            </w:pPr>
            <w:r>
              <w:rPr>
                <w:rFonts w:hint="eastAsia" w:ascii="宋体" w:hAnsi="宋体"/>
                <w:szCs w:val="21"/>
              </w:rPr>
              <w:t>2</w:t>
            </w:r>
          </w:p>
        </w:tc>
        <w:tc>
          <w:tcPr>
            <w:tcW w:w="1169" w:type="dxa"/>
            <w:vAlign w:val="center"/>
          </w:tcPr>
          <w:p w14:paraId="5893F601">
            <w:pPr>
              <w:spacing w:line="420" w:lineRule="exact"/>
              <w:jc w:val="center"/>
              <w:rPr>
                <w:rFonts w:ascii="宋体" w:hAnsi="宋体"/>
                <w:szCs w:val="21"/>
              </w:rPr>
            </w:pPr>
          </w:p>
        </w:tc>
        <w:tc>
          <w:tcPr>
            <w:tcW w:w="1797" w:type="dxa"/>
            <w:vAlign w:val="center"/>
          </w:tcPr>
          <w:p w14:paraId="3FA1E86B">
            <w:pPr>
              <w:spacing w:line="420" w:lineRule="exact"/>
              <w:jc w:val="center"/>
              <w:rPr>
                <w:rFonts w:ascii="宋体" w:hAnsi="宋体"/>
                <w:szCs w:val="21"/>
              </w:rPr>
            </w:pPr>
          </w:p>
        </w:tc>
        <w:tc>
          <w:tcPr>
            <w:tcW w:w="1930" w:type="dxa"/>
            <w:vAlign w:val="center"/>
          </w:tcPr>
          <w:p w14:paraId="753CA250">
            <w:pPr>
              <w:spacing w:line="420" w:lineRule="exact"/>
              <w:jc w:val="center"/>
              <w:rPr>
                <w:rFonts w:ascii="宋体" w:hAnsi="宋体"/>
                <w:szCs w:val="21"/>
              </w:rPr>
            </w:pPr>
          </w:p>
        </w:tc>
        <w:tc>
          <w:tcPr>
            <w:tcW w:w="1793" w:type="dxa"/>
            <w:vAlign w:val="center"/>
          </w:tcPr>
          <w:p w14:paraId="0BF1B755">
            <w:pPr>
              <w:spacing w:line="420" w:lineRule="exact"/>
              <w:jc w:val="center"/>
              <w:rPr>
                <w:rFonts w:ascii="宋体" w:hAnsi="宋体"/>
                <w:szCs w:val="21"/>
              </w:rPr>
            </w:pPr>
          </w:p>
        </w:tc>
        <w:tc>
          <w:tcPr>
            <w:tcW w:w="1431" w:type="dxa"/>
            <w:vAlign w:val="center"/>
          </w:tcPr>
          <w:p w14:paraId="301A2A18">
            <w:pPr>
              <w:spacing w:line="420" w:lineRule="exact"/>
              <w:jc w:val="center"/>
              <w:rPr>
                <w:rFonts w:ascii="宋体" w:hAnsi="宋体"/>
                <w:szCs w:val="21"/>
              </w:rPr>
            </w:pPr>
          </w:p>
        </w:tc>
        <w:tc>
          <w:tcPr>
            <w:tcW w:w="1520" w:type="dxa"/>
            <w:vAlign w:val="center"/>
          </w:tcPr>
          <w:p w14:paraId="15BF843E">
            <w:pPr>
              <w:spacing w:line="420" w:lineRule="exact"/>
              <w:jc w:val="center"/>
              <w:rPr>
                <w:rFonts w:ascii="宋体" w:hAnsi="宋体"/>
                <w:szCs w:val="21"/>
              </w:rPr>
            </w:pPr>
          </w:p>
        </w:tc>
        <w:tc>
          <w:tcPr>
            <w:tcW w:w="1706" w:type="dxa"/>
            <w:vAlign w:val="center"/>
          </w:tcPr>
          <w:p w14:paraId="2905FC5E">
            <w:pPr>
              <w:spacing w:line="420" w:lineRule="exact"/>
              <w:jc w:val="center"/>
              <w:rPr>
                <w:rFonts w:ascii="宋体" w:hAnsi="宋体"/>
                <w:szCs w:val="21"/>
              </w:rPr>
            </w:pPr>
          </w:p>
        </w:tc>
        <w:tc>
          <w:tcPr>
            <w:tcW w:w="1697" w:type="dxa"/>
          </w:tcPr>
          <w:p w14:paraId="0103208D">
            <w:pPr>
              <w:spacing w:line="420" w:lineRule="exact"/>
              <w:jc w:val="center"/>
              <w:rPr>
                <w:rFonts w:ascii="宋体" w:hAnsi="宋体"/>
                <w:szCs w:val="21"/>
              </w:rPr>
            </w:pPr>
          </w:p>
        </w:tc>
      </w:tr>
      <w:tr w14:paraId="559C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F17F46">
            <w:pPr>
              <w:spacing w:line="420" w:lineRule="exact"/>
              <w:jc w:val="center"/>
              <w:rPr>
                <w:rFonts w:ascii="宋体" w:hAnsi="宋体"/>
                <w:szCs w:val="21"/>
              </w:rPr>
            </w:pPr>
            <w:r>
              <w:rPr>
                <w:rFonts w:hint="eastAsia" w:ascii="宋体" w:hAnsi="宋体"/>
                <w:szCs w:val="21"/>
              </w:rPr>
              <w:t>3</w:t>
            </w:r>
          </w:p>
        </w:tc>
        <w:tc>
          <w:tcPr>
            <w:tcW w:w="1169" w:type="dxa"/>
            <w:vAlign w:val="center"/>
          </w:tcPr>
          <w:p w14:paraId="1C3F8B0F">
            <w:pPr>
              <w:spacing w:line="420" w:lineRule="exact"/>
              <w:jc w:val="center"/>
              <w:rPr>
                <w:rFonts w:ascii="宋体" w:hAnsi="宋体"/>
                <w:szCs w:val="21"/>
              </w:rPr>
            </w:pPr>
          </w:p>
        </w:tc>
        <w:tc>
          <w:tcPr>
            <w:tcW w:w="1797" w:type="dxa"/>
            <w:vAlign w:val="center"/>
          </w:tcPr>
          <w:p w14:paraId="5AECD34A">
            <w:pPr>
              <w:spacing w:line="420" w:lineRule="exact"/>
              <w:jc w:val="center"/>
              <w:rPr>
                <w:rFonts w:ascii="宋体" w:hAnsi="宋体"/>
                <w:szCs w:val="21"/>
              </w:rPr>
            </w:pPr>
          </w:p>
        </w:tc>
        <w:tc>
          <w:tcPr>
            <w:tcW w:w="1930" w:type="dxa"/>
            <w:vAlign w:val="center"/>
          </w:tcPr>
          <w:p w14:paraId="0FF441D9">
            <w:pPr>
              <w:spacing w:line="420" w:lineRule="exact"/>
              <w:jc w:val="center"/>
              <w:rPr>
                <w:rFonts w:ascii="宋体" w:hAnsi="宋体"/>
                <w:szCs w:val="21"/>
              </w:rPr>
            </w:pPr>
          </w:p>
        </w:tc>
        <w:tc>
          <w:tcPr>
            <w:tcW w:w="1793" w:type="dxa"/>
            <w:vAlign w:val="center"/>
          </w:tcPr>
          <w:p w14:paraId="43F475C3">
            <w:pPr>
              <w:spacing w:line="420" w:lineRule="exact"/>
              <w:jc w:val="center"/>
              <w:rPr>
                <w:rFonts w:ascii="宋体" w:hAnsi="宋体"/>
                <w:szCs w:val="21"/>
              </w:rPr>
            </w:pPr>
          </w:p>
        </w:tc>
        <w:tc>
          <w:tcPr>
            <w:tcW w:w="1431" w:type="dxa"/>
            <w:vAlign w:val="center"/>
          </w:tcPr>
          <w:p w14:paraId="577AC8C8">
            <w:pPr>
              <w:spacing w:line="420" w:lineRule="exact"/>
              <w:jc w:val="center"/>
              <w:rPr>
                <w:rFonts w:ascii="宋体" w:hAnsi="宋体"/>
                <w:szCs w:val="21"/>
              </w:rPr>
            </w:pPr>
          </w:p>
        </w:tc>
        <w:tc>
          <w:tcPr>
            <w:tcW w:w="1520" w:type="dxa"/>
            <w:vAlign w:val="center"/>
          </w:tcPr>
          <w:p w14:paraId="3B146A87">
            <w:pPr>
              <w:spacing w:line="420" w:lineRule="exact"/>
              <w:jc w:val="center"/>
              <w:rPr>
                <w:rFonts w:ascii="宋体" w:hAnsi="宋体"/>
                <w:szCs w:val="21"/>
              </w:rPr>
            </w:pPr>
          </w:p>
        </w:tc>
        <w:tc>
          <w:tcPr>
            <w:tcW w:w="1706" w:type="dxa"/>
            <w:vAlign w:val="center"/>
          </w:tcPr>
          <w:p w14:paraId="09C3C5D1">
            <w:pPr>
              <w:spacing w:line="420" w:lineRule="exact"/>
              <w:jc w:val="center"/>
              <w:rPr>
                <w:rFonts w:ascii="宋体" w:hAnsi="宋体"/>
                <w:szCs w:val="21"/>
              </w:rPr>
            </w:pPr>
          </w:p>
        </w:tc>
        <w:tc>
          <w:tcPr>
            <w:tcW w:w="1697" w:type="dxa"/>
          </w:tcPr>
          <w:p w14:paraId="64B48E22">
            <w:pPr>
              <w:spacing w:line="420" w:lineRule="exact"/>
              <w:jc w:val="center"/>
              <w:rPr>
                <w:rFonts w:ascii="宋体" w:hAnsi="宋体"/>
                <w:szCs w:val="21"/>
              </w:rPr>
            </w:pPr>
          </w:p>
        </w:tc>
      </w:tr>
      <w:tr w14:paraId="3D19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72672E0">
            <w:pPr>
              <w:spacing w:line="420" w:lineRule="exact"/>
              <w:jc w:val="center"/>
              <w:rPr>
                <w:rFonts w:ascii="宋体" w:hAnsi="宋体"/>
                <w:szCs w:val="21"/>
              </w:rPr>
            </w:pPr>
            <w:r>
              <w:rPr>
                <w:rFonts w:hint="eastAsia" w:ascii="宋体" w:hAnsi="宋体"/>
                <w:szCs w:val="21"/>
              </w:rPr>
              <w:t>4</w:t>
            </w:r>
          </w:p>
        </w:tc>
        <w:tc>
          <w:tcPr>
            <w:tcW w:w="1169" w:type="dxa"/>
            <w:vAlign w:val="center"/>
          </w:tcPr>
          <w:p w14:paraId="22C06E31">
            <w:pPr>
              <w:spacing w:line="420" w:lineRule="exact"/>
              <w:jc w:val="center"/>
              <w:rPr>
                <w:rFonts w:ascii="宋体" w:hAnsi="宋体"/>
                <w:szCs w:val="21"/>
              </w:rPr>
            </w:pPr>
          </w:p>
        </w:tc>
        <w:tc>
          <w:tcPr>
            <w:tcW w:w="1797" w:type="dxa"/>
            <w:vAlign w:val="center"/>
          </w:tcPr>
          <w:p w14:paraId="4190918A">
            <w:pPr>
              <w:spacing w:line="420" w:lineRule="exact"/>
              <w:jc w:val="center"/>
              <w:rPr>
                <w:rFonts w:ascii="宋体" w:hAnsi="宋体"/>
                <w:szCs w:val="21"/>
              </w:rPr>
            </w:pPr>
          </w:p>
        </w:tc>
        <w:tc>
          <w:tcPr>
            <w:tcW w:w="1930" w:type="dxa"/>
            <w:vAlign w:val="center"/>
          </w:tcPr>
          <w:p w14:paraId="4A267582">
            <w:pPr>
              <w:spacing w:line="420" w:lineRule="exact"/>
              <w:jc w:val="center"/>
              <w:rPr>
                <w:rFonts w:ascii="宋体" w:hAnsi="宋体"/>
                <w:szCs w:val="21"/>
              </w:rPr>
            </w:pPr>
          </w:p>
        </w:tc>
        <w:tc>
          <w:tcPr>
            <w:tcW w:w="1793" w:type="dxa"/>
            <w:vAlign w:val="center"/>
          </w:tcPr>
          <w:p w14:paraId="1CF4EF92">
            <w:pPr>
              <w:spacing w:line="420" w:lineRule="exact"/>
              <w:jc w:val="center"/>
              <w:rPr>
                <w:rFonts w:ascii="宋体" w:hAnsi="宋体"/>
                <w:szCs w:val="21"/>
              </w:rPr>
            </w:pPr>
          </w:p>
        </w:tc>
        <w:tc>
          <w:tcPr>
            <w:tcW w:w="1431" w:type="dxa"/>
            <w:vAlign w:val="center"/>
          </w:tcPr>
          <w:p w14:paraId="6CCE3A4D">
            <w:pPr>
              <w:spacing w:line="420" w:lineRule="exact"/>
              <w:jc w:val="center"/>
              <w:rPr>
                <w:rFonts w:ascii="宋体" w:hAnsi="宋体"/>
                <w:szCs w:val="21"/>
              </w:rPr>
            </w:pPr>
          </w:p>
        </w:tc>
        <w:tc>
          <w:tcPr>
            <w:tcW w:w="1520" w:type="dxa"/>
            <w:vAlign w:val="center"/>
          </w:tcPr>
          <w:p w14:paraId="35BAC39D">
            <w:pPr>
              <w:spacing w:line="420" w:lineRule="exact"/>
              <w:jc w:val="center"/>
              <w:rPr>
                <w:rFonts w:ascii="宋体" w:hAnsi="宋体"/>
                <w:szCs w:val="21"/>
              </w:rPr>
            </w:pPr>
          </w:p>
        </w:tc>
        <w:tc>
          <w:tcPr>
            <w:tcW w:w="1706" w:type="dxa"/>
            <w:vAlign w:val="center"/>
          </w:tcPr>
          <w:p w14:paraId="28BE3ED0">
            <w:pPr>
              <w:spacing w:line="420" w:lineRule="exact"/>
              <w:jc w:val="center"/>
              <w:rPr>
                <w:rFonts w:ascii="宋体" w:hAnsi="宋体"/>
                <w:szCs w:val="21"/>
              </w:rPr>
            </w:pPr>
          </w:p>
        </w:tc>
        <w:tc>
          <w:tcPr>
            <w:tcW w:w="1697" w:type="dxa"/>
          </w:tcPr>
          <w:p w14:paraId="26F6DAA3">
            <w:pPr>
              <w:spacing w:line="420" w:lineRule="exact"/>
              <w:jc w:val="center"/>
              <w:rPr>
                <w:rFonts w:ascii="宋体" w:hAnsi="宋体"/>
                <w:szCs w:val="21"/>
              </w:rPr>
            </w:pPr>
          </w:p>
        </w:tc>
      </w:tr>
      <w:tr w14:paraId="5D64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7094DA6">
            <w:pPr>
              <w:spacing w:line="420" w:lineRule="exact"/>
              <w:jc w:val="center"/>
              <w:rPr>
                <w:rFonts w:ascii="宋体" w:hAnsi="宋体"/>
                <w:szCs w:val="21"/>
              </w:rPr>
            </w:pPr>
            <w:r>
              <w:rPr>
                <w:rFonts w:hint="eastAsia" w:ascii="宋体" w:hAnsi="宋体"/>
                <w:szCs w:val="21"/>
              </w:rPr>
              <w:t>5</w:t>
            </w:r>
          </w:p>
        </w:tc>
        <w:tc>
          <w:tcPr>
            <w:tcW w:w="1169" w:type="dxa"/>
            <w:vAlign w:val="center"/>
          </w:tcPr>
          <w:p w14:paraId="77F5257E">
            <w:pPr>
              <w:spacing w:line="420" w:lineRule="exact"/>
              <w:jc w:val="center"/>
              <w:rPr>
                <w:rFonts w:ascii="宋体" w:hAnsi="宋体"/>
                <w:szCs w:val="21"/>
              </w:rPr>
            </w:pPr>
          </w:p>
        </w:tc>
        <w:tc>
          <w:tcPr>
            <w:tcW w:w="1797" w:type="dxa"/>
            <w:vAlign w:val="center"/>
          </w:tcPr>
          <w:p w14:paraId="600791BA">
            <w:pPr>
              <w:spacing w:line="420" w:lineRule="exact"/>
              <w:jc w:val="center"/>
              <w:rPr>
                <w:rFonts w:ascii="宋体" w:hAnsi="宋体"/>
                <w:szCs w:val="21"/>
              </w:rPr>
            </w:pPr>
          </w:p>
        </w:tc>
        <w:tc>
          <w:tcPr>
            <w:tcW w:w="1930" w:type="dxa"/>
            <w:vAlign w:val="center"/>
          </w:tcPr>
          <w:p w14:paraId="5E26CAA0">
            <w:pPr>
              <w:spacing w:line="420" w:lineRule="exact"/>
              <w:jc w:val="center"/>
              <w:rPr>
                <w:rFonts w:ascii="宋体" w:hAnsi="宋体"/>
                <w:szCs w:val="21"/>
              </w:rPr>
            </w:pPr>
          </w:p>
        </w:tc>
        <w:tc>
          <w:tcPr>
            <w:tcW w:w="1793" w:type="dxa"/>
            <w:vAlign w:val="center"/>
          </w:tcPr>
          <w:p w14:paraId="4933C07E">
            <w:pPr>
              <w:spacing w:line="420" w:lineRule="exact"/>
              <w:jc w:val="center"/>
              <w:rPr>
                <w:rFonts w:ascii="宋体" w:hAnsi="宋体"/>
                <w:szCs w:val="21"/>
              </w:rPr>
            </w:pPr>
          </w:p>
        </w:tc>
        <w:tc>
          <w:tcPr>
            <w:tcW w:w="1431" w:type="dxa"/>
            <w:vAlign w:val="center"/>
          </w:tcPr>
          <w:p w14:paraId="6000F445">
            <w:pPr>
              <w:spacing w:line="420" w:lineRule="exact"/>
              <w:jc w:val="center"/>
              <w:rPr>
                <w:rFonts w:ascii="宋体" w:hAnsi="宋体"/>
                <w:szCs w:val="21"/>
              </w:rPr>
            </w:pPr>
          </w:p>
        </w:tc>
        <w:tc>
          <w:tcPr>
            <w:tcW w:w="1520" w:type="dxa"/>
            <w:vAlign w:val="center"/>
          </w:tcPr>
          <w:p w14:paraId="60D4E5F9">
            <w:pPr>
              <w:spacing w:line="420" w:lineRule="exact"/>
              <w:jc w:val="center"/>
              <w:rPr>
                <w:rFonts w:ascii="宋体" w:hAnsi="宋体"/>
                <w:szCs w:val="21"/>
              </w:rPr>
            </w:pPr>
          </w:p>
        </w:tc>
        <w:tc>
          <w:tcPr>
            <w:tcW w:w="1706" w:type="dxa"/>
            <w:vAlign w:val="center"/>
          </w:tcPr>
          <w:p w14:paraId="21BA4925">
            <w:pPr>
              <w:spacing w:line="420" w:lineRule="exact"/>
              <w:jc w:val="center"/>
              <w:rPr>
                <w:rFonts w:ascii="宋体" w:hAnsi="宋体"/>
                <w:szCs w:val="21"/>
              </w:rPr>
            </w:pPr>
          </w:p>
        </w:tc>
        <w:tc>
          <w:tcPr>
            <w:tcW w:w="1697" w:type="dxa"/>
          </w:tcPr>
          <w:p w14:paraId="33AC87C3">
            <w:pPr>
              <w:spacing w:line="420" w:lineRule="exact"/>
              <w:jc w:val="center"/>
              <w:rPr>
                <w:rFonts w:ascii="宋体" w:hAnsi="宋体"/>
                <w:szCs w:val="21"/>
              </w:rPr>
            </w:pPr>
          </w:p>
        </w:tc>
      </w:tr>
      <w:tr w14:paraId="4AF7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E632FC6">
            <w:pPr>
              <w:spacing w:line="420" w:lineRule="exact"/>
              <w:jc w:val="center"/>
              <w:rPr>
                <w:rFonts w:ascii="宋体" w:hAnsi="宋体"/>
                <w:szCs w:val="21"/>
              </w:rPr>
            </w:pPr>
            <w:r>
              <w:rPr>
                <w:rFonts w:hint="eastAsia" w:ascii="宋体" w:hAnsi="宋体"/>
                <w:szCs w:val="21"/>
              </w:rPr>
              <w:t>6</w:t>
            </w:r>
          </w:p>
        </w:tc>
        <w:tc>
          <w:tcPr>
            <w:tcW w:w="1169" w:type="dxa"/>
            <w:vAlign w:val="center"/>
          </w:tcPr>
          <w:p w14:paraId="2FA1DE82">
            <w:pPr>
              <w:spacing w:line="420" w:lineRule="exact"/>
              <w:jc w:val="center"/>
              <w:rPr>
                <w:rFonts w:ascii="宋体" w:hAnsi="宋体"/>
                <w:szCs w:val="21"/>
              </w:rPr>
            </w:pPr>
          </w:p>
        </w:tc>
        <w:tc>
          <w:tcPr>
            <w:tcW w:w="1797" w:type="dxa"/>
            <w:vAlign w:val="center"/>
          </w:tcPr>
          <w:p w14:paraId="2BF3273A">
            <w:pPr>
              <w:spacing w:line="420" w:lineRule="exact"/>
              <w:jc w:val="center"/>
              <w:rPr>
                <w:rFonts w:ascii="宋体" w:hAnsi="宋体"/>
                <w:szCs w:val="21"/>
              </w:rPr>
            </w:pPr>
          </w:p>
        </w:tc>
        <w:tc>
          <w:tcPr>
            <w:tcW w:w="1930" w:type="dxa"/>
            <w:vAlign w:val="center"/>
          </w:tcPr>
          <w:p w14:paraId="3E159FC2">
            <w:pPr>
              <w:spacing w:line="420" w:lineRule="exact"/>
              <w:jc w:val="center"/>
              <w:rPr>
                <w:rFonts w:ascii="宋体" w:hAnsi="宋体"/>
                <w:szCs w:val="21"/>
              </w:rPr>
            </w:pPr>
          </w:p>
        </w:tc>
        <w:tc>
          <w:tcPr>
            <w:tcW w:w="1793" w:type="dxa"/>
            <w:vAlign w:val="center"/>
          </w:tcPr>
          <w:p w14:paraId="3FC1A895">
            <w:pPr>
              <w:spacing w:line="420" w:lineRule="exact"/>
              <w:jc w:val="center"/>
              <w:rPr>
                <w:rFonts w:ascii="宋体" w:hAnsi="宋体"/>
                <w:szCs w:val="21"/>
              </w:rPr>
            </w:pPr>
          </w:p>
        </w:tc>
        <w:tc>
          <w:tcPr>
            <w:tcW w:w="1431" w:type="dxa"/>
            <w:vAlign w:val="center"/>
          </w:tcPr>
          <w:p w14:paraId="67AB820C">
            <w:pPr>
              <w:spacing w:line="420" w:lineRule="exact"/>
              <w:jc w:val="center"/>
              <w:rPr>
                <w:rFonts w:ascii="宋体" w:hAnsi="宋体"/>
                <w:szCs w:val="21"/>
              </w:rPr>
            </w:pPr>
          </w:p>
        </w:tc>
        <w:tc>
          <w:tcPr>
            <w:tcW w:w="1520" w:type="dxa"/>
            <w:vAlign w:val="center"/>
          </w:tcPr>
          <w:p w14:paraId="2926B51E">
            <w:pPr>
              <w:spacing w:line="420" w:lineRule="exact"/>
              <w:jc w:val="center"/>
              <w:rPr>
                <w:rFonts w:ascii="宋体" w:hAnsi="宋体"/>
                <w:szCs w:val="21"/>
              </w:rPr>
            </w:pPr>
          </w:p>
        </w:tc>
        <w:tc>
          <w:tcPr>
            <w:tcW w:w="1706" w:type="dxa"/>
            <w:vAlign w:val="center"/>
          </w:tcPr>
          <w:p w14:paraId="5DD4F58D">
            <w:pPr>
              <w:spacing w:line="420" w:lineRule="exact"/>
              <w:jc w:val="center"/>
              <w:rPr>
                <w:rFonts w:ascii="宋体" w:hAnsi="宋体"/>
                <w:szCs w:val="21"/>
              </w:rPr>
            </w:pPr>
          </w:p>
        </w:tc>
        <w:tc>
          <w:tcPr>
            <w:tcW w:w="1697" w:type="dxa"/>
          </w:tcPr>
          <w:p w14:paraId="51E83091">
            <w:pPr>
              <w:spacing w:line="420" w:lineRule="exact"/>
              <w:jc w:val="center"/>
              <w:rPr>
                <w:rFonts w:ascii="宋体" w:hAnsi="宋体"/>
                <w:szCs w:val="21"/>
              </w:rPr>
            </w:pPr>
          </w:p>
        </w:tc>
      </w:tr>
      <w:tr w14:paraId="7977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16159931">
            <w:pPr>
              <w:spacing w:line="420" w:lineRule="exact"/>
              <w:jc w:val="center"/>
              <w:rPr>
                <w:rFonts w:ascii="宋体" w:hAnsi="宋体"/>
                <w:szCs w:val="21"/>
              </w:rPr>
            </w:pPr>
            <w:r>
              <w:rPr>
                <w:rFonts w:hint="eastAsia" w:ascii="宋体" w:hAnsi="宋体"/>
                <w:szCs w:val="21"/>
              </w:rPr>
              <w:t>7</w:t>
            </w:r>
          </w:p>
        </w:tc>
        <w:tc>
          <w:tcPr>
            <w:tcW w:w="1169" w:type="dxa"/>
            <w:vAlign w:val="center"/>
          </w:tcPr>
          <w:p w14:paraId="01A06423">
            <w:pPr>
              <w:spacing w:line="420" w:lineRule="exact"/>
              <w:jc w:val="center"/>
              <w:rPr>
                <w:rFonts w:ascii="宋体" w:hAnsi="宋体"/>
                <w:szCs w:val="21"/>
              </w:rPr>
            </w:pPr>
          </w:p>
        </w:tc>
        <w:tc>
          <w:tcPr>
            <w:tcW w:w="1797" w:type="dxa"/>
            <w:vAlign w:val="center"/>
          </w:tcPr>
          <w:p w14:paraId="26D33A69">
            <w:pPr>
              <w:spacing w:line="420" w:lineRule="exact"/>
              <w:jc w:val="center"/>
              <w:rPr>
                <w:rFonts w:ascii="宋体" w:hAnsi="宋体"/>
                <w:szCs w:val="21"/>
              </w:rPr>
            </w:pPr>
          </w:p>
        </w:tc>
        <w:tc>
          <w:tcPr>
            <w:tcW w:w="1930" w:type="dxa"/>
            <w:vAlign w:val="center"/>
          </w:tcPr>
          <w:p w14:paraId="081EC2EB">
            <w:pPr>
              <w:spacing w:line="420" w:lineRule="exact"/>
              <w:jc w:val="center"/>
              <w:rPr>
                <w:rFonts w:ascii="宋体" w:hAnsi="宋体"/>
                <w:szCs w:val="21"/>
              </w:rPr>
            </w:pPr>
          </w:p>
        </w:tc>
        <w:tc>
          <w:tcPr>
            <w:tcW w:w="1793" w:type="dxa"/>
            <w:vAlign w:val="center"/>
          </w:tcPr>
          <w:p w14:paraId="51E47102">
            <w:pPr>
              <w:spacing w:line="420" w:lineRule="exact"/>
              <w:jc w:val="center"/>
              <w:rPr>
                <w:rFonts w:ascii="宋体" w:hAnsi="宋体"/>
                <w:szCs w:val="21"/>
              </w:rPr>
            </w:pPr>
          </w:p>
        </w:tc>
        <w:tc>
          <w:tcPr>
            <w:tcW w:w="1431" w:type="dxa"/>
            <w:vAlign w:val="center"/>
          </w:tcPr>
          <w:p w14:paraId="38834C5D">
            <w:pPr>
              <w:spacing w:line="420" w:lineRule="exact"/>
              <w:jc w:val="center"/>
              <w:rPr>
                <w:rFonts w:ascii="宋体" w:hAnsi="宋体"/>
                <w:szCs w:val="21"/>
              </w:rPr>
            </w:pPr>
          </w:p>
        </w:tc>
        <w:tc>
          <w:tcPr>
            <w:tcW w:w="1520" w:type="dxa"/>
            <w:vAlign w:val="center"/>
          </w:tcPr>
          <w:p w14:paraId="5960FD92">
            <w:pPr>
              <w:spacing w:line="420" w:lineRule="exact"/>
              <w:jc w:val="center"/>
              <w:rPr>
                <w:rFonts w:ascii="宋体" w:hAnsi="宋体"/>
                <w:szCs w:val="21"/>
              </w:rPr>
            </w:pPr>
          </w:p>
        </w:tc>
        <w:tc>
          <w:tcPr>
            <w:tcW w:w="1706" w:type="dxa"/>
            <w:vAlign w:val="center"/>
          </w:tcPr>
          <w:p w14:paraId="40058F86">
            <w:pPr>
              <w:spacing w:line="420" w:lineRule="exact"/>
              <w:jc w:val="center"/>
              <w:rPr>
                <w:rFonts w:ascii="宋体" w:hAnsi="宋体"/>
                <w:szCs w:val="21"/>
              </w:rPr>
            </w:pPr>
          </w:p>
        </w:tc>
        <w:tc>
          <w:tcPr>
            <w:tcW w:w="1697" w:type="dxa"/>
          </w:tcPr>
          <w:p w14:paraId="0B3C1FA8">
            <w:pPr>
              <w:spacing w:line="420" w:lineRule="exact"/>
              <w:jc w:val="center"/>
              <w:rPr>
                <w:rFonts w:ascii="宋体" w:hAnsi="宋体"/>
                <w:szCs w:val="21"/>
              </w:rPr>
            </w:pPr>
          </w:p>
        </w:tc>
      </w:tr>
      <w:bookmarkEnd w:id="656"/>
    </w:tbl>
    <w:p w14:paraId="58938266">
      <w:pPr>
        <w:spacing w:after="240" w:afterLines="100"/>
        <w:rPr>
          <w:szCs w:val="44"/>
        </w:rPr>
      </w:pPr>
    </w:p>
    <w:p w14:paraId="396852E2">
      <w:pPr>
        <w:adjustRightInd w:val="0"/>
        <w:snapToGrid w:val="0"/>
        <w:spacing w:line="440" w:lineRule="exact"/>
        <w:rPr>
          <w:rFonts w:ascii="黑体" w:eastAsia="黑体"/>
          <w:sz w:val="24"/>
        </w:rPr>
      </w:pPr>
    </w:p>
    <w:p w14:paraId="6AB5408E">
      <w:pPr>
        <w:adjustRightInd w:val="0"/>
        <w:snapToGrid w:val="0"/>
        <w:spacing w:line="440" w:lineRule="exact"/>
        <w:rPr>
          <w:rFonts w:ascii="黑体" w:eastAsia="黑体"/>
          <w:sz w:val="24"/>
        </w:rPr>
        <w:sectPr>
          <w:footerReference r:id="rId14" w:type="default"/>
          <w:footerReference r:id="rId15" w:type="even"/>
          <w:pgSz w:w="16838" w:h="11906" w:orient="landscape"/>
          <w:pgMar w:top="1797" w:right="1440" w:bottom="1797" w:left="1440" w:header="851" w:footer="851" w:gutter="0"/>
          <w:cols w:space="720" w:num="1"/>
          <w:docGrid w:linePitch="312" w:charSpace="0"/>
        </w:sectPr>
      </w:pPr>
    </w:p>
    <w:p w14:paraId="254427B1">
      <w:pPr>
        <w:pStyle w:val="25"/>
      </w:pPr>
      <w:bookmarkStart w:id="657" w:name="_Toc165804448"/>
      <w:bookmarkStart w:id="658" w:name="_Toc256000131"/>
      <w:r>
        <w:t>附表A-2：评标专家</w:t>
      </w:r>
      <w:r>
        <w:rPr>
          <w:rFonts w:hint="eastAsia"/>
        </w:rPr>
        <w:t>告知承诺函</w:t>
      </w:r>
      <w:bookmarkEnd w:id="657"/>
      <w:bookmarkEnd w:id="658"/>
    </w:p>
    <w:p w14:paraId="5B6689AD">
      <w:pPr>
        <w:adjustRightInd w:val="0"/>
        <w:snapToGrid w:val="0"/>
        <w:spacing w:line="440" w:lineRule="exact"/>
        <w:rPr>
          <w:rFonts w:ascii="黑体" w:eastAsia="黑体"/>
          <w:sz w:val="24"/>
        </w:rPr>
      </w:pPr>
    </w:p>
    <w:p w14:paraId="022DF6E7">
      <w:pPr>
        <w:adjustRightInd w:val="0"/>
        <w:snapToGrid w:val="0"/>
        <w:spacing w:before="240" w:beforeLines="100" w:after="240" w:afterLines="100" w:line="440" w:lineRule="exact"/>
        <w:jc w:val="center"/>
        <w:rPr>
          <w:rFonts w:ascii="黑体" w:hAnsi="宋体" w:eastAsia="黑体"/>
          <w:sz w:val="36"/>
          <w:szCs w:val="36"/>
        </w:rPr>
      </w:pPr>
      <w:r>
        <w:rPr>
          <w:rFonts w:hint="eastAsia" w:ascii="黑体" w:hAnsi="宋体" w:eastAsia="黑体"/>
          <w:sz w:val="36"/>
          <w:szCs w:val="36"/>
        </w:rPr>
        <w:t>评标专家告知承诺函</w:t>
      </w:r>
    </w:p>
    <w:p w14:paraId="507A326C">
      <w:pPr>
        <w:spacing w:line="360" w:lineRule="auto"/>
        <w:ind w:firstLine="420" w:firstLineChars="200"/>
      </w:pPr>
    </w:p>
    <w:p w14:paraId="74B745C8">
      <w:pPr>
        <w:spacing w:line="360" w:lineRule="auto"/>
        <w:ind w:firstLine="420" w:firstLineChars="200"/>
      </w:pPr>
      <w:r>
        <w:t>本人接受招标人邀请，担任</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（标段名称）项目</w:t>
      </w:r>
      <w:r>
        <w:t>招标的评标专家。</w:t>
      </w:r>
    </w:p>
    <w:p w14:paraId="02A6217F">
      <w:pPr>
        <w:spacing w:line="360" w:lineRule="auto"/>
        <w:ind w:firstLine="420" w:firstLineChars="200"/>
        <w:rPr>
          <w:rFonts w:ascii="宋体" w:hAnsi="宋体"/>
          <w:szCs w:val="21"/>
        </w:rPr>
      </w:pPr>
      <w:r>
        <w:rPr>
          <w:rFonts w:hint="eastAsia" w:ascii="宋体" w:hAnsi="宋体"/>
          <w:szCs w:val="21"/>
        </w:rPr>
        <w:t>本人作为辽宁省评标专家库评标专家，已知悉相关权利义务，已熟知告知承诺函内容，并在此郑重承诺:</w:t>
      </w:r>
    </w:p>
    <w:p w14:paraId="2AF2E4A4">
      <w:pPr>
        <w:spacing w:line="360" w:lineRule="auto"/>
        <w:ind w:firstLine="420" w:firstLineChars="200"/>
        <w:rPr>
          <w:rFonts w:ascii="宋体" w:hAnsi="宋体"/>
          <w:szCs w:val="21"/>
        </w:rPr>
      </w:pPr>
      <w:r>
        <w:rPr>
          <w:rFonts w:hint="eastAsia" w:ascii="宋体" w:hAnsi="宋体"/>
          <w:szCs w:val="21"/>
        </w:rPr>
        <w:t>一、尽职承诺</w:t>
      </w:r>
    </w:p>
    <w:p w14:paraId="5C22DC84">
      <w:pPr>
        <w:spacing w:line="360" w:lineRule="auto"/>
        <w:ind w:firstLine="420" w:firstLineChars="200"/>
        <w:rPr>
          <w:rFonts w:ascii="宋体" w:hAnsi="宋体"/>
          <w:szCs w:val="21"/>
        </w:rPr>
      </w:pPr>
      <w:r>
        <w:rPr>
          <w:rFonts w:hint="eastAsia" w:ascii="宋体" w:hAnsi="宋体"/>
          <w:szCs w:val="21"/>
        </w:rPr>
        <w:t>（一）客观、公正地履行职务，严格按照法律法规规定、评标办法独立完成该项目的评标工作。</w:t>
      </w:r>
    </w:p>
    <w:p w14:paraId="4BC18542">
      <w:pPr>
        <w:spacing w:line="360" w:lineRule="auto"/>
        <w:ind w:firstLine="420" w:firstLineChars="200"/>
        <w:rPr>
          <w:rFonts w:ascii="宋体" w:hAnsi="宋体"/>
          <w:szCs w:val="21"/>
        </w:rPr>
      </w:pPr>
      <w:r>
        <w:rPr>
          <w:rFonts w:hint="eastAsia" w:ascii="宋体" w:hAnsi="宋体"/>
          <w:szCs w:val="21"/>
        </w:rPr>
        <w:t>（二）严格遵守评标纪律，保证评标过程中不发表任何涉及实质性内容的倾向性、引导性言论，不擅离职守。</w:t>
      </w:r>
    </w:p>
    <w:p w14:paraId="140390F7">
      <w:pPr>
        <w:spacing w:line="360" w:lineRule="auto"/>
        <w:ind w:firstLine="420" w:firstLineChars="200"/>
        <w:rPr>
          <w:rFonts w:ascii="宋体" w:hAnsi="宋体"/>
          <w:szCs w:val="21"/>
        </w:rPr>
      </w:pPr>
      <w:r>
        <w:rPr>
          <w:rFonts w:hint="eastAsia" w:ascii="宋体" w:hAnsi="宋体"/>
          <w:szCs w:val="21"/>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34DD5FC6">
      <w:pPr>
        <w:spacing w:line="360" w:lineRule="auto"/>
        <w:ind w:firstLine="420" w:firstLineChars="200"/>
        <w:rPr>
          <w:rFonts w:ascii="宋体" w:hAnsi="宋体"/>
          <w:szCs w:val="21"/>
        </w:rPr>
      </w:pPr>
      <w:r>
        <w:rPr>
          <w:rFonts w:hint="eastAsia" w:ascii="宋体" w:hAnsi="宋体"/>
          <w:szCs w:val="21"/>
        </w:rPr>
        <w:t>（四）对依法应当否决的投标提出否决意见。</w:t>
      </w:r>
    </w:p>
    <w:p w14:paraId="7A78AE4C">
      <w:pPr>
        <w:spacing w:line="360" w:lineRule="auto"/>
        <w:ind w:firstLine="420" w:firstLineChars="200"/>
        <w:rPr>
          <w:rFonts w:ascii="宋体" w:hAnsi="宋体"/>
          <w:szCs w:val="21"/>
        </w:rPr>
      </w:pPr>
      <w:r>
        <w:rPr>
          <w:rFonts w:hint="eastAsia" w:ascii="宋体" w:hAnsi="宋体"/>
          <w:szCs w:val="21"/>
        </w:rPr>
        <w:t>二、回避承诺</w:t>
      </w:r>
    </w:p>
    <w:p w14:paraId="3B95A2A5">
      <w:pPr>
        <w:spacing w:line="360" w:lineRule="auto"/>
        <w:ind w:firstLine="420" w:firstLineChars="200"/>
        <w:rPr>
          <w:rFonts w:ascii="宋体" w:hAnsi="宋体"/>
          <w:szCs w:val="21"/>
        </w:rPr>
      </w:pPr>
      <w:r>
        <w:rPr>
          <w:rFonts w:hint="eastAsia" w:ascii="宋体" w:hAnsi="宋体"/>
          <w:szCs w:val="21"/>
        </w:rPr>
        <w:t>（一）与招标人或投标人的主要负责人不存在近亲属关系。</w:t>
      </w:r>
    </w:p>
    <w:p w14:paraId="0BB3CD37">
      <w:pPr>
        <w:spacing w:line="360" w:lineRule="auto"/>
        <w:ind w:firstLine="420" w:firstLineChars="200"/>
        <w:rPr>
          <w:rFonts w:ascii="宋体" w:hAnsi="宋体"/>
          <w:szCs w:val="21"/>
        </w:rPr>
      </w:pPr>
      <w:r>
        <w:rPr>
          <w:rFonts w:hint="eastAsia" w:ascii="宋体" w:hAnsi="宋体"/>
          <w:szCs w:val="21"/>
        </w:rPr>
        <w:t>（二）非项目主管部门或者行政监督部门的人员。</w:t>
      </w:r>
    </w:p>
    <w:p w14:paraId="155542CB">
      <w:pPr>
        <w:spacing w:line="360" w:lineRule="auto"/>
        <w:ind w:firstLine="420" w:firstLineChars="200"/>
        <w:rPr>
          <w:rFonts w:ascii="宋体" w:hAnsi="宋体"/>
          <w:szCs w:val="21"/>
        </w:rPr>
      </w:pPr>
      <w:r>
        <w:rPr>
          <w:rFonts w:hint="eastAsia" w:ascii="宋体" w:hAnsi="宋体"/>
          <w:szCs w:val="21"/>
        </w:rPr>
        <w:t>（三）近</w:t>
      </w:r>
      <w:r>
        <w:rPr>
          <w:rFonts w:ascii="宋体" w:hAnsi="宋体"/>
          <w:szCs w:val="21"/>
        </w:rPr>
        <w:t>5</w:t>
      </w:r>
      <w:r>
        <w:rPr>
          <w:rFonts w:hint="eastAsia" w:ascii="宋体" w:hAnsi="宋体"/>
          <w:szCs w:val="21"/>
        </w:rPr>
        <w:t>年未与投标人或者投标人主要负责人有其他社会关系或者经济利益关系。</w:t>
      </w:r>
    </w:p>
    <w:p w14:paraId="4F4FD25F">
      <w:pPr>
        <w:spacing w:line="360" w:lineRule="auto"/>
        <w:ind w:firstLine="420" w:firstLineChars="200"/>
        <w:rPr>
          <w:rFonts w:ascii="宋体" w:hAnsi="宋体"/>
          <w:szCs w:val="21"/>
        </w:rPr>
      </w:pPr>
      <w:r>
        <w:rPr>
          <w:rFonts w:hint="eastAsia" w:ascii="宋体" w:hAnsi="宋体"/>
          <w:szCs w:val="21"/>
        </w:rPr>
        <w:t>（四）未曾因在招标、评标以及其他与招标投标有关活动中从事违法行为而受过行政处罚或刑事处罚的。</w:t>
      </w:r>
    </w:p>
    <w:p w14:paraId="20BE4A2D">
      <w:pPr>
        <w:spacing w:line="360" w:lineRule="auto"/>
        <w:ind w:firstLine="420" w:firstLineChars="200"/>
        <w:rPr>
          <w:rFonts w:ascii="宋体" w:hAnsi="宋体"/>
          <w:szCs w:val="21"/>
        </w:rPr>
      </w:pPr>
      <w:r>
        <w:rPr>
          <w:rFonts w:hint="eastAsia" w:ascii="宋体" w:hAnsi="宋体"/>
          <w:szCs w:val="21"/>
        </w:rPr>
        <w:t>三、保密承诺</w:t>
      </w:r>
    </w:p>
    <w:p w14:paraId="272E1D1F">
      <w:pPr>
        <w:spacing w:line="360" w:lineRule="auto"/>
        <w:ind w:firstLine="420" w:firstLineChars="200"/>
        <w:rPr>
          <w:rFonts w:ascii="宋体" w:hAnsi="宋体"/>
          <w:szCs w:val="21"/>
        </w:rPr>
      </w:pPr>
      <w:r>
        <w:rPr>
          <w:rFonts w:hint="eastAsia" w:ascii="宋体" w:hAnsi="宋体"/>
          <w:szCs w:val="21"/>
        </w:rPr>
        <w:t>（一）不在公共社交网站、媒体、平台，如微信群、QQ群、朋友圈、个人微博等，通过视频、图片、暗语等方式泄露评标任务。</w:t>
      </w:r>
    </w:p>
    <w:p w14:paraId="0DEB412C">
      <w:pPr>
        <w:spacing w:line="360" w:lineRule="auto"/>
        <w:ind w:firstLine="420" w:firstLineChars="200"/>
        <w:rPr>
          <w:rFonts w:ascii="宋体" w:hAnsi="宋体"/>
          <w:szCs w:val="21"/>
        </w:rPr>
      </w:pPr>
      <w:r>
        <w:rPr>
          <w:rFonts w:hint="eastAsia" w:ascii="宋体" w:hAnsi="宋体"/>
          <w:szCs w:val="21"/>
        </w:rPr>
        <w:t>（二）评审结束时，全部清退不应由个人持有的评审项目所有文件和资料，不向任何人透露投标文件的评审和比较情况、中标候选人推荐情况以及与评审有关的其他情况。</w:t>
      </w:r>
    </w:p>
    <w:p w14:paraId="7F7351B9">
      <w:pPr>
        <w:spacing w:line="360" w:lineRule="auto"/>
        <w:ind w:firstLine="420" w:firstLineChars="200"/>
        <w:rPr>
          <w:rFonts w:ascii="宋体" w:hAnsi="宋体"/>
          <w:szCs w:val="21"/>
        </w:rPr>
      </w:pPr>
      <w:r>
        <w:rPr>
          <w:rFonts w:hint="eastAsia" w:ascii="宋体" w:hAnsi="宋体"/>
          <w:szCs w:val="21"/>
        </w:rPr>
        <w:t>四、廉洁承诺</w:t>
      </w:r>
    </w:p>
    <w:p w14:paraId="6BB8D653">
      <w:pPr>
        <w:spacing w:line="360" w:lineRule="auto"/>
        <w:ind w:firstLine="420" w:firstLineChars="200"/>
        <w:rPr>
          <w:rFonts w:ascii="宋体" w:hAnsi="宋体"/>
          <w:szCs w:val="21"/>
        </w:rPr>
      </w:pPr>
      <w:r>
        <w:rPr>
          <w:rFonts w:hint="eastAsia" w:ascii="宋体" w:hAnsi="宋体"/>
          <w:szCs w:val="21"/>
        </w:rPr>
        <w:t>（一）严格履行廉政自律责任，遵守评标廉政纪律，没有私下接触招标人、招标代理机构、投标人，没有收受利益相关人或企业的财物、好处。</w:t>
      </w:r>
    </w:p>
    <w:p w14:paraId="22916DFB">
      <w:pPr>
        <w:spacing w:line="360" w:lineRule="auto"/>
        <w:ind w:firstLine="420" w:firstLineChars="200"/>
        <w:rPr>
          <w:rFonts w:ascii="宋体" w:hAnsi="宋体"/>
          <w:szCs w:val="21"/>
        </w:rPr>
      </w:pPr>
      <w:r>
        <w:rPr>
          <w:rFonts w:hint="eastAsia" w:ascii="宋体" w:hAnsi="宋体"/>
          <w:szCs w:val="21"/>
        </w:rPr>
        <w:t>（二）不向招标人征询确定中标人的意向或者接受任何单位、个人明示暗示特定投标人的要求。</w:t>
      </w:r>
    </w:p>
    <w:p w14:paraId="49708C65">
      <w:pPr>
        <w:spacing w:line="360" w:lineRule="auto"/>
        <w:ind w:firstLine="420" w:firstLineChars="200"/>
        <w:rPr>
          <w:rFonts w:ascii="宋体" w:hAnsi="宋体"/>
          <w:szCs w:val="21"/>
        </w:rPr>
      </w:pPr>
      <w:r>
        <w:rPr>
          <w:rFonts w:hint="eastAsia" w:ascii="宋体" w:hAnsi="宋体"/>
          <w:szCs w:val="21"/>
        </w:rPr>
        <w:t>（三）不暗示或者诱导投标人作出澄清、说明或者接受投标人主动提出的澄清、说明。</w:t>
      </w:r>
    </w:p>
    <w:p w14:paraId="40C7C978">
      <w:pPr>
        <w:spacing w:line="360" w:lineRule="auto"/>
        <w:ind w:firstLine="420" w:firstLineChars="200"/>
        <w:rPr>
          <w:rFonts w:ascii="宋体" w:hAnsi="宋体"/>
          <w:szCs w:val="21"/>
        </w:rPr>
      </w:pPr>
      <w:r>
        <w:rPr>
          <w:rFonts w:hint="eastAsia" w:ascii="宋体" w:hAnsi="宋体"/>
          <w:szCs w:val="21"/>
        </w:rPr>
        <w:t>（四）自觉抵制招标投标活动中的违法违规行为，积极配合协助行政监督部门、纪检监察部门、公安部门、检察机关等依法进行监督。</w:t>
      </w:r>
    </w:p>
    <w:p w14:paraId="685A4C85">
      <w:pPr>
        <w:spacing w:line="360" w:lineRule="auto"/>
        <w:ind w:firstLine="420" w:firstLineChars="200"/>
        <w:rPr>
          <w:rFonts w:ascii="宋体" w:hAnsi="宋体"/>
          <w:szCs w:val="21"/>
        </w:rPr>
      </w:pPr>
      <w:r>
        <w:rPr>
          <w:rFonts w:hint="eastAsia" w:ascii="宋体" w:hAnsi="宋体"/>
          <w:szCs w:val="21"/>
        </w:rPr>
        <w:t>五、不参与串通投标承诺</w:t>
      </w:r>
    </w:p>
    <w:p w14:paraId="4F73E591">
      <w:pPr>
        <w:spacing w:line="360" w:lineRule="auto"/>
        <w:ind w:firstLine="420" w:firstLineChars="200"/>
        <w:rPr>
          <w:rFonts w:ascii="宋体" w:hAnsi="宋体"/>
          <w:szCs w:val="21"/>
        </w:rPr>
      </w:pPr>
      <w:r>
        <w:rPr>
          <w:rFonts w:hint="eastAsia" w:ascii="宋体" w:hAnsi="宋体"/>
          <w:szCs w:val="21"/>
        </w:rPr>
        <w:t>（一）依法依规参加本招标项目的评标工作，不参与串通投标。</w:t>
      </w:r>
    </w:p>
    <w:p w14:paraId="51652F1B">
      <w:pPr>
        <w:spacing w:line="360" w:lineRule="auto"/>
        <w:ind w:firstLine="420" w:firstLineChars="200"/>
        <w:rPr>
          <w:rFonts w:ascii="宋体" w:hAnsi="宋体"/>
          <w:szCs w:val="21"/>
        </w:rPr>
      </w:pPr>
      <w:r>
        <w:rPr>
          <w:rFonts w:hint="eastAsia" w:ascii="宋体" w:hAnsi="宋体"/>
          <w:szCs w:val="21"/>
        </w:rPr>
        <w:t>（二）清楚并知晓《中华人民共和国刑法》第一百六十三条“公司、</w:t>
      </w:r>
      <w:r>
        <w:rPr>
          <w:rFonts w:ascii="宋体" w:hAnsi="宋体"/>
          <w:szCs w:val="21"/>
        </w:rPr>
        <w:t>企业</w:t>
      </w:r>
      <w:r>
        <w:rPr>
          <w:rFonts w:hint="eastAsia" w:ascii="宋体" w:hAnsi="宋体"/>
          <w:szCs w:val="21"/>
        </w:rPr>
        <w:t>或者其他单位</w:t>
      </w:r>
      <w:r>
        <w:rPr>
          <w:rFonts w:ascii="宋体" w:hAnsi="宋体"/>
          <w:szCs w:val="21"/>
        </w:rPr>
        <w:t>的</w:t>
      </w:r>
      <w:r>
        <w:rPr>
          <w:rFonts w:hint="eastAsia" w:ascii="宋体" w:hAnsi="宋体"/>
          <w:szCs w:val="21"/>
        </w:rPr>
        <w:t>工作人员，利用职务上的便利，</w:t>
      </w:r>
      <w:r>
        <w:rPr>
          <w:rFonts w:ascii="宋体" w:hAnsi="宋体"/>
          <w:szCs w:val="21"/>
        </w:rPr>
        <w:t>索取他人财物或者非法收受他</w:t>
      </w:r>
      <w:r>
        <w:rPr>
          <w:rFonts w:hint="eastAsia" w:ascii="宋体" w:hAnsi="宋体"/>
          <w:szCs w:val="21"/>
        </w:rPr>
        <w:t>人财物，</w:t>
      </w:r>
      <w:r>
        <w:rPr>
          <w:rFonts w:ascii="宋体" w:hAnsi="宋体"/>
          <w:szCs w:val="21"/>
        </w:rPr>
        <w:t>为他人谋取利益</w:t>
      </w:r>
      <w:r>
        <w:rPr>
          <w:rFonts w:hint="eastAsia" w:ascii="宋体" w:hAnsi="宋体"/>
          <w:szCs w:val="21"/>
        </w:rPr>
        <w:t>，</w:t>
      </w:r>
      <w:r>
        <w:rPr>
          <w:rFonts w:ascii="宋体" w:hAnsi="宋体"/>
          <w:szCs w:val="21"/>
        </w:rPr>
        <w:t>数额较大的</w:t>
      </w:r>
      <w:r>
        <w:rPr>
          <w:rFonts w:hint="eastAsia" w:ascii="宋体" w:hAnsi="宋体"/>
          <w:szCs w:val="21"/>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szCs w:val="21"/>
        </w:rPr>
        <w:t>徒刑</w:t>
      </w:r>
      <w:r>
        <w:rPr>
          <w:rFonts w:hint="eastAsia" w:ascii="宋体" w:hAnsi="宋体"/>
          <w:szCs w:val="21"/>
        </w:rPr>
        <w:t>，</w:t>
      </w:r>
      <w:r>
        <w:rPr>
          <w:rFonts w:ascii="宋体" w:hAnsi="宋体"/>
          <w:szCs w:val="21"/>
        </w:rPr>
        <w:t>并处</w:t>
      </w:r>
      <w:r>
        <w:rPr>
          <w:rFonts w:hint="eastAsia" w:ascii="宋体" w:hAnsi="宋体"/>
          <w:szCs w:val="21"/>
        </w:rPr>
        <w:t>罚金”的规定。</w:t>
      </w:r>
    </w:p>
    <w:p w14:paraId="422B8BD2">
      <w:pPr>
        <w:spacing w:line="360" w:lineRule="auto"/>
        <w:ind w:firstLine="420" w:firstLineChars="200"/>
        <w:rPr>
          <w:rFonts w:ascii="宋体" w:hAnsi="宋体"/>
          <w:szCs w:val="21"/>
        </w:rPr>
      </w:pPr>
      <w:r>
        <w:rPr>
          <w:rFonts w:hint="eastAsia" w:ascii="宋体" w:hAnsi="宋体"/>
          <w:szCs w:val="21"/>
        </w:rPr>
        <w:t>（三）本人如被查实在本招标项目评标工作中参与串通投标的，自愿承担相应法律责任，接受相应刑事和纪律、行政处罚以及失信惩戒。</w:t>
      </w:r>
    </w:p>
    <w:p w14:paraId="5804D15B">
      <w:pPr>
        <w:spacing w:line="360" w:lineRule="auto"/>
        <w:ind w:firstLine="420" w:firstLineChars="200"/>
        <w:rPr>
          <w:rFonts w:ascii="宋体" w:hAnsi="宋体"/>
          <w:szCs w:val="21"/>
        </w:rPr>
      </w:pPr>
      <w:r>
        <w:rPr>
          <w:rFonts w:hint="eastAsia" w:ascii="宋体" w:hAnsi="宋体"/>
          <w:szCs w:val="21"/>
        </w:rPr>
        <w:t>六、本承诺函由我本人亲自签字确认。</w:t>
      </w:r>
    </w:p>
    <w:p w14:paraId="5E2ED9E1">
      <w:pPr>
        <w:spacing w:line="360" w:lineRule="auto"/>
        <w:ind w:firstLine="420" w:firstLineChars="200"/>
        <w:rPr>
          <w:rFonts w:ascii="宋体" w:hAnsi="宋体"/>
          <w:szCs w:val="21"/>
        </w:rPr>
      </w:pPr>
    </w:p>
    <w:p w14:paraId="22526571">
      <w:pPr>
        <w:spacing w:line="360" w:lineRule="auto"/>
        <w:ind w:firstLine="420" w:firstLineChars="200"/>
        <w:rPr>
          <w:rFonts w:ascii="宋体" w:hAnsi="宋体"/>
          <w:szCs w:val="21"/>
        </w:rPr>
      </w:pPr>
    </w:p>
    <w:p w14:paraId="75BCFADB">
      <w:pPr>
        <w:spacing w:line="360" w:lineRule="auto"/>
        <w:ind w:firstLine="420" w:firstLineChars="200"/>
        <w:jc w:val="left"/>
        <w:rPr>
          <w:rFonts w:ascii="宋体" w:hAnsi="宋体"/>
          <w:szCs w:val="21"/>
        </w:rPr>
      </w:pPr>
      <w:r>
        <w:rPr>
          <w:rFonts w:hint="eastAsia" w:ascii="宋体" w:hAnsi="宋体"/>
          <w:szCs w:val="21"/>
        </w:rPr>
        <w:t xml:space="preserve">本人是□ 否□ 为中共党员 </w:t>
      </w:r>
    </w:p>
    <w:p w14:paraId="256C584C">
      <w:pPr>
        <w:spacing w:line="360" w:lineRule="auto"/>
        <w:ind w:firstLine="1680" w:firstLineChars="800"/>
        <w:rPr>
          <w:rFonts w:ascii="宋体" w:hAnsi="宋体"/>
          <w:szCs w:val="21"/>
        </w:rPr>
      </w:pPr>
      <w:r>
        <w:rPr>
          <w:rFonts w:hint="eastAsia" w:ascii="宋体" w:hAnsi="宋体"/>
          <w:szCs w:val="21"/>
        </w:rPr>
        <w:t>（应单选，</w:t>
      </w:r>
      <w:r>
        <w:rPr>
          <w:rFonts w:hint="eastAsia" w:ascii="宋体" w:hAnsi="宋体"/>
          <w:b/>
          <w:bCs/>
          <w:szCs w:val="21"/>
          <w:shd w:val="clear" w:color="auto" w:fill="FFFFFF"/>
        </w:rPr>
        <w:t>并在方框内打“√”</w:t>
      </w:r>
      <w:r>
        <w:rPr>
          <w:rFonts w:hint="eastAsia" w:ascii="宋体" w:hAnsi="宋体"/>
          <w:szCs w:val="21"/>
        </w:rPr>
        <w:t>）</w:t>
      </w:r>
    </w:p>
    <w:p w14:paraId="2703F475">
      <w:pPr>
        <w:spacing w:line="360" w:lineRule="auto"/>
        <w:ind w:firstLine="1260" w:firstLineChars="600"/>
        <w:rPr>
          <w:rFonts w:ascii="宋体" w:hAnsi="宋体"/>
          <w:szCs w:val="21"/>
        </w:rPr>
      </w:pPr>
    </w:p>
    <w:p w14:paraId="1D116711">
      <w:pPr>
        <w:spacing w:line="360" w:lineRule="auto"/>
        <w:ind w:firstLine="1260" w:firstLineChars="600"/>
        <w:rPr>
          <w:rFonts w:ascii="宋体" w:hAnsi="宋体"/>
          <w:szCs w:val="21"/>
        </w:rPr>
      </w:pPr>
    </w:p>
    <w:p w14:paraId="76AC78C4">
      <w:pPr>
        <w:spacing w:line="360" w:lineRule="auto"/>
        <w:ind w:firstLine="1260" w:firstLineChars="600"/>
        <w:rPr>
          <w:rFonts w:ascii="宋体" w:hAnsi="宋体"/>
          <w:szCs w:val="21"/>
        </w:rPr>
      </w:pPr>
    </w:p>
    <w:p w14:paraId="14495F88">
      <w:pPr>
        <w:spacing w:line="360" w:lineRule="auto"/>
        <w:ind w:firstLine="420" w:firstLineChars="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承 诺 人：             （签字）</w:t>
      </w:r>
    </w:p>
    <w:p w14:paraId="25B6A066">
      <w:pPr>
        <w:spacing w:line="360" w:lineRule="auto"/>
        <w:ind w:firstLine="1260" w:firstLineChars="600"/>
        <w:rPr>
          <w:rFonts w:ascii="宋体" w:hAnsi="宋体"/>
          <w:szCs w:val="21"/>
        </w:rPr>
      </w:pPr>
    </w:p>
    <w:p w14:paraId="7B302461">
      <w:pPr>
        <w:spacing w:line="360" w:lineRule="auto"/>
        <w:ind w:right="840" w:firstLine="420" w:firstLineChars="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承诺时间：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月  日</w:t>
      </w:r>
    </w:p>
    <w:p w14:paraId="44DB8DF5">
      <w:pPr>
        <w:spacing w:line="360" w:lineRule="auto"/>
        <w:ind w:firstLine="420" w:firstLineChars="200"/>
        <w:rPr>
          <w:rFonts w:ascii="宋体" w:hAnsi="宋体"/>
          <w:szCs w:val="21"/>
        </w:rPr>
      </w:pPr>
    </w:p>
    <w:p w14:paraId="480E530D">
      <w:pPr>
        <w:spacing w:line="430" w:lineRule="exact"/>
        <w:ind w:firstLine="420" w:firstLineChars="200"/>
      </w:pPr>
    </w:p>
    <w:p w14:paraId="475E0457">
      <w:pPr>
        <w:spacing w:line="430" w:lineRule="exact"/>
        <w:ind w:firstLine="5460" w:firstLineChars="2600"/>
      </w:pPr>
    </w:p>
    <w:p w14:paraId="79AAF29A">
      <w:pPr>
        <w:spacing w:line="430" w:lineRule="exact"/>
        <w:ind w:firstLine="5460" w:firstLineChars="2600"/>
      </w:pPr>
      <w:r>
        <w:br w:type="page"/>
      </w:r>
    </w:p>
    <w:p w14:paraId="1217A06A">
      <w:pPr>
        <w:pStyle w:val="25"/>
        <w:ind w:firstLine="118"/>
      </w:pPr>
      <w:bookmarkStart w:id="659" w:name="_Toc787"/>
      <w:bookmarkStart w:id="660" w:name="_Toc256000132"/>
      <w:bookmarkStart w:id="661" w:name="_Toc165804449"/>
      <w:bookmarkStart w:id="662" w:name="_Toc145516052"/>
      <w:r>
        <w:t>附表A-3：技术暗标编号确认表</w:t>
      </w:r>
      <w:bookmarkEnd w:id="659"/>
      <w:bookmarkEnd w:id="660"/>
      <w:bookmarkEnd w:id="661"/>
    </w:p>
    <w:p w14:paraId="576624A3"/>
    <w:p w14:paraId="0B94062A">
      <w:pPr>
        <w:adjustRightInd w:val="0"/>
        <w:snapToGrid w:val="0"/>
        <w:spacing w:before="240" w:beforeLines="100" w:after="240" w:afterLines="100" w:line="440" w:lineRule="exact"/>
        <w:jc w:val="center"/>
        <w:rPr>
          <w:rFonts w:ascii="黑体" w:hAnsi="黑体" w:eastAsia="黑体"/>
          <w:sz w:val="36"/>
          <w:szCs w:val="36"/>
        </w:rPr>
      </w:pPr>
      <w:bookmarkStart w:id="663" w:name="_Toc148971944"/>
      <w:bookmarkStart w:id="664" w:name="_Toc5186"/>
      <w:bookmarkStart w:id="665" w:name="_Toc148976152"/>
      <w:r>
        <w:rPr>
          <w:rFonts w:hint="eastAsia" w:ascii="黑体" w:hAnsi="黑体" w:eastAsia="黑体"/>
          <w:sz w:val="36"/>
          <w:szCs w:val="36"/>
        </w:rPr>
        <w:t>技术暗标编号确认表</w:t>
      </w:r>
      <w:bookmarkEnd w:id="662"/>
      <w:bookmarkEnd w:id="663"/>
      <w:bookmarkEnd w:id="664"/>
      <w:bookmarkEnd w:id="665"/>
    </w:p>
    <w:p w14:paraId="4D338FDC">
      <w:pPr>
        <w:rPr>
          <w:rFonts w:ascii="宋体" w:hAnsi="宋体"/>
          <w:szCs w:val="44"/>
        </w:rPr>
      </w:pPr>
      <w:r>
        <w:rPr>
          <w:rFonts w:hint="eastAsia" w:ascii="宋体" w:hAnsi="宋体"/>
          <w:szCs w:val="44"/>
        </w:rPr>
        <w:t>标段名称：</w:t>
      </w:r>
    </w:p>
    <w:p w14:paraId="45BAC124">
      <w:pPr>
        <w:rPr>
          <w:szCs w:val="44"/>
        </w:rPr>
      </w:pPr>
      <w:r>
        <w:rPr>
          <w:rFonts w:hint="eastAsia"/>
          <w:szCs w:val="44"/>
        </w:rPr>
        <w:t>标段唯一标识码：</w:t>
      </w:r>
    </w:p>
    <w:tbl>
      <w:tblPr>
        <w:tblStyle w:val="17"/>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58F7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32469C39">
            <w:pPr>
              <w:jc w:val="center"/>
              <w:rPr>
                <w:rFonts w:ascii="宋体" w:hAnsi="宋体"/>
                <w:b/>
                <w:bCs/>
                <w:szCs w:val="21"/>
              </w:rPr>
            </w:pPr>
            <w:r>
              <w:rPr>
                <w:rFonts w:hint="eastAsia" w:ascii="宋体" w:hAnsi="宋体"/>
                <w:b/>
                <w:bCs/>
                <w:szCs w:val="21"/>
              </w:rPr>
              <w:t>序号</w:t>
            </w:r>
          </w:p>
        </w:tc>
        <w:tc>
          <w:tcPr>
            <w:tcW w:w="1942" w:type="dxa"/>
            <w:vMerge w:val="restart"/>
            <w:vAlign w:val="center"/>
          </w:tcPr>
          <w:p w14:paraId="0AF4BC79">
            <w:pPr>
              <w:jc w:val="center"/>
              <w:rPr>
                <w:rFonts w:ascii="宋体" w:hAnsi="宋体"/>
                <w:b/>
                <w:bCs/>
                <w:szCs w:val="21"/>
              </w:rPr>
            </w:pPr>
            <w:r>
              <w:rPr>
                <w:rFonts w:hint="eastAsia" w:ascii="宋体" w:hAnsi="宋体"/>
                <w:b/>
                <w:bCs/>
                <w:szCs w:val="21"/>
              </w:rPr>
              <w:t>投标人名称</w:t>
            </w:r>
          </w:p>
        </w:tc>
        <w:tc>
          <w:tcPr>
            <w:tcW w:w="6630" w:type="dxa"/>
            <w:gridSpan w:val="9"/>
          </w:tcPr>
          <w:p w14:paraId="2266FA6C">
            <w:pPr>
              <w:jc w:val="center"/>
              <w:rPr>
                <w:rFonts w:ascii="宋体" w:hAnsi="宋体"/>
                <w:b/>
                <w:bCs/>
                <w:szCs w:val="21"/>
              </w:rPr>
            </w:pPr>
            <w:r>
              <w:rPr>
                <w:rFonts w:hint="eastAsia" w:ascii="宋体" w:hAnsi="宋体"/>
                <w:b/>
                <w:bCs/>
                <w:szCs w:val="21"/>
              </w:rPr>
              <w:t>评审因素及暗标编号</w:t>
            </w:r>
          </w:p>
        </w:tc>
      </w:tr>
      <w:tr w14:paraId="0895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73A20972">
            <w:pPr>
              <w:jc w:val="center"/>
              <w:rPr>
                <w:rFonts w:ascii="宋体" w:hAnsi="宋体"/>
                <w:b/>
                <w:bCs/>
                <w:szCs w:val="21"/>
              </w:rPr>
            </w:pPr>
          </w:p>
        </w:tc>
        <w:tc>
          <w:tcPr>
            <w:tcW w:w="1942" w:type="dxa"/>
            <w:vMerge w:val="continue"/>
          </w:tcPr>
          <w:p w14:paraId="45B3ECC2">
            <w:pPr>
              <w:jc w:val="center"/>
              <w:rPr>
                <w:rFonts w:ascii="宋体" w:hAnsi="宋体"/>
                <w:b/>
                <w:bCs/>
                <w:szCs w:val="21"/>
              </w:rPr>
            </w:pPr>
          </w:p>
        </w:tc>
        <w:tc>
          <w:tcPr>
            <w:tcW w:w="750" w:type="dxa"/>
            <w:vAlign w:val="center"/>
          </w:tcPr>
          <w:p w14:paraId="3F784F0E">
            <w:pPr>
              <w:jc w:val="center"/>
              <w:rPr>
                <w:rFonts w:ascii="宋体" w:hAnsi="宋体"/>
                <w:b/>
                <w:bCs/>
                <w:szCs w:val="21"/>
              </w:rPr>
            </w:pPr>
          </w:p>
        </w:tc>
        <w:tc>
          <w:tcPr>
            <w:tcW w:w="751" w:type="dxa"/>
            <w:vAlign w:val="center"/>
          </w:tcPr>
          <w:p w14:paraId="16CA6B58">
            <w:pPr>
              <w:jc w:val="center"/>
              <w:rPr>
                <w:rFonts w:ascii="宋体" w:hAnsi="宋体"/>
                <w:b/>
                <w:bCs/>
                <w:szCs w:val="21"/>
              </w:rPr>
            </w:pPr>
          </w:p>
        </w:tc>
        <w:tc>
          <w:tcPr>
            <w:tcW w:w="751" w:type="dxa"/>
            <w:vAlign w:val="center"/>
          </w:tcPr>
          <w:p w14:paraId="517B4770">
            <w:pPr>
              <w:jc w:val="center"/>
              <w:rPr>
                <w:rFonts w:ascii="宋体" w:hAnsi="宋体"/>
                <w:b/>
                <w:bCs/>
                <w:szCs w:val="21"/>
              </w:rPr>
            </w:pPr>
          </w:p>
        </w:tc>
        <w:tc>
          <w:tcPr>
            <w:tcW w:w="751" w:type="dxa"/>
            <w:vAlign w:val="center"/>
          </w:tcPr>
          <w:p w14:paraId="0FCF5D54">
            <w:pPr>
              <w:jc w:val="center"/>
              <w:rPr>
                <w:rFonts w:ascii="宋体" w:hAnsi="宋体"/>
                <w:b/>
                <w:bCs/>
                <w:szCs w:val="21"/>
              </w:rPr>
            </w:pPr>
          </w:p>
        </w:tc>
        <w:tc>
          <w:tcPr>
            <w:tcW w:w="750" w:type="dxa"/>
            <w:vAlign w:val="center"/>
          </w:tcPr>
          <w:p w14:paraId="6C11E77F">
            <w:pPr>
              <w:jc w:val="center"/>
              <w:rPr>
                <w:rFonts w:ascii="宋体" w:hAnsi="宋体"/>
                <w:b/>
                <w:bCs/>
                <w:szCs w:val="21"/>
              </w:rPr>
            </w:pPr>
          </w:p>
        </w:tc>
        <w:tc>
          <w:tcPr>
            <w:tcW w:w="751" w:type="dxa"/>
            <w:vAlign w:val="center"/>
          </w:tcPr>
          <w:p w14:paraId="56901E52">
            <w:pPr>
              <w:jc w:val="center"/>
              <w:rPr>
                <w:rFonts w:ascii="宋体" w:hAnsi="宋体"/>
                <w:b/>
                <w:bCs/>
                <w:szCs w:val="21"/>
              </w:rPr>
            </w:pPr>
          </w:p>
        </w:tc>
        <w:tc>
          <w:tcPr>
            <w:tcW w:w="751" w:type="dxa"/>
            <w:vAlign w:val="center"/>
          </w:tcPr>
          <w:p w14:paraId="0C5BFC36">
            <w:pPr>
              <w:jc w:val="center"/>
              <w:rPr>
                <w:rFonts w:ascii="宋体" w:hAnsi="宋体"/>
                <w:b/>
                <w:bCs/>
                <w:szCs w:val="21"/>
              </w:rPr>
            </w:pPr>
          </w:p>
        </w:tc>
        <w:tc>
          <w:tcPr>
            <w:tcW w:w="751" w:type="dxa"/>
            <w:vAlign w:val="center"/>
          </w:tcPr>
          <w:p w14:paraId="2852F129">
            <w:pPr>
              <w:jc w:val="center"/>
              <w:rPr>
                <w:rFonts w:ascii="宋体" w:hAnsi="宋体"/>
                <w:b/>
                <w:bCs/>
                <w:szCs w:val="21"/>
              </w:rPr>
            </w:pPr>
          </w:p>
        </w:tc>
        <w:tc>
          <w:tcPr>
            <w:tcW w:w="624" w:type="dxa"/>
            <w:vAlign w:val="center"/>
          </w:tcPr>
          <w:p w14:paraId="14EBE92D">
            <w:pPr>
              <w:jc w:val="center"/>
              <w:rPr>
                <w:rFonts w:ascii="宋体" w:hAnsi="宋体"/>
                <w:b/>
                <w:bCs/>
                <w:szCs w:val="21"/>
              </w:rPr>
            </w:pPr>
          </w:p>
        </w:tc>
      </w:tr>
      <w:tr w14:paraId="66BE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1D87148C">
            <w:pPr>
              <w:jc w:val="center"/>
              <w:rPr>
                <w:rFonts w:ascii="宋体" w:hAnsi="宋体"/>
                <w:szCs w:val="21"/>
              </w:rPr>
            </w:pPr>
            <w:r>
              <w:rPr>
                <w:rFonts w:hint="eastAsia" w:ascii="宋体" w:hAnsi="宋体"/>
                <w:szCs w:val="21"/>
              </w:rPr>
              <w:t>1</w:t>
            </w:r>
          </w:p>
        </w:tc>
        <w:tc>
          <w:tcPr>
            <w:tcW w:w="1942" w:type="dxa"/>
            <w:vAlign w:val="center"/>
          </w:tcPr>
          <w:p w14:paraId="3A28C5BC">
            <w:pPr>
              <w:jc w:val="center"/>
              <w:rPr>
                <w:rFonts w:ascii="宋体" w:hAnsi="宋体"/>
                <w:szCs w:val="21"/>
              </w:rPr>
            </w:pPr>
          </w:p>
        </w:tc>
        <w:tc>
          <w:tcPr>
            <w:tcW w:w="750" w:type="dxa"/>
            <w:vAlign w:val="center"/>
          </w:tcPr>
          <w:p w14:paraId="32D20426">
            <w:pPr>
              <w:jc w:val="center"/>
              <w:rPr>
                <w:rFonts w:ascii="宋体" w:hAnsi="宋体"/>
                <w:szCs w:val="21"/>
              </w:rPr>
            </w:pPr>
          </w:p>
        </w:tc>
        <w:tc>
          <w:tcPr>
            <w:tcW w:w="751" w:type="dxa"/>
            <w:vAlign w:val="center"/>
          </w:tcPr>
          <w:p w14:paraId="6DBC02CB">
            <w:pPr>
              <w:jc w:val="center"/>
              <w:rPr>
                <w:rFonts w:ascii="宋体" w:hAnsi="宋体"/>
                <w:szCs w:val="21"/>
              </w:rPr>
            </w:pPr>
          </w:p>
        </w:tc>
        <w:tc>
          <w:tcPr>
            <w:tcW w:w="751" w:type="dxa"/>
            <w:vAlign w:val="center"/>
          </w:tcPr>
          <w:p w14:paraId="424A2B88">
            <w:pPr>
              <w:jc w:val="center"/>
              <w:rPr>
                <w:rFonts w:ascii="宋体" w:hAnsi="宋体"/>
                <w:szCs w:val="21"/>
              </w:rPr>
            </w:pPr>
          </w:p>
        </w:tc>
        <w:tc>
          <w:tcPr>
            <w:tcW w:w="751" w:type="dxa"/>
            <w:vAlign w:val="center"/>
          </w:tcPr>
          <w:p w14:paraId="78BC842B">
            <w:pPr>
              <w:jc w:val="center"/>
              <w:rPr>
                <w:rFonts w:ascii="宋体" w:hAnsi="宋体"/>
                <w:szCs w:val="21"/>
              </w:rPr>
            </w:pPr>
          </w:p>
        </w:tc>
        <w:tc>
          <w:tcPr>
            <w:tcW w:w="750" w:type="dxa"/>
            <w:vAlign w:val="center"/>
          </w:tcPr>
          <w:p w14:paraId="23E42B19">
            <w:pPr>
              <w:jc w:val="center"/>
              <w:rPr>
                <w:rFonts w:ascii="宋体" w:hAnsi="宋体"/>
                <w:szCs w:val="21"/>
              </w:rPr>
            </w:pPr>
          </w:p>
        </w:tc>
        <w:tc>
          <w:tcPr>
            <w:tcW w:w="751" w:type="dxa"/>
            <w:vAlign w:val="center"/>
          </w:tcPr>
          <w:p w14:paraId="141407D6">
            <w:pPr>
              <w:jc w:val="center"/>
              <w:rPr>
                <w:rFonts w:ascii="宋体" w:hAnsi="宋体"/>
                <w:szCs w:val="21"/>
              </w:rPr>
            </w:pPr>
          </w:p>
        </w:tc>
        <w:tc>
          <w:tcPr>
            <w:tcW w:w="751" w:type="dxa"/>
            <w:vAlign w:val="center"/>
          </w:tcPr>
          <w:p w14:paraId="30103A38">
            <w:pPr>
              <w:jc w:val="center"/>
              <w:rPr>
                <w:rFonts w:ascii="宋体" w:hAnsi="宋体"/>
                <w:szCs w:val="21"/>
              </w:rPr>
            </w:pPr>
          </w:p>
        </w:tc>
        <w:tc>
          <w:tcPr>
            <w:tcW w:w="751" w:type="dxa"/>
          </w:tcPr>
          <w:p w14:paraId="6665083B">
            <w:pPr>
              <w:jc w:val="center"/>
              <w:rPr>
                <w:rFonts w:ascii="宋体" w:hAnsi="宋体"/>
                <w:szCs w:val="21"/>
              </w:rPr>
            </w:pPr>
          </w:p>
        </w:tc>
        <w:tc>
          <w:tcPr>
            <w:tcW w:w="624" w:type="dxa"/>
            <w:vAlign w:val="center"/>
          </w:tcPr>
          <w:p w14:paraId="2A625172">
            <w:pPr>
              <w:jc w:val="center"/>
              <w:rPr>
                <w:rFonts w:ascii="宋体" w:hAnsi="宋体"/>
                <w:szCs w:val="21"/>
              </w:rPr>
            </w:pPr>
          </w:p>
        </w:tc>
      </w:tr>
      <w:tr w14:paraId="2130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3A8AF522">
            <w:pPr>
              <w:jc w:val="center"/>
              <w:rPr>
                <w:rFonts w:ascii="宋体" w:hAnsi="宋体"/>
                <w:szCs w:val="21"/>
              </w:rPr>
            </w:pPr>
            <w:r>
              <w:rPr>
                <w:rFonts w:hint="eastAsia" w:ascii="宋体" w:hAnsi="宋体"/>
                <w:szCs w:val="21"/>
              </w:rPr>
              <w:t>2</w:t>
            </w:r>
          </w:p>
        </w:tc>
        <w:tc>
          <w:tcPr>
            <w:tcW w:w="1942" w:type="dxa"/>
            <w:vAlign w:val="center"/>
          </w:tcPr>
          <w:p w14:paraId="57BBAC72">
            <w:pPr>
              <w:jc w:val="center"/>
              <w:rPr>
                <w:rFonts w:ascii="宋体" w:hAnsi="宋体"/>
                <w:szCs w:val="21"/>
              </w:rPr>
            </w:pPr>
          </w:p>
        </w:tc>
        <w:tc>
          <w:tcPr>
            <w:tcW w:w="750" w:type="dxa"/>
            <w:vAlign w:val="center"/>
          </w:tcPr>
          <w:p w14:paraId="3A2E7CF5">
            <w:pPr>
              <w:jc w:val="center"/>
              <w:rPr>
                <w:rFonts w:ascii="宋体" w:hAnsi="宋体"/>
                <w:szCs w:val="21"/>
              </w:rPr>
            </w:pPr>
          </w:p>
        </w:tc>
        <w:tc>
          <w:tcPr>
            <w:tcW w:w="751" w:type="dxa"/>
            <w:vAlign w:val="center"/>
          </w:tcPr>
          <w:p w14:paraId="054B2F0C">
            <w:pPr>
              <w:jc w:val="center"/>
              <w:rPr>
                <w:rFonts w:ascii="宋体" w:hAnsi="宋体"/>
                <w:szCs w:val="21"/>
              </w:rPr>
            </w:pPr>
          </w:p>
        </w:tc>
        <w:tc>
          <w:tcPr>
            <w:tcW w:w="751" w:type="dxa"/>
            <w:vAlign w:val="center"/>
          </w:tcPr>
          <w:p w14:paraId="3036AC4F">
            <w:pPr>
              <w:jc w:val="center"/>
              <w:rPr>
                <w:rFonts w:ascii="宋体" w:hAnsi="宋体"/>
                <w:szCs w:val="21"/>
              </w:rPr>
            </w:pPr>
          </w:p>
        </w:tc>
        <w:tc>
          <w:tcPr>
            <w:tcW w:w="751" w:type="dxa"/>
            <w:vAlign w:val="center"/>
          </w:tcPr>
          <w:p w14:paraId="4A6F6530">
            <w:pPr>
              <w:jc w:val="center"/>
              <w:rPr>
                <w:rFonts w:ascii="宋体" w:hAnsi="宋体"/>
                <w:szCs w:val="21"/>
              </w:rPr>
            </w:pPr>
          </w:p>
        </w:tc>
        <w:tc>
          <w:tcPr>
            <w:tcW w:w="750" w:type="dxa"/>
            <w:vAlign w:val="center"/>
          </w:tcPr>
          <w:p w14:paraId="2E18DE16">
            <w:pPr>
              <w:jc w:val="center"/>
              <w:rPr>
                <w:rFonts w:ascii="宋体" w:hAnsi="宋体"/>
                <w:szCs w:val="21"/>
              </w:rPr>
            </w:pPr>
          </w:p>
        </w:tc>
        <w:tc>
          <w:tcPr>
            <w:tcW w:w="751" w:type="dxa"/>
            <w:vAlign w:val="center"/>
          </w:tcPr>
          <w:p w14:paraId="7DAD73FF">
            <w:pPr>
              <w:jc w:val="center"/>
              <w:rPr>
                <w:rFonts w:ascii="宋体" w:hAnsi="宋体"/>
                <w:szCs w:val="21"/>
              </w:rPr>
            </w:pPr>
          </w:p>
        </w:tc>
        <w:tc>
          <w:tcPr>
            <w:tcW w:w="751" w:type="dxa"/>
            <w:vAlign w:val="center"/>
          </w:tcPr>
          <w:p w14:paraId="35C4C92F">
            <w:pPr>
              <w:jc w:val="center"/>
              <w:rPr>
                <w:rFonts w:ascii="宋体" w:hAnsi="宋体"/>
                <w:szCs w:val="21"/>
              </w:rPr>
            </w:pPr>
          </w:p>
        </w:tc>
        <w:tc>
          <w:tcPr>
            <w:tcW w:w="751" w:type="dxa"/>
          </w:tcPr>
          <w:p w14:paraId="23B9910E">
            <w:pPr>
              <w:jc w:val="center"/>
              <w:rPr>
                <w:rFonts w:ascii="宋体" w:hAnsi="宋体"/>
                <w:szCs w:val="21"/>
              </w:rPr>
            </w:pPr>
          </w:p>
        </w:tc>
        <w:tc>
          <w:tcPr>
            <w:tcW w:w="624" w:type="dxa"/>
            <w:vAlign w:val="center"/>
          </w:tcPr>
          <w:p w14:paraId="086BA619">
            <w:pPr>
              <w:jc w:val="center"/>
              <w:rPr>
                <w:rFonts w:ascii="宋体" w:hAnsi="宋体"/>
                <w:szCs w:val="21"/>
              </w:rPr>
            </w:pPr>
          </w:p>
        </w:tc>
      </w:tr>
      <w:tr w14:paraId="24D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6A1CE35">
            <w:pPr>
              <w:jc w:val="center"/>
              <w:rPr>
                <w:rFonts w:ascii="宋体" w:hAnsi="宋体"/>
                <w:szCs w:val="21"/>
              </w:rPr>
            </w:pPr>
            <w:r>
              <w:rPr>
                <w:rFonts w:hint="eastAsia" w:ascii="宋体" w:hAnsi="宋体"/>
                <w:szCs w:val="21"/>
              </w:rPr>
              <w:t>3</w:t>
            </w:r>
          </w:p>
        </w:tc>
        <w:tc>
          <w:tcPr>
            <w:tcW w:w="1942" w:type="dxa"/>
            <w:vAlign w:val="center"/>
          </w:tcPr>
          <w:p w14:paraId="6FE45CAA">
            <w:pPr>
              <w:jc w:val="center"/>
              <w:rPr>
                <w:rFonts w:ascii="宋体" w:hAnsi="宋体"/>
                <w:szCs w:val="21"/>
              </w:rPr>
            </w:pPr>
          </w:p>
        </w:tc>
        <w:tc>
          <w:tcPr>
            <w:tcW w:w="750" w:type="dxa"/>
            <w:vAlign w:val="center"/>
          </w:tcPr>
          <w:p w14:paraId="4D6B60D7">
            <w:pPr>
              <w:jc w:val="center"/>
              <w:rPr>
                <w:rFonts w:ascii="宋体" w:hAnsi="宋体"/>
                <w:szCs w:val="21"/>
              </w:rPr>
            </w:pPr>
          </w:p>
        </w:tc>
        <w:tc>
          <w:tcPr>
            <w:tcW w:w="751" w:type="dxa"/>
            <w:vAlign w:val="center"/>
          </w:tcPr>
          <w:p w14:paraId="42DC89F2">
            <w:pPr>
              <w:jc w:val="center"/>
              <w:rPr>
                <w:rFonts w:ascii="宋体" w:hAnsi="宋体"/>
                <w:szCs w:val="21"/>
              </w:rPr>
            </w:pPr>
          </w:p>
        </w:tc>
        <w:tc>
          <w:tcPr>
            <w:tcW w:w="751" w:type="dxa"/>
            <w:vAlign w:val="center"/>
          </w:tcPr>
          <w:p w14:paraId="322210FB">
            <w:pPr>
              <w:jc w:val="center"/>
              <w:rPr>
                <w:rFonts w:ascii="宋体" w:hAnsi="宋体"/>
                <w:szCs w:val="21"/>
              </w:rPr>
            </w:pPr>
          </w:p>
        </w:tc>
        <w:tc>
          <w:tcPr>
            <w:tcW w:w="751" w:type="dxa"/>
            <w:vAlign w:val="center"/>
          </w:tcPr>
          <w:p w14:paraId="30ACFA1D">
            <w:pPr>
              <w:jc w:val="center"/>
              <w:rPr>
                <w:rFonts w:ascii="宋体" w:hAnsi="宋体"/>
                <w:szCs w:val="21"/>
              </w:rPr>
            </w:pPr>
          </w:p>
        </w:tc>
        <w:tc>
          <w:tcPr>
            <w:tcW w:w="750" w:type="dxa"/>
            <w:vAlign w:val="center"/>
          </w:tcPr>
          <w:p w14:paraId="2F7CC742">
            <w:pPr>
              <w:jc w:val="center"/>
              <w:rPr>
                <w:rFonts w:ascii="宋体" w:hAnsi="宋体"/>
                <w:szCs w:val="21"/>
              </w:rPr>
            </w:pPr>
          </w:p>
        </w:tc>
        <w:tc>
          <w:tcPr>
            <w:tcW w:w="751" w:type="dxa"/>
            <w:vAlign w:val="center"/>
          </w:tcPr>
          <w:p w14:paraId="2D3467A8">
            <w:pPr>
              <w:jc w:val="center"/>
              <w:rPr>
                <w:rFonts w:ascii="宋体" w:hAnsi="宋体"/>
                <w:szCs w:val="21"/>
              </w:rPr>
            </w:pPr>
          </w:p>
        </w:tc>
        <w:tc>
          <w:tcPr>
            <w:tcW w:w="751" w:type="dxa"/>
            <w:vAlign w:val="center"/>
          </w:tcPr>
          <w:p w14:paraId="387AFEAF">
            <w:pPr>
              <w:jc w:val="center"/>
              <w:rPr>
                <w:rFonts w:ascii="宋体" w:hAnsi="宋体"/>
                <w:szCs w:val="21"/>
              </w:rPr>
            </w:pPr>
          </w:p>
        </w:tc>
        <w:tc>
          <w:tcPr>
            <w:tcW w:w="751" w:type="dxa"/>
          </w:tcPr>
          <w:p w14:paraId="2145F444">
            <w:pPr>
              <w:jc w:val="center"/>
              <w:rPr>
                <w:rFonts w:ascii="宋体" w:hAnsi="宋体"/>
                <w:szCs w:val="21"/>
              </w:rPr>
            </w:pPr>
          </w:p>
        </w:tc>
        <w:tc>
          <w:tcPr>
            <w:tcW w:w="624" w:type="dxa"/>
            <w:vAlign w:val="center"/>
          </w:tcPr>
          <w:p w14:paraId="253ACB47">
            <w:pPr>
              <w:jc w:val="center"/>
              <w:rPr>
                <w:rFonts w:ascii="宋体" w:hAnsi="宋体"/>
                <w:szCs w:val="21"/>
              </w:rPr>
            </w:pPr>
          </w:p>
        </w:tc>
      </w:tr>
      <w:tr w14:paraId="2487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3A701E50">
            <w:pPr>
              <w:jc w:val="center"/>
              <w:rPr>
                <w:rFonts w:ascii="宋体" w:hAnsi="宋体"/>
                <w:szCs w:val="21"/>
              </w:rPr>
            </w:pPr>
            <w:r>
              <w:rPr>
                <w:rFonts w:hint="eastAsia" w:ascii="宋体" w:hAnsi="宋体"/>
                <w:szCs w:val="21"/>
              </w:rPr>
              <w:t>4</w:t>
            </w:r>
          </w:p>
        </w:tc>
        <w:tc>
          <w:tcPr>
            <w:tcW w:w="1942" w:type="dxa"/>
            <w:vAlign w:val="center"/>
          </w:tcPr>
          <w:p w14:paraId="0475C9A9">
            <w:pPr>
              <w:jc w:val="center"/>
              <w:rPr>
                <w:rFonts w:ascii="宋体" w:hAnsi="宋体"/>
                <w:szCs w:val="21"/>
              </w:rPr>
            </w:pPr>
          </w:p>
        </w:tc>
        <w:tc>
          <w:tcPr>
            <w:tcW w:w="750" w:type="dxa"/>
            <w:vAlign w:val="center"/>
          </w:tcPr>
          <w:p w14:paraId="323BF297">
            <w:pPr>
              <w:jc w:val="center"/>
              <w:rPr>
                <w:rFonts w:ascii="宋体" w:hAnsi="宋体"/>
                <w:szCs w:val="21"/>
              </w:rPr>
            </w:pPr>
          </w:p>
        </w:tc>
        <w:tc>
          <w:tcPr>
            <w:tcW w:w="751" w:type="dxa"/>
            <w:vAlign w:val="center"/>
          </w:tcPr>
          <w:p w14:paraId="2DCCDCE4">
            <w:pPr>
              <w:jc w:val="center"/>
              <w:rPr>
                <w:rFonts w:ascii="宋体" w:hAnsi="宋体"/>
                <w:szCs w:val="21"/>
              </w:rPr>
            </w:pPr>
          </w:p>
        </w:tc>
        <w:tc>
          <w:tcPr>
            <w:tcW w:w="751" w:type="dxa"/>
            <w:vAlign w:val="center"/>
          </w:tcPr>
          <w:p w14:paraId="371D6B96">
            <w:pPr>
              <w:jc w:val="center"/>
              <w:rPr>
                <w:rFonts w:ascii="宋体" w:hAnsi="宋体"/>
                <w:szCs w:val="21"/>
              </w:rPr>
            </w:pPr>
          </w:p>
        </w:tc>
        <w:tc>
          <w:tcPr>
            <w:tcW w:w="751" w:type="dxa"/>
            <w:vAlign w:val="center"/>
          </w:tcPr>
          <w:p w14:paraId="190C7B89">
            <w:pPr>
              <w:jc w:val="center"/>
              <w:rPr>
                <w:rFonts w:ascii="宋体" w:hAnsi="宋体"/>
                <w:szCs w:val="21"/>
              </w:rPr>
            </w:pPr>
          </w:p>
        </w:tc>
        <w:tc>
          <w:tcPr>
            <w:tcW w:w="750" w:type="dxa"/>
            <w:vAlign w:val="center"/>
          </w:tcPr>
          <w:p w14:paraId="593903BC">
            <w:pPr>
              <w:jc w:val="center"/>
              <w:rPr>
                <w:rFonts w:ascii="宋体" w:hAnsi="宋体"/>
                <w:szCs w:val="21"/>
              </w:rPr>
            </w:pPr>
          </w:p>
        </w:tc>
        <w:tc>
          <w:tcPr>
            <w:tcW w:w="751" w:type="dxa"/>
            <w:vAlign w:val="center"/>
          </w:tcPr>
          <w:p w14:paraId="044151F3">
            <w:pPr>
              <w:jc w:val="center"/>
              <w:rPr>
                <w:rFonts w:ascii="宋体" w:hAnsi="宋体"/>
                <w:szCs w:val="21"/>
              </w:rPr>
            </w:pPr>
          </w:p>
        </w:tc>
        <w:tc>
          <w:tcPr>
            <w:tcW w:w="751" w:type="dxa"/>
            <w:vAlign w:val="center"/>
          </w:tcPr>
          <w:p w14:paraId="6647795B">
            <w:pPr>
              <w:jc w:val="center"/>
              <w:rPr>
                <w:rFonts w:ascii="宋体" w:hAnsi="宋体"/>
                <w:szCs w:val="21"/>
              </w:rPr>
            </w:pPr>
          </w:p>
        </w:tc>
        <w:tc>
          <w:tcPr>
            <w:tcW w:w="751" w:type="dxa"/>
          </w:tcPr>
          <w:p w14:paraId="7D7B4D77">
            <w:pPr>
              <w:jc w:val="center"/>
              <w:rPr>
                <w:rFonts w:ascii="宋体" w:hAnsi="宋体"/>
                <w:szCs w:val="21"/>
              </w:rPr>
            </w:pPr>
          </w:p>
        </w:tc>
        <w:tc>
          <w:tcPr>
            <w:tcW w:w="624" w:type="dxa"/>
            <w:vAlign w:val="center"/>
          </w:tcPr>
          <w:p w14:paraId="53CCE690">
            <w:pPr>
              <w:jc w:val="center"/>
              <w:rPr>
                <w:rFonts w:ascii="宋体" w:hAnsi="宋体"/>
                <w:szCs w:val="21"/>
              </w:rPr>
            </w:pPr>
          </w:p>
        </w:tc>
      </w:tr>
      <w:tr w14:paraId="7ED5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7A6F75B5">
            <w:pPr>
              <w:jc w:val="center"/>
              <w:rPr>
                <w:rFonts w:ascii="宋体" w:hAnsi="宋体"/>
                <w:szCs w:val="21"/>
              </w:rPr>
            </w:pPr>
            <w:r>
              <w:rPr>
                <w:rFonts w:hint="eastAsia" w:ascii="宋体" w:hAnsi="宋体"/>
                <w:szCs w:val="21"/>
              </w:rPr>
              <w:t>5</w:t>
            </w:r>
          </w:p>
        </w:tc>
        <w:tc>
          <w:tcPr>
            <w:tcW w:w="1942" w:type="dxa"/>
            <w:vAlign w:val="center"/>
          </w:tcPr>
          <w:p w14:paraId="45D7D1B2">
            <w:pPr>
              <w:jc w:val="center"/>
              <w:rPr>
                <w:rFonts w:ascii="宋体" w:hAnsi="宋体"/>
                <w:szCs w:val="21"/>
              </w:rPr>
            </w:pPr>
          </w:p>
        </w:tc>
        <w:tc>
          <w:tcPr>
            <w:tcW w:w="750" w:type="dxa"/>
            <w:vAlign w:val="center"/>
          </w:tcPr>
          <w:p w14:paraId="2EF779CE">
            <w:pPr>
              <w:jc w:val="center"/>
              <w:rPr>
                <w:rFonts w:ascii="宋体" w:hAnsi="宋体"/>
                <w:szCs w:val="21"/>
              </w:rPr>
            </w:pPr>
          </w:p>
        </w:tc>
        <w:tc>
          <w:tcPr>
            <w:tcW w:w="751" w:type="dxa"/>
            <w:vAlign w:val="center"/>
          </w:tcPr>
          <w:p w14:paraId="255E487F">
            <w:pPr>
              <w:jc w:val="center"/>
              <w:rPr>
                <w:rFonts w:ascii="宋体" w:hAnsi="宋体"/>
                <w:szCs w:val="21"/>
              </w:rPr>
            </w:pPr>
          </w:p>
        </w:tc>
        <w:tc>
          <w:tcPr>
            <w:tcW w:w="751" w:type="dxa"/>
            <w:vAlign w:val="center"/>
          </w:tcPr>
          <w:p w14:paraId="7ADB48A4">
            <w:pPr>
              <w:jc w:val="center"/>
              <w:rPr>
                <w:rFonts w:ascii="宋体" w:hAnsi="宋体"/>
                <w:szCs w:val="21"/>
              </w:rPr>
            </w:pPr>
          </w:p>
        </w:tc>
        <w:tc>
          <w:tcPr>
            <w:tcW w:w="751" w:type="dxa"/>
            <w:vAlign w:val="center"/>
          </w:tcPr>
          <w:p w14:paraId="3A61A39A">
            <w:pPr>
              <w:jc w:val="center"/>
              <w:rPr>
                <w:rFonts w:ascii="宋体" w:hAnsi="宋体"/>
                <w:szCs w:val="21"/>
              </w:rPr>
            </w:pPr>
          </w:p>
        </w:tc>
        <w:tc>
          <w:tcPr>
            <w:tcW w:w="750" w:type="dxa"/>
            <w:vAlign w:val="center"/>
          </w:tcPr>
          <w:p w14:paraId="7A722BB7">
            <w:pPr>
              <w:jc w:val="center"/>
              <w:rPr>
                <w:rFonts w:ascii="宋体" w:hAnsi="宋体"/>
                <w:szCs w:val="21"/>
              </w:rPr>
            </w:pPr>
          </w:p>
        </w:tc>
        <w:tc>
          <w:tcPr>
            <w:tcW w:w="751" w:type="dxa"/>
            <w:vAlign w:val="center"/>
          </w:tcPr>
          <w:p w14:paraId="7F699E1D">
            <w:pPr>
              <w:jc w:val="center"/>
              <w:rPr>
                <w:rFonts w:ascii="宋体" w:hAnsi="宋体"/>
                <w:szCs w:val="21"/>
              </w:rPr>
            </w:pPr>
          </w:p>
        </w:tc>
        <w:tc>
          <w:tcPr>
            <w:tcW w:w="751" w:type="dxa"/>
            <w:vAlign w:val="center"/>
          </w:tcPr>
          <w:p w14:paraId="6C7D45C6">
            <w:pPr>
              <w:jc w:val="center"/>
              <w:rPr>
                <w:rFonts w:ascii="宋体" w:hAnsi="宋体"/>
                <w:szCs w:val="21"/>
              </w:rPr>
            </w:pPr>
          </w:p>
        </w:tc>
        <w:tc>
          <w:tcPr>
            <w:tcW w:w="751" w:type="dxa"/>
          </w:tcPr>
          <w:p w14:paraId="7ABDE52C">
            <w:pPr>
              <w:jc w:val="center"/>
              <w:rPr>
                <w:rFonts w:ascii="宋体" w:hAnsi="宋体"/>
                <w:szCs w:val="21"/>
              </w:rPr>
            </w:pPr>
          </w:p>
        </w:tc>
        <w:tc>
          <w:tcPr>
            <w:tcW w:w="624" w:type="dxa"/>
            <w:vAlign w:val="center"/>
          </w:tcPr>
          <w:p w14:paraId="2C4EFEB1">
            <w:pPr>
              <w:jc w:val="center"/>
              <w:rPr>
                <w:rFonts w:ascii="宋体" w:hAnsi="宋体"/>
                <w:szCs w:val="21"/>
              </w:rPr>
            </w:pPr>
          </w:p>
        </w:tc>
      </w:tr>
      <w:tr w14:paraId="5445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E645ECD">
            <w:pPr>
              <w:jc w:val="center"/>
              <w:rPr>
                <w:rFonts w:ascii="宋体" w:hAnsi="宋体"/>
                <w:szCs w:val="21"/>
              </w:rPr>
            </w:pPr>
            <w:r>
              <w:rPr>
                <w:rFonts w:hint="eastAsia" w:ascii="黑体" w:hAnsi="黑体" w:eastAsia="黑体"/>
                <w:szCs w:val="44"/>
              </w:rPr>
              <w:t>…</w:t>
            </w:r>
          </w:p>
        </w:tc>
        <w:tc>
          <w:tcPr>
            <w:tcW w:w="1942" w:type="dxa"/>
            <w:vAlign w:val="center"/>
          </w:tcPr>
          <w:p w14:paraId="4ED9567B">
            <w:pPr>
              <w:jc w:val="center"/>
              <w:rPr>
                <w:rFonts w:ascii="宋体" w:hAnsi="宋体"/>
                <w:szCs w:val="21"/>
              </w:rPr>
            </w:pPr>
          </w:p>
        </w:tc>
        <w:tc>
          <w:tcPr>
            <w:tcW w:w="750" w:type="dxa"/>
            <w:vAlign w:val="center"/>
          </w:tcPr>
          <w:p w14:paraId="4DE21FAA">
            <w:pPr>
              <w:jc w:val="center"/>
              <w:rPr>
                <w:rFonts w:ascii="宋体" w:hAnsi="宋体"/>
                <w:szCs w:val="21"/>
              </w:rPr>
            </w:pPr>
          </w:p>
        </w:tc>
        <w:tc>
          <w:tcPr>
            <w:tcW w:w="751" w:type="dxa"/>
            <w:vAlign w:val="center"/>
          </w:tcPr>
          <w:p w14:paraId="7328C212">
            <w:pPr>
              <w:jc w:val="center"/>
              <w:rPr>
                <w:rFonts w:ascii="宋体" w:hAnsi="宋体"/>
                <w:szCs w:val="21"/>
              </w:rPr>
            </w:pPr>
          </w:p>
        </w:tc>
        <w:tc>
          <w:tcPr>
            <w:tcW w:w="751" w:type="dxa"/>
            <w:vAlign w:val="center"/>
          </w:tcPr>
          <w:p w14:paraId="56FF37DB">
            <w:pPr>
              <w:jc w:val="center"/>
              <w:rPr>
                <w:rFonts w:ascii="宋体" w:hAnsi="宋体"/>
                <w:szCs w:val="21"/>
              </w:rPr>
            </w:pPr>
          </w:p>
        </w:tc>
        <w:tc>
          <w:tcPr>
            <w:tcW w:w="751" w:type="dxa"/>
            <w:vAlign w:val="center"/>
          </w:tcPr>
          <w:p w14:paraId="666CE442">
            <w:pPr>
              <w:jc w:val="center"/>
              <w:rPr>
                <w:rFonts w:ascii="宋体" w:hAnsi="宋体"/>
                <w:szCs w:val="21"/>
              </w:rPr>
            </w:pPr>
          </w:p>
        </w:tc>
        <w:tc>
          <w:tcPr>
            <w:tcW w:w="750" w:type="dxa"/>
            <w:vAlign w:val="center"/>
          </w:tcPr>
          <w:p w14:paraId="18306AB5">
            <w:pPr>
              <w:jc w:val="center"/>
              <w:rPr>
                <w:rFonts w:ascii="宋体" w:hAnsi="宋体"/>
                <w:szCs w:val="21"/>
              </w:rPr>
            </w:pPr>
          </w:p>
        </w:tc>
        <w:tc>
          <w:tcPr>
            <w:tcW w:w="751" w:type="dxa"/>
            <w:vAlign w:val="center"/>
          </w:tcPr>
          <w:p w14:paraId="3360CFA7">
            <w:pPr>
              <w:jc w:val="center"/>
              <w:rPr>
                <w:rFonts w:ascii="宋体" w:hAnsi="宋体"/>
                <w:szCs w:val="21"/>
              </w:rPr>
            </w:pPr>
          </w:p>
        </w:tc>
        <w:tc>
          <w:tcPr>
            <w:tcW w:w="751" w:type="dxa"/>
            <w:vAlign w:val="center"/>
          </w:tcPr>
          <w:p w14:paraId="1342713C">
            <w:pPr>
              <w:jc w:val="center"/>
              <w:rPr>
                <w:rFonts w:ascii="宋体" w:hAnsi="宋体"/>
                <w:szCs w:val="21"/>
              </w:rPr>
            </w:pPr>
          </w:p>
        </w:tc>
        <w:tc>
          <w:tcPr>
            <w:tcW w:w="751" w:type="dxa"/>
          </w:tcPr>
          <w:p w14:paraId="5032DF17">
            <w:pPr>
              <w:jc w:val="center"/>
              <w:rPr>
                <w:rFonts w:ascii="宋体" w:hAnsi="宋体"/>
                <w:szCs w:val="21"/>
              </w:rPr>
            </w:pPr>
          </w:p>
        </w:tc>
        <w:tc>
          <w:tcPr>
            <w:tcW w:w="624" w:type="dxa"/>
            <w:vAlign w:val="center"/>
          </w:tcPr>
          <w:p w14:paraId="0350B47F">
            <w:pPr>
              <w:jc w:val="center"/>
              <w:rPr>
                <w:rFonts w:ascii="宋体" w:hAnsi="宋体"/>
                <w:szCs w:val="21"/>
              </w:rPr>
            </w:pPr>
          </w:p>
        </w:tc>
      </w:tr>
    </w:tbl>
    <w:p w14:paraId="347D28DF"/>
    <w:p w14:paraId="10B51537">
      <w:pPr>
        <w:jc w:val="right"/>
      </w:pPr>
      <w:r>
        <w:rPr>
          <w:rFonts w:hint="eastAsia"/>
        </w:rPr>
        <w:t>日期：      年    月   日</w:t>
      </w:r>
    </w:p>
    <w:p w14:paraId="627F4EAE">
      <w:pPr>
        <w:spacing w:line="430" w:lineRule="exact"/>
      </w:pPr>
    </w:p>
    <w:p w14:paraId="222C6CA8">
      <w:pPr>
        <w:spacing w:line="430" w:lineRule="exact"/>
        <w:rPr>
          <w:rFonts w:ascii="黑体" w:eastAsia="黑体"/>
          <w:sz w:val="24"/>
        </w:rPr>
        <w:sectPr>
          <w:pgSz w:w="11906" w:h="16838"/>
          <w:pgMar w:top="1440" w:right="1797" w:bottom="1440" w:left="1797" w:header="851" w:footer="851" w:gutter="0"/>
          <w:cols w:space="720" w:num="1"/>
          <w:docGrid w:linePitch="312" w:charSpace="0"/>
        </w:sectPr>
      </w:pPr>
    </w:p>
    <w:p w14:paraId="6F1138A9">
      <w:pPr>
        <w:spacing w:after="240" w:afterLines="100"/>
        <w:rPr>
          <w:rFonts w:ascii="黑体" w:eastAsia="黑体"/>
          <w:sz w:val="24"/>
        </w:rPr>
      </w:pPr>
    </w:p>
    <w:p w14:paraId="3354C63D">
      <w:pPr>
        <w:pStyle w:val="25"/>
      </w:pPr>
      <w:bookmarkStart w:id="666" w:name="_Toc165804450"/>
      <w:bookmarkStart w:id="667" w:name="_Toc256000133"/>
      <w:r>
        <w:rPr>
          <w:rFonts w:hint="eastAsia"/>
        </w:rPr>
        <w:t>附表A-4：形式评审记录表</w:t>
      </w:r>
      <w:bookmarkEnd w:id="666"/>
      <w:bookmarkEnd w:id="667"/>
    </w:p>
    <w:p w14:paraId="610C39AB">
      <w:bookmarkStart w:id="668" w:name="_Hlk145501909"/>
      <w:bookmarkStart w:id="669" w:name="_Toc145516055"/>
    </w:p>
    <w:p w14:paraId="177E3B50">
      <w:pPr>
        <w:adjustRightInd w:val="0"/>
        <w:snapToGrid w:val="0"/>
        <w:spacing w:before="240" w:beforeLines="100" w:after="240" w:afterLines="100" w:line="440" w:lineRule="exact"/>
        <w:jc w:val="center"/>
        <w:rPr>
          <w:rFonts w:ascii="黑体" w:hAnsi="黑体" w:eastAsia="黑体"/>
          <w:sz w:val="36"/>
          <w:szCs w:val="36"/>
        </w:rPr>
      </w:pPr>
      <w:bookmarkStart w:id="670" w:name="_Toc148976154"/>
      <w:bookmarkStart w:id="671" w:name="_Toc148971946"/>
      <w:bookmarkStart w:id="672" w:name="_Toc21854"/>
      <w:r>
        <w:rPr>
          <w:rFonts w:hint="eastAsia" w:ascii="黑体" w:hAnsi="黑体" w:eastAsia="黑体"/>
          <w:sz w:val="36"/>
          <w:szCs w:val="36"/>
        </w:rPr>
        <w:t>形式评审</w:t>
      </w:r>
      <w:bookmarkEnd w:id="668"/>
      <w:r>
        <w:rPr>
          <w:rFonts w:hint="eastAsia" w:ascii="黑体" w:hAnsi="黑体" w:eastAsia="黑体"/>
          <w:sz w:val="36"/>
          <w:szCs w:val="36"/>
        </w:rPr>
        <w:t>记录表</w:t>
      </w:r>
      <w:bookmarkEnd w:id="669"/>
      <w:bookmarkEnd w:id="670"/>
      <w:bookmarkEnd w:id="671"/>
      <w:bookmarkEnd w:id="672"/>
    </w:p>
    <w:p w14:paraId="7A089CDC">
      <w:pPr>
        <w:rPr>
          <w:rFonts w:ascii="宋体" w:hAnsi="宋体"/>
          <w:szCs w:val="44"/>
        </w:rPr>
      </w:pPr>
      <w:r>
        <w:rPr>
          <w:rFonts w:hint="eastAsia" w:ascii="宋体" w:hAnsi="宋体"/>
          <w:szCs w:val="44"/>
        </w:rPr>
        <w:t>标段名称：</w:t>
      </w:r>
    </w:p>
    <w:p w14:paraId="3B235D2D">
      <w:pPr>
        <w:rPr>
          <w:rFonts w:ascii="宋体" w:hAnsi="宋体"/>
          <w:szCs w:val="44"/>
        </w:rPr>
      </w:pPr>
      <w:r>
        <w:rPr>
          <w:rFonts w:hint="eastAsia"/>
          <w:szCs w:val="44"/>
        </w:rPr>
        <w:t>标段唯一标识码：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10AD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2427923D">
            <w:pPr>
              <w:jc w:val="center"/>
              <w:rPr>
                <w:rFonts w:ascii="宋体" w:hAnsi="宋体"/>
                <w:b/>
                <w:bCs/>
                <w:szCs w:val="44"/>
              </w:rPr>
            </w:pPr>
            <w:r>
              <w:rPr>
                <w:rFonts w:hint="eastAsia" w:ascii="宋体" w:hAnsi="宋体"/>
                <w:b/>
                <w:bCs/>
                <w:szCs w:val="44"/>
              </w:rPr>
              <w:t>序号</w:t>
            </w:r>
          </w:p>
        </w:tc>
        <w:tc>
          <w:tcPr>
            <w:tcW w:w="1363" w:type="dxa"/>
            <w:vMerge w:val="restart"/>
            <w:vAlign w:val="center"/>
          </w:tcPr>
          <w:p w14:paraId="546FAB44">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239699D2">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6F44C8A6">
            <w:pPr>
              <w:jc w:val="center"/>
              <w:rPr>
                <w:rFonts w:ascii="宋体" w:hAnsi="宋体"/>
                <w:b/>
                <w:bCs/>
                <w:szCs w:val="44"/>
              </w:rPr>
            </w:pPr>
            <w:r>
              <w:rPr>
                <w:rFonts w:ascii="宋体" w:hAnsi="宋体"/>
                <w:b/>
                <w:bCs/>
                <w:szCs w:val="21"/>
              </w:rPr>
              <w:t>评审结论</w:t>
            </w:r>
          </w:p>
        </w:tc>
      </w:tr>
      <w:tr w14:paraId="582E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47E9D7FD">
            <w:pPr>
              <w:jc w:val="center"/>
              <w:rPr>
                <w:rFonts w:ascii="宋体" w:hAnsi="宋体"/>
                <w:szCs w:val="44"/>
              </w:rPr>
            </w:pPr>
          </w:p>
        </w:tc>
        <w:tc>
          <w:tcPr>
            <w:tcW w:w="1363" w:type="dxa"/>
            <w:vMerge w:val="continue"/>
          </w:tcPr>
          <w:p w14:paraId="11A6BB76">
            <w:pPr>
              <w:jc w:val="center"/>
              <w:rPr>
                <w:rFonts w:ascii="宋体" w:hAnsi="宋体"/>
                <w:szCs w:val="44"/>
              </w:rPr>
            </w:pPr>
          </w:p>
        </w:tc>
        <w:tc>
          <w:tcPr>
            <w:tcW w:w="650" w:type="dxa"/>
            <w:vAlign w:val="center"/>
          </w:tcPr>
          <w:p w14:paraId="3364D2C8">
            <w:pPr>
              <w:jc w:val="center"/>
              <w:rPr>
                <w:rFonts w:ascii="宋体" w:hAnsi="宋体"/>
                <w:b/>
                <w:bCs/>
                <w:szCs w:val="44"/>
              </w:rPr>
            </w:pPr>
          </w:p>
        </w:tc>
        <w:tc>
          <w:tcPr>
            <w:tcW w:w="650" w:type="dxa"/>
            <w:vAlign w:val="center"/>
          </w:tcPr>
          <w:p w14:paraId="24EE39CB">
            <w:pPr>
              <w:jc w:val="center"/>
              <w:rPr>
                <w:rFonts w:ascii="宋体" w:hAnsi="宋体"/>
                <w:b/>
                <w:bCs/>
                <w:szCs w:val="44"/>
              </w:rPr>
            </w:pPr>
          </w:p>
        </w:tc>
        <w:tc>
          <w:tcPr>
            <w:tcW w:w="650" w:type="dxa"/>
            <w:vAlign w:val="center"/>
          </w:tcPr>
          <w:p w14:paraId="242A8F52">
            <w:pPr>
              <w:jc w:val="center"/>
              <w:rPr>
                <w:rFonts w:ascii="宋体" w:hAnsi="宋体"/>
                <w:b/>
                <w:bCs/>
                <w:szCs w:val="44"/>
              </w:rPr>
            </w:pPr>
          </w:p>
        </w:tc>
        <w:tc>
          <w:tcPr>
            <w:tcW w:w="650" w:type="dxa"/>
            <w:vAlign w:val="center"/>
          </w:tcPr>
          <w:p w14:paraId="085E4375">
            <w:pPr>
              <w:jc w:val="center"/>
              <w:rPr>
                <w:rFonts w:ascii="宋体" w:hAnsi="宋体"/>
                <w:b/>
                <w:bCs/>
                <w:szCs w:val="44"/>
              </w:rPr>
            </w:pPr>
          </w:p>
        </w:tc>
        <w:tc>
          <w:tcPr>
            <w:tcW w:w="650" w:type="dxa"/>
            <w:vAlign w:val="center"/>
          </w:tcPr>
          <w:p w14:paraId="15664B3E">
            <w:pPr>
              <w:jc w:val="center"/>
              <w:rPr>
                <w:rFonts w:ascii="宋体" w:hAnsi="宋体"/>
                <w:b/>
                <w:bCs/>
                <w:szCs w:val="44"/>
              </w:rPr>
            </w:pPr>
          </w:p>
        </w:tc>
        <w:tc>
          <w:tcPr>
            <w:tcW w:w="650" w:type="dxa"/>
            <w:vAlign w:val="center"/>
          </w:tcPr>
          <w:p w14:paraId="5E0AC061">
            <w:pPr>
              <w:jc w:val="center"/>
              <w:rPr>
                <w:rFonts w:ascii="宋体" w:hAnsi="宋体"/>
                <w:b/>
                <w:bCs/>
                <w:szCs w:val="44"/>
              </w:rPr>
            </w:pPr>
          </w:p>
        </w:tc>
        <w:tc>
          <w:tcPr>
            <w:tcW w:w="650" w:type="dxa"/>
            <w:vAlign w:val="center"/>
          </w:tcPr>
          <w:p w14:paraId="6F1B49A1">
            <w:pPr>
              <w:jc w:val="center"/>
              <w:rPr>
                <w:rFonts w:ascii="宋体" w:hAnsi="宋体"/>
                <w:b/>
                <w:bCs/>
                <w:szCs w:val="44"/>
              </w:rPr>
            </w:pPr>
          </w:p>
        </w:tc>
        <w:tc>
          <w:tcPr>
            <w:tcW w:w="650" w:type="dxa"/>
            <w:vAlign w:val="center"/>
          </w:tcPr>
          <w:p w14:paraId="17E24B38">
            <w:pPr>
              <w:jc w:val="center"/>
              <w:rPr>
                <w:rFonts w:ascii="宋体" w:hAnsi="宋体"/>
                <w:b/>
                <w:bCs/>
                <w:szCs w:val="44"/>
              </w:rPr>
            </w:pPr>
          </w:p>
        </w:tc>
        <w:tc>
          <w:tcPr>
            <w:tcW w:w="651" w:type="dxa"/>
            <w:vAlign w:val="center"/>
          </w:tcPr>
          <w:p w14:paraId="0137745D">
            <w:pPr>
              <w:jc w:val="center"/>
              <w:rPr>
                <w:rFonts w:ascii="宋体" w:hAnsi="宋体"/>
                <w:b/>
                <w:bCs/>
                <w:szCs w:val="44"/>
              </w:rPr>
            </w:pPr>
          </w:p>
        </w:tc>
        <w:tc>
          <w:tcPr>
            <w:tcW w:w="818" w:type="dxa"/>
            <w:vMerge w:val="continue"/>
            <w:vAlign w:val="center"/>
          </w:tcPr>
          <w:p w14:paraId="29672400">
            <w:pPr>
              <w:jc w:val="center"/>
              <w:rPr>
                <w:rFonts w:ascii="宋体" w:hAnsi="宋体"/>
                <w:szCs w:val="44"/>
              </w:rPr>
            </w:pPr>
          </w:p>
        </w:tc>
      </w:tr>
      <w:tr w14:paraId="220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2AC69CB">
            <w:pPr>
              <w:jc w:val="center"/>
              <w:rPr>
                <w:rFonts w:ascii="宋体" w:hAnsi="宋体"/>
                <w:szCs w:val="44"/>
              </w:rPr>
            </w:pPr>
            <w:r>
              <w:rPr>
                <w:rFonts w:hint="eastAsia" w:ascii="宋体" w:hAnsi="宋体"/>
                <w:szCs w:val="44"/>
              </w:rPr>
              <w:t>1</w:t>
            </w:r>
          </w:p>
        </w:tc>
        <w:tc>
          <w:tcPr>
            <w:tcW w:w="1363" w:type="dxa"/>
            <w:vAlign w:val="center"/>
          </w:tcPr>
          <w:p w14:paraId="176FF8C7">
            <w:pPr>
              <w:jc w:val="center"/>
              <w:rPr>
                <w:rFonts w:ascii="宋体" w:hAnsi="宋体"/>
                <w:szCs w:val="21"/>
              </w:rPr>
            </w:pPr>
          </w:p>
        </w:tc>
        <w:tc>
          <w:tcPr>
            <w:tcW w:w="650" w:type="dxa"/>
            <w:vAlign w:val="center"/>
          </w:tcPr>
          <w:p w14:paraId="7E26241C">
            <w:pPr>
              <w:jc w:val="center"/>
              <w:rPr>
                <w:rFonts w:ascii="宋体" w:hAnsi="宋体"/>
                <w:szCs w:val="21"/>
              </w:rPr>
            </w:pPr>
          </w:p>
        </w:tc>
        <w:tc>
          <w:tcPr>
            <w:tcW w:w="650" w:type="dxa"/>
            <w:vAlign w:val="center"/>
          </w:tcPr>
          <w:p w14:paraId="1DE71B64">
            <w:pPr>
              <w:jc w:val="center"/>
              <w:rPr>
                <w:rFonts w:ascii="宋体" w:hAnsi="宋体"/>
                <w:szCs w:val="44"/>
              </w:rPr>
            </w:pPr>
          </w:p>
        </w:tc>
        <w:tc>
          <w:tcPr>
            <w:tcW w:w="650" w:type="dxa"/>
            <w:vAlign w:val="center"/>
          </w:tcPr>
          <w:p w14:paraId="791F2166">
            <w:pPr>
              <w:jc w:val="center"/>
              <w:rPr>
                <w:rFonts w:ascii="宋体" w:hAnsi="宋体"/>
                <w:szCs w:val="44"/>
              </w:rPr>
            </w:pPr>
          </w:p>
        </w:tc>
        <w:tc>
          <w:tcPr>
            <w:tcW w:w="650" w:type="dxa"/>
            <w:vAlign w:val="center"/>
          </w:tcPr>
          <w:p w14:paraId="069DD3C9">
            <w:pPr>
              <w:jc w:val="center"/>
              <w:rPr>
                <w:rFonts w:ascii="宋体" w:hAnsi="宋体"/>
                <w:szCs w:val="44"/>
              </w:rPr>
            </w:pPr>
          </w:p>
        </w:tc>
        <w:tc>
          <w:tcPr>
            <w:tcW w:w="650" w:type="dxa"/>
            <w:vAlign w:val="center"/>
          </w:tcPr>
          <w:p w14:paraId="240799FC">
            <w:pPr>
              <w:jc w:val="center"/>
              <w:rPr>
                <w:rFonts w:ascii="宋体" w:hAnsi="宋体"/>
                <w:szCs w:val="44"/>
              </w:rPr>
            </w:pPr>
          </w:p>
        </w:tc>
        <w:tc>
          <w:tcPr>
            <w:tcW w:w="650" w:type="dxa"/>
            <w:vAlign w:val="center"/>
          </w:tcPr>
          <w:p w14:paraId="3DA01FE1">
            <w:pPr>
              <w:jc w:val="center"/>
              <w:rPr>
                <w:rFonts w:ascii="宋体" w:hAnsi="宋体"/>
                <w:szCs w:val="44"/>
              </w:rPr>
            </w:pPr>
          </w:p>
        </w:tc>
        <w:tc>
          <w:tcPr>
            <w:tcW w:w="650" w:type="dxa"/>
            <w:vAlign w:val="center"/>
          </w:tcPr>
          <w:p w14:paraId="01A598D6">
            <w:pPr>
              <w:jc w:val="center"/>
              <w:rPr>
                <w:rFonts w:ascii="宋体" w:hAnsi="宋体"/>
                <w:szCs w:val="44"/>
              </w:rPr>
            </w:pPr>
          </w:p>
        </w:tc>
        <w:tc>
          <w:tcPr>
            <w:tcW w:w="650" w:type="dxa"/>
            <w:vAlign w:val="center"/>
          </w:tcPr>
          <w:p w14:paraId="1EFB3A22">
            <w:pPr>
              <w:jc w:val="center"/>
              <w:rPr>
                <w:rFonts w:ascii="宋体" w:hAnsi="宋体"/>
                <w:szCs w:val="44"/>
              </w:rPr>
            </w:pPr>
          </w:p>
        </w:tc>
        <w:tc>
          <w:tcPr>
            <w:tcW w:w="651" w:type="dxa"/>
            <w:vAlign w:val="center"/>
          </w:tcPr>
          <w:p w14:paraId="762DC7B7">
            <w:pPr>
              <w:jc w:val="center"/>
              <w:rPr>
                <w:rFonts w:ascii="宋体" w:hAnsi="宋体"/>
                <w:szCs w:val="44"/>
              </w:rPr>
            </w:pPr>
          </w:p>
        </w:tc>
        <w:tc>
          <w:tcPr>
            <w:tcW w:w="818" w:type="dxa"/>
            <w:vAlign w:val="center"/>
          </w:tcPr>
          <w:p w14:paraId="01DB399D">
            <w:pPr>
              <w:jc w:val="center"/>
              <w:rPr>
                <w:rFonts w:ascii="宋体" w:hAnsi="宋体"/>
                <w:szCs w:val="44"/>
              </w:rPr>
            </w:pPr>
          </w:p>
        </w:tc>
      </w:tr>
      <w:tr w14:paraId="51D4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816EB2C">
            <w:pPr>
              <w:jc w:val="center"/>
              <w:rPr>
                <w:rFonts w:ascii="宋体" w:hAnsi="宋体"/>
                <w:szCs w:val="44"/>
              </w:rPr>
            </w:pPr>
            <w:r>
              <w:rPr>
                <w:rFonts w:hint="eastAsia" w:ascii="宋体" w:hAnsi="宋体"/>
                <w:szCs w:val="44"/>
              </w:rPr>
              <w:t>2</w:t>
            </w:r>
          </w:p>
        </w:tc>
        <w:tc>
          <w:tcPr>
            <w:tcW w:w="1363" w:type="dxa"/>
            <w:vAlign w:val="center"/>
          </w:tcPr>
          <w:p w14:paraId="0AF5572E">
            <w:pPr>
              <w:jc w:val="center"/>
              <w:rPr>
                <w:rFonts w:ascii="宋体" w:hAnsi="宋体"/>
                <w:szCs w:val="44"/>
              </w:rPr>
            </w:pPr>
          </w:p>
        </w:tc>
        <w:tc>
          <w:tcPr>
            <w:tcW w:w="650" w:type="dxa"/>
            <w:vAlign w:val="center"/>
          </w:tcPr>
          <w:p w14:paraId="27671551">
            <w:pPr>
              <w:jc w:val="center"/>
            </w:pPr>
          </w:p>
        </w:tc>
        <w:tc>
          <w:tcPr>
            <w:tcW w:w="650" w:type="dxa"/>
            <w:vAlign w:val="center"/>
          </w:tcPr>
          <w:p w14:paraId="3C8478F0">
            <w:pPr>
              <w:jc w:val="center"/>
              <w:rPr>
                <w:rFonts w:ascii="宋体" w:hAnsi="宋体"/>
                <w:szCs w:val="44"/>
              </w:rPr>
            </w:pPr>
          </w:p>
        </w:tc>
        <w:tc>
          <w:tcPr>
            <w:tcW w:w="650" w:type="dxa"/>
            <w:vAlign w:val="center"/>
          </w:tcPr>
          <w:p w14:paraId="2AE8408C">
            <w:pPr>
              <w:jc w:val="center"/>
              <w:rPr>
                <w:rFonts w:ascii="宋体" w:hAnsi="宋体"/>
                <w:szCs w:val="44"/>
              </w:rPr>
            </w:pPr>
          </w:p>
        </w:tc>
        <w:tc>
          <w:tcPr>
            <w:tcW w:w="650" w:type="dxa"/>
            <w:vAlign w:val="center"/>
          </w:tcPr>
          <w:p w14:paraId="4D752DBC">
            <w:pPr>
              <w:jc w:val="center"/>
              <w:rPr>
                <w:rFonts w:ascii="宋体" w:hAnsi="宋体"/>
                <w:szCs w:val="44"/>
              </w:rPr>
            </w:pPr>
          </w:p>
        </w:tc>
        <w:tc>
          <w:tcPr>
            <w:tcW w:w="650" w:type="dxa"/>
            <w:vAlign w:val="center"/>
          </w:tcPr>
          <w:p w14:paraId="40318096">
            <w:pPr>
              <w:jc w:val="center"/>
              <w:rPr>
                <w:rFonts w:ascii="宋体" w:hAnsi="宋体"/>
                <w:szCs w:val="44"/>
              </w:rPr>
            </w:pPr>
          </w:p>
        </w:tc>
        <w:tc>
          <w:tcPr>
            <w:tcW w:w="650" w:type="dxa"/>
            <w:vAlign w:val="center"/>
          </w:tcPr>
          <w:p w14:paraId="57E6FD33">
            <w:pPr>
              <w:jc w:val="center"/>
              <w:rPr>
                <w:rFonts w:ascii="宋体" w:hAnsi="宋体"/>
                <w:szCs w:val="44"/>
              </w:rPr>
            </w:pPr>
          </w:p>
        </w:tc>
        <w:tc>
          <w:tcPr>
            <w:tcW w:w="650" w:type="dxa"/>
            <w:vAlign w:val="center"/>
          </w:tcPr>
          <w:p w14:paraId="06424F15">
            <w:pPr>
              <w:jc w:val="center"/>
              <w:rPr>
                <w:rFonts w:ascii="宋体" w:hAnsi="宋体"/>
                <w:szCs w:val="44"/>
              </w:rPr>
            </w:pPr>
          </w:p>
        </w:tc>
        <w:tc>
          <w:tcPr>
            <w:tcW w:w="650" w:type="dxa"/>
            <w:vAlign w:val="center"/>
          </w:tcPr>
          <w:p w14:paraId="286AD4C9">
            <w:pPr>
              <w:jc w:val="center"/>
              <w:rPr>
                <w:rFonts w:ascii="宋体" w:hAnsi="宋体"/>
                <w:szCs w:val="44"/>
              </w:rPr>
            </w:pPr>
          </w:p>
        </w:tc>
        <w:tc>
          <w:tcPr>
            <w:tcW w:w="651" w:type="dxa"/>
            <w:vAlign w:val="center"/>
          </w:tcPr>
          <w:p w14:paraId="1CA14F6F">
            <w:pPr>
              <w:jc w:val="center"/>
              <w:rPr>
                <w:rFonts w:ascii="宋体" w:hAnsi="宋体"/>
                <w:szCs w:val="44"/>
              </w:rPr>
            </w:pPr>
          </w:p>
        </w:tc>
        <w:tc>
          <w:tcPr>
            <w:tcW w:w="818" w:type="dxa"/>
            <w:vAlign w:val="center"/>
          </w:tcPr>
          <w:p w14:paraId="75B61C88">
            <w:pPr>
              <w:jc w:val="center"/>
              <w:rPr>
                <w:rFonts w:ascii="宋体" w:hAnsi="宋体"/>
                <w:szCs w:val="44"/>
              </w:rPr>
            </w:pPr>
          </w:p>
        </w:tc>
      </w:tr>
      <w:tr w14:paraId="0AE3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683CC2A">
            <w:pPr>
              <w:jc w:val="center"/>
              <w:rPr>
                <w:rFonts w:ascii="宋体" w:hAnsi="宋体"/>
                <w:szCs w:val="44"/>
              </w:rPr>
            </w:pPr>
            <w:r>
              <w:rPr>
                <w:rFonts w:hint="eastAsia" w:ascii="宋体" w:hAnsi="宋体"/>
                <w:szCs w:val="44"/>
              </w:rPr>
              <w:t>3</w:t>
            </w:r>
          </w:p>
        </w:tc>
        <w:tc>
          <w:tcPr>
            <w:tcW w:w="1363" w:type="dxa"/>
            <w:vAlign w:val="center"/>
          </w:tcPr>
          <w:p w14:paraId="58576138">
            <w:pPr>
              <w:jc w:val="center"/>
              <w:rPr>
                <w:rFonts w:ascii="宋体" w:hAnsi="宋体"/>
                <w:szCs w:val="44"/>
              </w:rPr>
            </w:pPr>
          </w:p>
        </w:tc>
        <w:tc>
          <w:tcPr>
            <w:tcW w:w="650" w:type="dxa"/>
            <w:vAlign w:val="center"/>
          </w:tcPr>
          <w:p w14:paraId="0360124F">
            <w:pPr>
              <w:jc w:val="center"/>
            </w:pPr>
          </w:p>
        </w:tc>
        <w:tc>
          <w:tcPr>
            <w:tcW w:w="650" w:type="dxa"/>
            <w:vAlign w:val="center"/>
          </w:tcPr>
          <w:p w14:paraId="7655657D">
            <w:pPr>
              <w:jc w:val="center"/>
              <w:rPr>
                <w:rFonts w:ascii="宋体" w:hAnsi="宋体"/>
                <w:szCs w:val="44"/>
              </w:rPr>
            </w:pPr>
          </w:p>
        </w:tc>
        <w:tc>
          <w:tcPr>
            <w:tcW w:w="650" w:type="dxa"/>
            <w:vAlign w:val="center"/>
          </w:tcPr>
          <w:p w14:paraId="37299578">
            <w:pPr>
              <w:jc w:val="center"/>
              <w:rPr>
                <w:rFonts w:ascii="宋体" w:hAnsi="宋体"/>
                <w:szCs w:val="44"/>
              </w:rPr>
            </w:pPr>
          </w:p>
        </w:tc>
        <w:tc>
          <w:tcPr>
            <w:tcW w:w="650" w:type="dxa"/>
            <w:vAlign w:val="center"/>
          </w:tcPr>
          <w:p w14:paraId="7070D88E">
            <w:pPr>
              <w:jc w:val="center"/>
              <w:rPr>
                <w:rFonts w:ascii="宋体" w:hAnsi="宋体"/>
                <w:szCs w:val="44"/>
              </w:rPr>
            </w:pPr>
          </w:p>
        </w:tc>
        <w:tc>
          <w:tcPr>
            <w:tcW w:w="650" w:type="dxa"/>
            <w:vAlign w:val="center"/>
          </w:tcPr>
          <w:p w14:paraId="27DF1963">
            <w:pPr>
              <w:jc w:val="center"/>
              <w:rPr>
                <w:rFonts w:ascii="宋体" w:hAnsi="宋体"/>
                <w:szCs w:val="44"/>
              </w:rPr>
            </w:pPr>
          </w:p>
        </w:tc>
        <w:tc>
          <w:tcPr>
            <w:tcW w:w="650" w:type="dxa"/>
            <w:vAlign w:val="center"/>
          </w:tcPr>
          <w:p w14:paraId="220F5F1C">
            <w:pPr>
              <w:jc w:val="center"/>
              <w:rPr>
                <w:rFonts w:ascii="宋体" w:hAnsi="宋体"/>
                <w:szCs w:val="44"/>
              </w:rPr>
            </w:pPr>
          </w:p>
        </w:tc>
        <w:tc>
          <w:tcPr>
            <w:tcW w:w="650" w:type="dxa"/>
            <w:vAlign w:val="center"/>
          </w:tcPr>
          <w:p w14:paraId="1C7AC26F">
            <w:pPr>
              <w:jc w:val="center"/>
              <w:rPr>
                <w:rFonts w:ascii="宋体" w:hAnsi="宋体"/>
                <w:szCs w:val="44"/>
              </w:rPr>
            </w:pPr>
          </w:p>
        </w:tc>
        <w:tc>
          <w:tcPr>
            <w:tcW w:w="650" w:type="dxa"/>
            <w:vAlign w:val="center"/>
          </w:tcPr>
          <w:p w14:paraId="2B3CBBBB">
            <w:pPr>
              <w:jc w:val="center"/>
              <w:rPr>
                <w:rFonts w:ascii="宋体" w:hAnsi="宋体"/>
                <w:szCs w:val="44"/>
              </w:rPr>
            </w:pPr>
          </w:p>
        </w:tc>
        <w:tc>
          <w:tcPr>
            <w:tcW w:w="651" w:type="dxa"/>
            <w:vAlign w:val="center"/>
          </w:tcPr>
          <w:p w14:paraId="2A7D717D">
            <w:pPr>
              <w:jc w:val="center"/>
              <w:rPr>
                <w:rFonts w:ascii="宋体" w:hAnsi="宋体"/>
                <w:szCs w:val="44"/>
              </w:rPr>
            </w:pPr>
          </w:p>
        </w:tc>
        <w:tc>
          <w:tcPr>
            <w:tcW w:w="818" w:type="dxa"/>
            <w:vAlign w:val="center"/>
          </w:tcPr>
          <w:p w14:paraId="29F990A9">
            <w:pPr>
              <w:jc w:val="center"/>
              <w:rPr>
                <w:rFonts w:ascii="宋体" w:hAnsi="宋体"/>
                <w:szCs w:val="44"/>
              </w:rPr>
            </w:pPr>
          </w:p>
        </w:tc>
      </w:tr>
      <w:tr w14:paraId="5F3C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E969533">
            <w:pPr>
              <w:jc w:val="center"/>
              <w:rPr>
                <w:rFonts w:ascii="宋体" w:hAnsi="宋体"/>
                <w:szCs w:val="44"/>
              </w:rPr>
            </w:pPr>
            <w:r>
              <w:rPr>
                <w:rFonts w:hint="eastAsia" w:ascii="宋体" w:hAnsi="宋体"/>
                <w:szCs w:val="44"/>
              </w:rPr>
              <w:t>4</w:t>
            </w:r>
          </w:p>
        </w:tc>
        <w:tc>
          <w:tcPr>
            <w:tcW w:w="1363" w:type="dxa"/>
            <w:vAlign w:val="center"/>
          </w:tcPr>
          <w:p w14:paraId="19CA4512">
            <w:pPr>
              <w:jc w:val="center"/>
              <w:rPr>
                <w:rFonts w:ascii="宋体" w:hAnsi="宋体"/>
                <w:szCs w:val="44"/>
              </w:rPr>
            </w:pPr>
          </w:p>
        </w:tc>
        <w:tc>
          <w:tcPr>
            <w:tcW w:w="650" w:type="dxa"/>
            <w:vAlign w:val="center"/>
          </w:tcPr>
          <w:p w14:paraId="561EB3BD">
            <w:pPr>
              <w:jc w:val="center"/>
            </w:pPr>
          </w:p>
        </w:tc>
        <w:tc>
          <w:tcPr>
            <w:tcW w:w="650" w:type="dxa"/>
            <w:vAlign w:val="center"/>
          </w:tcPr>
          <w:p w14:paraId="620F14C0">
            <w:pPr>
              <w:jc w:val="center"/>
              <w:rPr>
                <w:rFonts w:ascii="宋体" w:hAnsi="宋体"/>
                <w:szCs w:val="44"/>
              </w:rPr>
            </w:pPr>
          </w:p>
        </w:tc>
        <w:tc>
          <w:tcPr>
            <w:tcW w:w="650" w:type="dxa"/>
            <w:vAlign w:val="center"/>
          </w:tcPr>
          <w:p w14:paraId="211E3EF7">
            <w:pPr>
              <w:jc w:val="center"/>
              <w:rPr>
                <w:rFonts w:ascii="宋体" w:hAnsi="宋体"/>
                <w:szCs w:val="44"/>
              </w:rPr>
            </w:pPr>
          </w:p>
        </w:tc>
        <w:tc>
          <w:tcPr>
            <w:tcW w:w="650" w:type="dxa"/>
            <w:vAlign w:val="center"/>
          </w:tcPr>
          <w:p w14:paraId="4EFFB9C0">
            <w:pPr>
              <w:jc w:val="center"/>
              <w:rPr>
                <w:rFonts w:ascii="宋体" w:hAnsi="宋体"/>
                <w:szCs w:val="44"/>
              </w:rPr>
            </w:pPr>
          </w:p>
        </w:tc>
        <w:tc>
          <w:tcPr>
            <w:tcW w:w="650" w:type="dxa"/>
            <w:vAlign w:val="center"/>
          </w:tcPr>
          <w:p w14:paraId="5D18A368">
            <w:pPr>
              <w:jc w:val="center"/>
              <w:rPr>
                <w:rFonts w:ascii="宋体" w:hAnsi="宋体"/>
                <w:szCs w:val="44"/>
              </w:rPr>
            </w:pPr>
          </w:p>
        </w:tc>
        <w:tc>
          <w:tcPr>
            <w:tcW w:w="650" w:type="dxa"/>
            <w:vAlign w:val="center"/>
          </w:tcPr>
          <w:p w14:paraId="68D60CD3">
            <w:pPr>
              <w:jc w:val="center"/>
              <w:rPr>
                <w:rFonts w:ascii="宋体" w:hAnsi="宋体"/>
                <w:szCs w:val="44"/>
              </w:rPr>
            </w:pPr>
          </w:p>
        </w:tc>
        <w:tc>
          <w:tcPr>
            <w:tcW w:w="650" w:type="dxa"/>
            <w:vAlign w:val="center"/>
          </w:tcPr>
          <w:p w14:paraId="7EF868A6">
            <w:pPr>
              <w:jc w:val="center"/>
              <w:rPr>
                <w:rFonts w:ascii="宋体" w:hAnsi="宋体"/>
                <w:szCs w:val="44"/>
              </w:rPr>
            </w:pPr>
          </w:p>
        </w:tc>
        <w:tc>
          <w:tcPr>
            <w:tcW w:w="650" w:type="dxa"/>
            <w:vAlign w:val="center"/>
          </w:tcPr>
          <w:p w14:paraId="08AD2BBA">
            <w:pPr>
              <w:jc w:val="center"/>
              <w:rPr>
                <w:rFonts w:ascii="宋体" w:hAnsi="宋体"/>
                <w:szCs w:val="44"/>
              </w:rPr>
            </w:pPr>
          </w:p>
        </w:tc>
        <w:tc>
          <w:tcPr>
            <w:tcW w:w="651" w:type="dxa"/>
            <w:vAlign w:val="center"/>
          </w:tcPr>
          <w:p w14:paraId="6BCEAEBC">
            <w:pPr>
              <w:jc w:val="center"/>
              <w:rPr>
                <w:rFonts w:ascii="宋体" w:hAnsi="宋体"/>
                <w:szCs w:val="44"/>
              </w:rPr>
            </w:pPr>
          </w:p>
        </w:tc>
        <w:tc>
          <w:tcPr>
            <w:tcW w:w="818" w:type="dxa"/>
            <w:vAlign w:val="center"/>
          </w:tcPr>
          <w:p w14:paraId="02563D01">
            <w:pPr>
              <w:jc w:val="center"/>
              <w:rPr>
                <w:rFonts w:ascii="宋体" w:hAnsi="宋体"/>
                <w:szCs w:val="44"/>
              </w:rPr>
            </w:pPr>
          </w:p>
        </w:tc>
      </w:tr>
      <w:tr w14:paraId="314F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0312735C">
            <w:pPr>
              <w:jc w:val="center"/>
              <w:rPr>
                <w:rFonts w:ascii="宋体" w:hAnsi="宋体"/>
                <w:szCs w:val="44"/>
              </w:rPr>
            </w:pPr>
            <w:r>
              <w:rPr>
                <w:rFonts w:hint="eastAsia" w:ascii="宋体" w:hAnsi="宋体"/>
                <w:szCs w:val="44"/>
              </w:rPr>
              <w:t>5</w:t>
            </w:r>
          </w:p>
        </w:tc>
        <w:tc>
          <w:tcPr>
            <w:tcW w:w="1363" w:type="dxa"/>
            <w:vAlign w:val="center"/>
          </w:tcPr>
          <w:p w14:paraId="705458E4">
            <w:pPr>
              <w:jc w:val="center"/>
              <w:rPr>
                <w:rFonts w:ascii="宋体" w:hAnsi="宋体"/>
                <w:szCs w:val="44"/>
              </w:rPr>
            </w:pPr>
          </w:p>
        </w:tc>
        <w:tc>
          <w:tcPr>
            <w:tcW w:w="650" w:type="dxa"/>
            <w:vAlign w:val="center"/>
          </w:tcPr>
          <w:p w14:paraId="6A88F38C">
            <w:pPr>
              <w:jc w:val="center"/>
            </w:pPr>
          </w:p>
        </w:tc>
        <w:tc>
          <w:tcPr>
            <w:tcW w:w="650" w:type="dxa"/>
            <w:vAlign w:val="center"/>
          </w:tcPr>
          <w:p w14:paraId="76285340">
            <w:pPr>
              <w:jc w:val="center"/>
              <w:rPr>
                <w:rFonts w:ascii="宋体" w:hAnsi="宋体"/>
                <w:szCs w:val="44"/>
              </w:rPr>
            </w:pPr>
          </w:p>
        </w:tc>
        <w:tc>
          <w:tcPr>
            <w:tcW w:w="650" w:type="dxa"/>
            <w:vAlign w:val="center"/>
          </w:tcPr>
          <w:p w14:paraId="6CE726B7">
            <w:pPr>
              <w:jc w:val="center"/>
              <w:rPr>
                <w:rFonts w:ascii="宋体" w:hAnsi="宋体"/>
                <w:szCs w:val="44"/>
              </w:rPr>
            </w:pPr>
          </w:p>
        </w:tc>
        <w:tc>
          <w:tcPr>
            <w:tcW w:w="650" w:type="dxa"/>
            <w:vAlign w:val="center"/>
          </w:tcPr>
          <w:p w14:paraId="12CE3047">
            <w:pPr>
              <w:jc w:val="center"/>
              <w:rPr>
                <w:rFonts w:ascii="宋体" w:hAnsi="宋体"/>
                <w:szCs w:val="44"/>
              </w:rPr>
            </w:pPr>
          </w:p>
        </w:tc>
        <w:tc>
          <w:tcPr>
            <w:tcW w:w="650" w:type="dxa"/>
            <w:vAlign w:val="center"/>
          </w:tcPr>
          <w:p w14:paraId="0723E35D">
            <w:pPr>
              <w:jc w:val="center"/>
              <w:rPr>
                <w:rFonts w:ascii="宋体" w:hAnsi="宋体"/>
                <w:szCs w:val="44"/>
              </w:rPr>
            </w:pPr>
          </w:p>
        </w:tc>
        <w:tc>
          <w:tcPr>
            <w:tcW w:w="650" w:type="dxa"/>
            <w:vAlign w:val="center"/>
          </w:tcPr>
          <w:p w14:paraId="5FE05BE2">
            <w:pPr>
              <w:jc w:val="center"/>
              <w:rPr>
                <w:rFonts w:ascii="宋体" w:hAnsi="宋体"/>
                <w:szCs w:val="44"/>
              </w:rPr>
            </w:pPr>
          </w:p>
        </w:tc>
        <w:tc>
          <w:tcPr>
            <w:tcW w:w="650" w:type="dxa"/>
            <w:vAlign w:val="center"/>
          </w:tcPr>
          <w:p w14:paraId="38714D01">
            <w:pPr>
              <w:jc w:val="center"/>
              <w:rPr>
                <w:rFonts w:ascii="宋体" w:hAnsi="宋体"/>
                <w:szCs w:val="44"/>
              </w:rPr>
            </w:pPr>
          </w:p>
        </w:tc>
        <w:tc>
          <w:tcPr>
            <w:tcW w:w="650" w:type="dxa"/>
            <w:vAlign w:val="center"/>
          </w:tcPr>
          <w:p w14:paraId="5DFCA6BC">
            <w:pPr>
              <w:jc w:val="center"/>
              <w:rPr>
                <w:rFonts w:ascii="宋体" w:hAnsi="宋体"/>
                <w:szCs w:val="44"/>
              </w:rPr>
            </w:pPr>
          </w:p>
        </w:tc>
        <w:tc>
          <w:tcPr>
            <w:tcW w:w="651" w:type="dxa"/>
            <w:vAlign w:val="center"/>
          </w:tcPr>
          <w:p w14:paraId="70579E60">
            <w:pPr>
              <w:jc w:val="center"/>
              <w:rPr>
                <w:rFonts w:ascii="宋体" w:hAnsi="宋体"/>
                <w:szCs w:val="44"/>
              </w:rPr>
            </w:pPr>
          </w:p>
        </w:tc>
        <w:tc>
          <w:tcPr>
            <w:tcW w:w="818" w:type="dxa"/>
            <w:vAlign w:val="center"/>
          </w:tcPr>
          <w:p w14:paraId="31700158">
            <w:pPr>
              <w:jc w:val="center"/>
              <w:rPr>
                <w:rFonts w:ascii="宋体" w:hAnsi="宋体"/>
                <w:szCs w:val="44"/>
              </w:rPr>
            </w:pPr>
          </w:p>
        </w:tc>
      </w:tr>
      <w:tr w14:paraId="4737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2F9186E0">
            <w:pPr>
              <w:jc w:val="center"/>
              <w:rPr>
                <w:rFonts w:ascii="宋体" w:hAnsi="宋体"/>
                <w:szCs w:val="44"/>
              </w:rPr>
            </w:pPr>
            <w:r>
              <w:rPr>
                <w:rFonts w:hint="eastAsia" w:ascii="宋体" w:hAnsi="宋体"/>
                <w:szCs w:val="44"/>
              </w:rPr>
              <w:t>6</w:t>
            </w:r>
          </w:p>
        </w:tc>
        <w:tc>
          <w:tcPr>
            <w:tcW w:w="1363" w:type="dxa"/>
            <w:vAlign w:val="center"/>
          </w:tcPr>
          <w:p w14:paraId="7B2E4E69">
            <w:pPr>
              <w:jc w:val="center"/>
              <w:rPr>
                <w:rFonts w:ascii="宋体" w:hAnsi="宋体"/>
                <w:szCs w:val="44"/>
              </w:rPr>
            </w:pPr>
          </w:p>
        </w:tc>
        <w:tc>
          <w:tcPr>
            <w:tcW w:w="650" w:type="dxa"/>
            <w:vAlign w:val="center"/>
          </w:tcPr>
          <w:p w14:paraId="10286986">
            <w:pPr>
              <w:jc w:val="center"/>
            </w:pPr>
          </w:p>
        </w:tc>
        <w:tc>
          <w:tcPr>
            <w:tcW w:w="650" w:type="dxa"/>
            <w:vAlign w:val="center"/>
          </w:tcPr>
          <w:p w14:paraId="7A582C11">
            <w:pPr>
              <w:jc w:val="center"/>
              <w:rPr>
                <w:rFonts w:ascii="宋体" w:hAnsi="宋体"/>
                <w:szCs w:val="44"/>
              </w:rPr>
            </w:pPr>
          </w:p>
        </w:tc>
        <w:tc>
          <w:tcPr>
            <w:tcW w:w="650" w:type="dxa"/>
            <w:vAlign w:val="center"/>
          </w:tcPr>
          <w:p w14:paraId="36C75365">
            <w:pPr>
              <w:jc w:val="center"/>
              <w:rPr>
                <w:rFonts w:ascii="宋体" w:hAnsi="宋体"/>
                <w:szCs w:val="44"/>
              </w:rPr>
            </w:pPr>
          </w:p>
        </w:tc>
        <w:tc>
          <w:tcPr>
            <w:tcW w:w="650" w:type="dxa"/>
            <w:vAlign w:val="center"/>
          </w:tcPr>
          <w:p w14:paraId="086B247F">
            <w:pPr>
              <w:jc w:val="center"/>
              <w:rPr>
                <w:rFonts w:ascii="宋体" w:hAnsi="宋体"/>
                <w:szCs w:val="44"/>
              </w:rPr>
            </w:pPr>
          </w:p>
        </w:tc>
        <w:tc>
          <w:tcPr>
            <w:tcW w:w="650" w:type="dxa"/>
            <w:vAlign w:val="center"/>
          </w:tcPr>
          <w:p w14:paraId="3CAB29E3">
            <w:pPr>
              <w:jc w:val="center"/>
              <w:rPr>
                <w:rFonts w:ascii="宋体" w:hAnsi="宋体"/>
                <w:szCs w:val="44"/>
              </w:rPr>
            </w:pPr>
          </w:p>
        </w:tc>
        <w:tc>
          <w:tcPr>
            <w:tcW w:w="650" w:type="dxa"/>
            <w:vAlign w:val="center"/>
          </w:tcPr>
          <w:p w14:paraId="317ED12B">
            <w:pPr>
              <w:jc w:val="center"/>
              <w:rPr>
                <w:rFonts w:ascii="宋体" w:hAnsi="宋体"/>
                <w:szCs w:val="44"/>
              </w:rPr>
            </w:pPr>
          </w:p>
        </w:tc>
        <w:tc>
          <w:tcPr>
            <w:tcW w:w="650" w:type="dxa"/>
            <w:vAlign w:val="center"/>
          </w:tcPr>
          <w:p w14:paraId="6D2C385E">
            <w:pPr>
              <w:jc w:val="center"/>
              <w:rPr>
                <w:rFonts w:ascii="宋体" w:hAnsi="宋体"/>
                <w:szCs w:val="44"/>
              </w:rPr>
            </w:pPr>
          </w:p>
        </w:tc>
        <w:tc>
          <w:tcPr>
            <w:tcW w:w="650" w:type="dxa"/>
            <w:vAlign w:val="center"/>
          </w:tcPr>
          <w:p w14:paraId="6325CEAF">
            <w:pPr>
              <w:jc w:val="center"/>
              <w:rPr>
                <w:rFonts w:ascii="宋体" w:hAnsi="宋体"/>
                <w:szCs w:val="44"/>
              </w:rPr>
            </w:pPr>
          </w:p>
        </w:tc>
        <w:tc>
          <w:tcPr>
            <w:tcW w:w="651" w:type="dxa"/>
            <w:vAlign w:val="center"/>
          </w:tcPr>
          <w:p w14:paraId="1551BF48">
            <w:pPr>
              <w:jc w:val="center"/>
              <w:rPr>
                <w:rFonts w:ascii="宋体" w:hAnsi="宋体"/>
                <w:szCs w:val="44"/>
              </w:rPr>
            </w:pPr>
          </w:p>
        </w:tc>
        <w:tc>
          <w:tcPr>
            <w:tcW w:w="818" w:type="dxa"/>
            <w:vAlign w:val="center"/>
          </w:tcPr>
          <w:p w14:paraId="68E8D3F1">
            <w:pPr>
              <w:jc w:val="center"/>
              <w:rPr>
                <w:rFonts w:ascii="宋体" w:hAnsi="宋体"/>
                <w:szCs w:val="44"/>
              </w:rPr>
            </w:pPr>
          </w:p>
        </w:tc>
      </w:tr>
      <w:tr w14:paraId="475E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F544874">
            <w:pPr>
              <w:jc w:val="center"/>
              <w:rPr>
                <w:rFonts w:ascii="宋体" w:hAnsi="宋体"/>
                <w:szCs w:val="44"/>
              </w:rPr>
            </w:pPr>
            <w:r>
              <w:rPr>
                <w:rFonts w:hint="eastAsia" w:ascii="宋体" w:hAnsi="宋体"/>
                <w:szCs w:val="44"/>
              </w:rPr>
              <w:t>…</w:t>
            </w:r>
          </w:p>
        </w:tc>
        <w:tc>
          <w:tcPr>
            <w:tcW w:w="1363" w:type="dxa"/>
            <w:vAlign w:val="center"/>
          </w:tcPr>
          <w:p w14:paraId="7B7C9504">
            <w:pPr>
              <w:rPr>
                <w:rFonts w:ascii="宋体" w:hAnsi="宋体"/>
                <w:szCs w:val="21"/>
              </w:rPr>
            </w:pPr>
          </w:p>
        </w:tc>
        <w:tc>
          <w:tcPr>
            <w:tcW w:w="650" w:type="dxa"/>
            <w:vAlign w:val="center"/>
          </w:tcPr>
          <w:p w14:paraId="66E6C798">
            <w:pPr>
              <w:jc w:val="center"/>
            </w:pPr>
          </w:p>
        </w:tc>
        <w:tc>
          <w:tcPr>
            <w:tcW w:w="650" w:type="dxa"/>
            <w:vAlign w:val="center"/>
          </w:tcPr>
          <w:p w14:paraId="0D0C5FAA">
            <w:pPr>
              <w:jc w:val="center"/>
              <w:rPr>
                <w:rFonts w:ascii="宋体" w:hAnsi="宋体"/>
                <w:szCs w:val="44"/>
              </w:rPr>
            </w:pPr>
          </w:p>
        </w:tc>
        <w:tc>
          <w:tcPr>
            <w:tcW w:w="650" w:type="dxa"/>
            <w:vAlign w:val="center"/>
          </w:tcPr>
          <w:p w14:paraId="254CF6B1">
            <w:pPr>
              <w:jc w:val="center"/>
              <w:rPr>
                <w:rFonts w:ascii="宋体" w:hAnsi="宋体"/>
                <w:szCs w:val="44"/>
              </w:rPr>
            </w:pPr>
          </w:p>
        </w:tc>
        <w:tc>
          <w:tcPr>
            <w:tcW w:w="650" w:type="dxa"/>
            <w:vAlign w:val="center"/>
          </w:tcPr>
          <w:p w14:paraId="482FC0B1">
            <w:pPr>
              <w:jc w:val="center"/>
              <w:rPr>
                <w:rFonts w:ascii="宋体" w:hAnsi="宋体"/>
                <w:szCs w:val="44"/>
              </w:rPr>
            </w:pPr>
          </w:p>
        </w:tc>
        <w:tc>
          <w:tcPr>
            <w:tcW w:w="650" w:type="dxa"/>
            <w:vAlign w:val="center"/>
          </w:tcPr>
          <w:p w14:paraId="2971542B">
            <w:pPr>
              <w:jc w:val="center"/>
              <w:rPr>
                <w:rFonts w:ascii="宋体" w:hAnsi="宋体"/>
                <w:szCs w:val="44"/>
              </w:rPr>
            </w:pPr>
          </w:p>
        </w:tc>
        <w:tc>
          <w:tcPr>
            <w:tcW w:w="650" w:type="dxa"/>
            <w:vAlign w:val="center"/>
          </w:tcPr>
          <w:p w14:paraId="569BA40F">
            <w:pPr>
              <w:jc w:val="center"/>
              <w:rPr>
                <w:rFonts w:ascii="宋体" w:hAnsi="宋体"/>
                <w:szCs w:val="44"/>
              </w:rPr>
            </w:pPr>
          </w:p>
        </w:tc>
        <w:tc>
          <w:tcPr>
            <w:tcW w:w="650" w:type="dxa"/>
            <w:vAlign w:val="center"/>
          </w:tcPr>
          <w:p w14:paraId="0CCC4D7F">
            <w:pPr>
              <w:jc w:val="center"/>
              <w:rPr>
                <w:rFonts w:ascii="宋体" w:hAnsi="宋体"/>
                <w:szCs w:val="44"/>
              </w:rPr>
            </w:pPr>
          </w:p>
        </w:tc>
        <w:tc>
          <w:tcPr>
            <w:tcW w:w="650" w:type="dxa"/>
            <w:vAlign w:val="center"/>
          </w:tcPr>
          <w:p w14:paraId="2F01D287">
            <w:pPr>
              <w:jc w:val="center"/>
              <w:rPr>
                <w:rFonts w:ascii="宋体" w:hAnsi="宋体"/>
                <w:szCs w:val="44"/>
              </w:rPr>
            </w:pPr>
          </w:p>
        </w:tc>
        <w:tc>
          <w:tcPr>
            <w:tcW w:w="651" w:type="dxa"/>
            <w:vAlign w:val="center"/>
          </w:tcPr>
          <w:p w14:paraId="0124D361">
            <w:pPr>
              <w:jc w:val="center"/>
              <w:rPr>
                <w:rFonts w:ascii="宋体" w:hAnsi="宋体"/>
                <w:szCs w:val="44"/>
              </w:rPr>
            </w:pPr>
          </w:p>
        </w:tc>
        <w:tc>
          <w:tcPr>
            <w:tcW w:w="818" w:type="dxa"/>
            <w:vAlign w:val="center"/>
          </w:tcPr>
          <w:p w14:paraId="4707E508">
            <w:pPr>
              <w:jc w:val="center"/>
              <w:rPr>
                <w:rFonts w:ascii="宋体" w:hAnsi="宋体"/>
                <w:szCs w:val="44"/>
              </w:rPr>
            </w:pPr>
          </w:p>
        </w:tc>
      </w:tr>
      <w:tr w14:paraId="2DD2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295FEF9A">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564CD8F9">
            <w:pPr>
              <w:jc w:val="left"/>
              <w:rPr>
                <w:rFonts w:ascii="宋体" w:hAnsi="宋体"/>
                <w:szCs w:val="44"/>
              </w:rPr>
            </w:pPr>
          </w:p>
          <w:p w14:paraId="4678198A">
            <w:pPr>
              <w:jc w:val="left"/>
              <w:rPr>
                <w:rFonts w:ascii="宋体" w:hAnsi="宋体"/>
                <w:szCs w:val="44"/>
              </w:rPr>
            </w:pPr>
          </w:p>
          <w:p w14:paraId="2AD3FF8A">
            <w:pPr>
              <w:jc w:val="left"/>
              <w:rPr>
                <w:rFonts w:ascii="宋体" w:hAnsi="宋体"/>
                <w:szCs w:val="44"/>
              </w:rPr>
            </w:pPr>
          </w:p>
          <w:p w14:paraId="3F07EB0B">
            <w:pPr>
              <w:jc w:val="left"/>
              <w:rPr>
                <w:rFonts w:ascii="宋体" w:hAnsi="宋体"/>
                <w:szCs w:val="44"/>
              </w:rPr>
            </w:pPr>
          </w:p>
          <w:p w14:paraId="10D1BAB5">
            <w:pPr>
              <w:jc w:val="center"/>
              <w:rPr>
                <w:rFonts w:ascii="宋体" w:hAnsi="宋体"/>
                <w:szCs w:val="44"/>
              </w:rPr>
            </w:pPr>
          </w:p>
        </w:tc>
      </w:tr>
    </w:tbl>
    <w:p w14:paraId="6FFB2350">
      <w:pPr>
        <w:spacing w:line="400" w:lineRule="exact"/>
        <w:ind w:left="840" w:leftChars="400" w:firstLine="3780" w:firstLineChars="1800"/>
        <w:rPr>
          <w:rFonts w:ascii="宋体" w:hAnsi="宋体"/>
          <w:szCs w:val="44"/>
        </w:rPr>
      </w:pPr>
      <w:r>
        <w:rPr>
          <w:rFonts w:hint="eastAsia" w:ascii="宋体" w:hAnsi="宋体"/>
          <w:szCs w:val="44"/>
        </w:rPr>
        <w:t xml:space="preserve">          日期：    年    月    日</w:t>
      </w:r>
    </w:p>
    <w:p w14:paraId="20F75F20">
      <w:pPr>
        <w:rPr>
          <w:rFonts w:ascii="宋体" w:hAnsi="宋体"/>
          <w:szCs w:val="44"/>
        </w:rPr>
      </w:pPr>
    </w:p>
    <w:p w14:paraId="067B1298">
      <w:pPr>
        <w:rPr>
          <w:rFonts w:ascii="宋体" w:hAnsi="宋体"/>
          <w:szCs w:val="44"/>
        </w:rPr>
      </w:pPr>
      <w:r>
        <w:rPr>
          <w:rFonts w:ascii="宋体" w:hAnsi="宋体"/>
          <w:szCs w:val="44"/>
        </w:rPr>
        <w:br w:type="page"/>
      </w:r>
    </w:p>
    <w:p w14:paraId="4837B0CE">
      <w:pPr>
        <w:pStyle w:val="25"/>
        <w:rPr>
          <w:rFonts w:ascii="黑体" w:hAnsi="宋体"/>
        </w:rPr>
      </w:pPr>
      <w:bookmarkStart w:id="673" w:name="_Toc165804451"/>
      <w:bookmarkStart w:id="674" w:name="_Toc256000134"/>
      <w:r>
        <w:rPr>
          <w:rFonts w:hint="eastAsia"/>
        </w:rPr>
        <w:t>附表A-5：资格评审记录表</w:t>
      </w:r>
      <w:bookmarkEnd w:id="673"/>
      <w:bookmarkEnd w:id="674"/>
    </w:p>
    <w:p w14:paraId="79F752C8">
      <w:pPr>
        <w:spacing w:after="240" w:afterLines="100"/>
        <w:jc w:val="center"/>
        <w:rPr>
          <w:rFonts w:ascii="黑体" w:hAnsi="宋体" w:eastAsia="黑体"/>
          <w:sz w:val="36"/>
          <w:szCs w:val="36"/>
        </w:rPr>
      </w:pPr>
    </w:p>
    <w:p w14:paraId="39834AA0">
      <w:pPr>
        <w:adjustRightInd w:val="0"/>
        <w:snapToGrid w:val="0"/>
        <w:spacing w:before="240" w:beforeLines="100" w:after="240" w:afterLines="100" w:line="440" w:lineRule="exact"/>
        <w:jc w:val="center"/>
        <w:rPr>
          <w:rFonts w:ascii="黑体" w:hAnsi="黑体" w:eastAsia="黑体"/>
          <w:sz w:val="36"/>
          <w:szCs w:val="36"/>
        </w:rPr>
      </w:pPr>
      <w:bookmarkStart w:id="675" w:name="_Toc21096"/>
      <w:bookmarkStart w:id="676" w:name="_Toc148976156"/>
      <w:bookmarkStart w:id="677" w:name="_Toc148971948"/>
      <w:r>
        <w:rPr>
          <w:rFonts w:hint="eastAsia" w:ascii="黑体" w:hAnsi="黑体" w:eastAsia="黑体"/>
          <w:sz w:val="36"/>
          <w:szCs w:val="36"/>
        </w:rPr>
        <w:t>资格评审记录表</w:t>
      </w:r>
      <w:bookmarkEnd w:id="675"/>
      <w:bookmarkEnd w:id="676"/>
      <w:bookmarkEnd w:id="677"/>
    </w:p>
    <w:p w14:paraId="557EAF7A">
      <w:pPr>
        <w:rPr>
          <w:rFonts w:ascii="宋体" w:hAnsi="宋体"/>
          <w:szCs w:val="44"/>
        </w:rPr>
      </w:pPr>
      <w:r>
        <w:rPr>
          <w:rFonts w:hint="eastAsia" w:ascii="宋体" w:hAnsi="宋体"/>
          <w:szCs w:val="44"/>
        </w:rPr>
        <w:t>标段名称：</w:t>
      </w:r>
    </w:p>
    <w:p w14:paraId="013F2F48">
      <w:pPr>
        <w:rPr>
          <w:rFonts w:ascii="宋体" w:hAnsi="宋体"/>
          <w:szCs w:val="44"/>
        </w:rPr>
      </w:pPr>
      <w:r>
        <w:rPr>
          <w:rFonts w:hint="eastAsia"/>
          <w:szCs w:val="44"/>
        </w:rPr>
        <w:t>标段唯一标识码：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3B1E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61CC235E">
            <w:pPr>
              <w:jc w:val="center"/>
              <w:rPr>
                <w:rFonts w:ascii="宋体" w:hAnsi="宋体"/>
                <w:b/>
                <w:bCs/>
                <w:szCs w:val="44"/>
              </w:rPr>
            </w:pPr>
            <w:r>
              <w:rPr>
                <w:rFonts w:hint="eastAsia" w:ascii="宋体" w:hAnsi="宋体"/>
                <w:b/>
                <w:bCs/>
                <w:szCs w:val="44"/>
              </w:rPr>
              <w:t>序号</w:t>
            </w:r>
          </w:p>
        </w:tc>
        <w:tc>
          <w:tcPr>
            <w:tcW w:w="1432" w:type="dxa"/>
            <w:vMerge w:val="restart"/>
            <w:vAlign w:val="center"/>
          </w:tcPr>
          <w:p w14:paraId="0557457B">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72BBEB28">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14A38DD8">
            <w:pPr>
              <w:jc w:val="center"/>
              <w:rPr>
                <w:rFonts w:ascii="宋体" w:hAnsi="宋体"/>
                <w:b/>
                <w:bCs/>
                <w:szCs w:val="44"/>
              </w:rPr>
            </w:pPr>
            <w:r>
              <w:rPr>
                <w:rFonts w:ascii="宋体" w:hAnsi="宋体"/>
                <w:b/>
                <w:bCs/>
                <w:szCs w:val="21"/>
              </w:rPr>
              <w:t>评审结论</w:t>
            </w:r>
          </w:p>
        </w:tc>
      </w:tr>
      <w:tr w14:paraId="08AD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70801E5E">
            <w:pPr>
              <w:jc w:val="center"/>
              <w:rPr>
                <w:rFonts w:ascii="宋体" w:hAnsi="宋体"/>
                <w:szCs w:val="44"/>
              </w:rPr>
            </w:pPr>
          </w:p>
        </w:tc>
        <w:tc>
          <w:tcPr>
            <w:tcW w:w="1432" w:type="dxa"/>
            <w:vMerge w:val="continue"/>
          </w:tcPr>
          <w:p w14:paraId="7BFB8690">
            <w:pPr>
              <w:jc w:val="center"/>
              <w:rPr>
                <w:rFonts w:ascii="宋体" w:hAnsi="宋体"/>
                <w:szCs w:val="44"/>
              </w:rPr>
            </w:pPr>
          </w:p>
        </w:tc>
        <w:tc>
          <w:tcPr>
            <w:tcW w:w="650" w:type="dxa"/>
            <w:vAlign w:val="center"/>
          </w:tcPr>
          <w:p w14:paraId="7126BEF1">
            <w:pPr>
              <w:jc w:val="center"/>
              <w:rPr>
                <w:rFonts w:ascii="宋体" w:hAnsi="宋体"/>
                <w:szCs w:val="44"/>
              </w:rPr>
            </w:pPr>
          </w:p>
        </w:tc>
        <w:tc>
          <w:tcPr>
            <w:tcW w:w="650" w:type="dxa"/>
            <w:vAlign w:val="center"/>
          </w:tcPr>
          <w:p w14:paraId="569BC346">
            <w:pPr>
              <w:jc w:val="center"/>
              <w:rPr>
                <w:rFonts w:ascii="宋体" w:hAnsi="宋体"/>
                <w:szCs w:val="44"/>
              </w:rPr>
            </w:pPr>
          </w:p>
        </w:tc>
        <w:tc>
          <w:tcPr>
            <w:tcW w:w="650" w:type="dxa"/>
            <w:vAlign w:val="center"/>
          </w:tcPr>
          <w:p w14:paraId="22CA33FA">
            <w:pPr>
              <w:jc w:val="center"/>
              <w:rPr>
                <w:rFonts w:ascii="宋体" w:hAnsi="宋体"/>
                <w:szCs w:val="44"/>
              </w:rPr>
            </w:pPr>
          </w:p>
        </w:tc>
        <w:tc>
          <w:tcPr>
            <w:tcW w:w="650" w:type="dxa"/>
            <w:vAlign w:val="center"/>
          </w:tcPr>
          <w:p w14:paraId="54BABD91">
            <w:pPr>
              <w:jc w:val="center"/>
              <w:rPr>
                <w:rFonts w:ascii="宋体" w:hAnsi="宋体"/>
                <w:szCs w:val="44"/>
              </w:rPr>
            </w:pPr>
          </w:p>
        </w:tc>
        <w:tc>
          <w:tcPr>
            <w:tcW w:w="650" w:type="dxa"/>
            <w:vAlign w:val="center"/>
          </w:tcPr>
          <w:p w14:paraId="75501D17">
            <w:pPr>
              <w:jc w:val="center"/>
              <w:rPr>
                <w:rFonts w:ascii="宋体" w:hAnsi="宋体"/>
                <w:szCs w:val="44"/>
              </w:rPr>
            </w:pPr>
          </w:p>
        </w:tc>
        <w:tc>
          <w:tcPr>
            <w:tcW w:w="650" w:type="dxa"/>
            <w:vAlign w:val="center"/>
          </w:tcPr>
          <w:p w14:paraId="1CF65D1D">
            <w:pPr>
              <w:jc w:val="center"/>
              <w:rPr>
                <w:rFonts w:ascii="宋体" w:hAnsi="宋体"/>
                <w:szCs w:val="44"/>
              </w:rPr>
            </w:pPr>
          </w:p>
        </w:tc>
        <w:tc>
          <w:tcPr>
            <w:tcW w:w="650" w:type="dxa"/>
            <w:vAlign w:val="center"/>
          </w:tcPr>
          <w:p w14:paraId="2A2344A4">
            <w:pPr>
              <w:jc w:val="center"/>
              <w:rPr>
                <w:rFonts w:ascii="宋体" w:hAnsi="宋体"/>
                <w:szCs w:val="44"/>
              </w:rPr>
            </w:pPr>
          </w:p>
        </w:tc>
        <w:tc>
          <w:tcPr>
            <w:tcW w:w="650" w:type="dxa"/>
            <w:vAlign w:val="center"/>
          </w:tcPr>
          <w:p w14:paraId="51D5B03A">
            <w:pPr>
              <w:jc w:val="center"/>
              <w:rPr>
                <w:rFonts w:ascii="宋体" w:hAnsi="宋体"/>
                <w:szCs w:val="44"/>
              </w:rPr>
            </w:pPr>
          </w:p>
        </w:tc>
        <w:tc>
          <w:tcPr>
            <w:tcW w:w="651" w:type="dxa"/>
            <w:vAlign w:val="center"/>
          </w:tcPr>
          <w:p w14:paraId="01C6252D">
            <w:pPr>
              <w:jc w:val="center"/>
              <w:rPr>
                <w:rFonts w:ascii="宋体" w:hAnsi="宋体"/>
                <w:szCs w:val="44"/>
              </w:rPr>
            </w:pPr>
          </w:p>
        </w:tc>
        <w:tc>
          <w:tcPr>
            <w:tcW w:w="818" w:type="dxa"/>
            <w:vMerge w:val="continue"/>
            <w:vAlign w:val="center"/>
          </w:tcPr>
          <w:p w14:paraId="4FA76692">
            <w:pPr>
              <w:jc w:val="center"/>
              <w:rPr>
                <w:rFonts w:ascii="宋体" w:hAnsi="宋体"/>
                <w:szCs w:val="44"/>
              </w:rPr>
            </w:pPr>
          </w:p>
        </w:tc>
      </w:tr>
      <w:tr w14:paraId="608A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1232ED7">
            <w:pPr>
              <w:jc w:val="center"/>
              <w:rPr>
                <w:rFonts w:ascii="宋体" w:hAnsi="宋体"/>
                <w:szCs w:val="44"/>
              </w:rPr>
            </w:pPr>
            <w:r>
              <w:rPr>
                <w:rFonts w:hint="eastAsia" w:ascii="宋体" w:hAnsi="宋体"/>
                <w:szCs w:val="44"/>
              </w:rPr>
              <w:t>1</w:t>
            </w:r>
          </w:p>
        </w:tc>
        <w:tc>
          <w:tcPr>
            <w:tcW w:w="1432" w:type="dxa"/>
            <w:vAlign w:val="center"/>
          </w:tcPr>
          <w:p w14:paraId="0B2AF0A4">
            <w:pPr>
              <w:jc w:val="center"/>
              <w:rPr>
                <w:rFonts w:ascii="宋体" w:hAnsi="宋体"/>
                <w:szCs w:val="21"/>
              </w:rPr>
            </w:pPr>
          </w:p>
        </w:tc>
        <w:tc>
          <w:tcPr>
            <w:tcW w:w="650" w:type="dxa"/>
            <w:vAlign w:val="center"/>
          </w:tcPr>
          <w:p w14:paraId="592ADA87">
            <w:pPr>
              <w:jc w:val="center"/>
              <w:rPr>
                <w:rFonts w:ascii="宋体" w:hAnsi="宋体"/>
                <w:szCs w:val="21"/>
              </w:rPr>
            </w:pPr>
          </w:p>
        </w:tc>
        <w:tc>
          <w:tcPr>
            <w:tcW w:w="650" w:type="dxa"/>
            <w:vAlign w:val="center"/>
          </w:tcPr>
          <w:p w14:paraId="2CB124A9">
            <w:pPr>
              <w:jc w:val="center"/>
              <w:rPr>
                <w:rFonts w:ascii="宋体" w:hAnsi="宋体"/>
                <w:szCs w:val="44"/>
              </w:rPr>
            </w:pPr>
          </w:p>
        </w:tc>
        <w:tc>
          <w:tcPr>
            <w:tcW w:w="650" w:type="dxa"/>
            <w:vAlign w:val="center"/>
          </w:tcPr>
          <w:p w14:paraId="3434B0AD">
            <w:pPr>
              <w:jc w:val="center"/>
              <w:rPr>
                <w:rFonts w:ascii="宋体" w:hAnsi="宋体"/>
                <w:szCs w:val="44"/>
              </w:rPr>
            </w:pPr>
          </w:p>
        </w:tc>
        <w:tc>
          <w:tcPr>
            <w:tcW w:w="650" w:type="dxa"/>
            <w:vAlign w:val="center"/>
          </w:tcPr>
          <w:p w14:paraId="51255F7E">
            <w:pPr>
              <w:jc w:val="center"/>
              <w:rPr>
                <w:rFonts w:ascii="宋体" w:hAnsi="宋体"/>
                <w:szCs w:val="44"/>
              </w:rPr>
            </w:pPr>
          </w:p>
        </w:tc>
        <w:tc>
          <w:tcPr>
            <w:tcW w:w="650" w:type="dxa"/>
            <w:vAlign w:val="center"/>
          </w:tcPr>
          <w:p w14:paraId="07F554AC">
            <w:pPr>
              <w:jc w:val="center"/>
              <w:rPr>
                <w:rFonts w:ascii="宋体" w:hAnsi="宋体"/>
                <w:szCs w:val="44"/>
              </w:rPr>
            </w:pPr>
          </w:p>
        </w:tc>
        <w:tc>
          <w:tcPr>
            <w:tcW w:w="650" w:type="dxa"/>
            <w:vAlign w:val="center"/>
          </w:tcPr>
          <w:p w14:paraId="104EF459">
            <w:pPr>
              <w:jc w:val="center"/>
              <w:rPr>
                <w:rFonts w:ascii="宋体" w:hAnsi="宋体"/>
                <w:szCs w:val="44"/>
              </w:rPr>
            </w:pPr>
          </w:p>
        </w:tc>
        <w:tc>
          <w:tcPr>
            <w:tcW w:w="650" w:type="dxa"/>
            <w:vAlign w:val="center"/>
          </w:tcPr>
          <w:p w14:paraId="473FC91A">
            <w:pPr>
              <w:jc w:val="center"/>
              <w:rPr>
                <w:rFonts w:ascii="宋体" w:hAnsi="宋体"/>
                <w:szCs w:val="44"/>
              </w:rPr>
            </w:pPr>
          </w:p>
        </w:tc>
        <w:tc>
          <w:tcPr>
            <w:tcW w:w="650" w:type="dxa"/>
            <w:vAlign w:val="center"/>
          </w:tcPr>
          <w:p w14:paraId="0B3DD9FF">
            <w:pPr>
              <w:jc w:val="center"/>
              <w:rPr>
                <w:rFonts w:ascii="宋体" w:hAnsi="宋体"/>
                <w:szCs w:val="44"/>
              </w:rPr>
            </w:pPr>
          </w:p>
        </w:tc>
        <w:tc>
          <w:tcPr>
            <w:tcW w:w="651" w:type="dxa"/>
            <w:vAlign w:val="center"/>
          </w:tcPr>
          <w:p w14:paraId="3D765205">
            <w:pPr>
              <w:jc w:val="center"/>
              <w:rPr>
                <w:rFonts w:ascii="宋体" w:hAnsi="宋体"/>
                <w:szCs w:val="44"/>
              </w:rPr>
            </w:pPr>
          </w:p>
        </w:tc>
        <w:tc>
          <w:tcPr>
            <w:tcW w:w="818" w:type="dxa"/>
            <w:vAlign w:val="center"/>
          </w:tcPr>
          <w:p w14:paraId="24268733">
            <w:pPr>
              <w:jc w:val="center"/>
              <w:rPr>
                <w:rFonts w:ascii="宋体" w:hAnsi="宋体"/>
                <w:szCs w:val="44"/>
              </w:rPr>
            </w:pPr>
          </w:p>
        </w:tc>
      </w:tr>
      <w:tr w14:paraId="787C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19D2C882">
            <w:pPr>
              <w:jc w:val="center"/>
              <w:rPr>
                <w:rFonts w:ascii="宋体" w:hAnsi="宋体"/>
                <w:szCs w:val="44"/>
              </w:rPr>
            </w:pPr>
            <w:r>
              <w:rPr>
                <w:rFonts w:hint="eastAsia" w:ascii="宋体" w:hAnsi="宋体"/>
                <w:szCs w:val="44"/>
              </w:rPr>
              <w:t>2</w:t>
            </w:r>
          </w:p>
        </w:tc>
        <w:tc>
          <w:tcPr>
            <w:tcW w:w="1432" w:type="dxa"/>
            <w:vAlign w:val="center"/>
          </w:tcPr>
          <w:p w14:paraId="7675151A">
            <w:pPr>
              <w:jc w:val="center"/>
              <w:rPr>
                <w:rFonts w:ascii="宋体" w:hAnsi="宋体"/>
                <w:szCs w:val="44"/>
              </w:rPr>
            </w:pPr>
          </w:p>
        </w:tc>
        <w:tc>
          <w:tcPr>
            <w:tcW w:w="650" w:type="dxa"/>
            <w:vAlign w:val="center"/>
          </w:tcPr>
          <w:p w14:paraId="79A360FC">
            <w:pPr>
              <w:jc w:val="center"/>
            </w:pPr>
          </w:p>
        </w:tc>
        <w:tc>
          <w:tcPr>
            <w:tcW w:w="650" w:type="dxa"/>
            <w:vAlign w:val="center"/>
          </w:tcPr>
          <w:p w14:paraId="05FF6F18">
            <w:pPr>
              <w:jc w:val="center"/>
              <w:rPr>
                <w:rFonts w:ascii="宋体" w:hAnsi="宋体"/>
                <w:szCs w:val="44"/>
              </w:rPr>
            </w:pPr>
          </w:p>
        </w:tc>
        <w:tc>
          <w:tcPr>
            <w:tcW w:w="650" w:type="dxa"/>
            <w:vAlign w:val="center"/>
          </w:tcPr>
          <w:p w14:paraId="71630C19">
            <w:pPr>
              <w:jc w:val="center"/>
              <w:rPr>
                <w:rFonts w:ascii="宋体" w:hAnsi="宋体"/>
                <w:szCs w:val="44"/>
              </w:rPr>
            </w:pPr>
          </w:p>
        </w:tc>
        <w:tc>
          <w:tcPr>
            <w:tcW w:w="650" w:type="dxa"/>
            <w:vAlign w:val="center"/>
          </w:tcPr>
          <w:p w14:paraId="57E5333F">
            <w:pPr>
              <w:jc w:val="center"/>
              <w:rPr>
                <w:rFonts w:ascii="宋体" w:hAnsi="宋体"/>
                <w:szCs w:val="44"/>
              </w:rPr>
            </w:pPr>
          </w:p>
        </w:tc>
        <w:tc>
          <w:tcPr>
            <w:tcW w:w="650" w:type="dxa"/>
            <w:vAlign w:val="center"/>
          </w:tcPr>
          <w:p w14:paraId="7BE67414">
            <w:pPr>
              <w:jc w:val="center"/>
              <w:rPr>
                <w:rFonts w:ascii="宋体" w:hAnsi="宋体"/>
                <w:szCs w:val="44"/>
              </w:rPr>
            </w:pPr>
          </w:p>
        </w:tc>
        <w:tc>
          <w:tcPr>
            <w:tcW w:w="650" w:type="dxa"/>
            <w:vAlign w:val="center"/>
          </w:tcPr>
          <w:p w14:paraId="269C58AD">
            <w:pPr>
              <w:jc w:val="center"/>
              <w:rPr>
                <w:rFonts w:ascii="宋体" w:hAnsi="宋体"/>
                <w:szCs w:val="44"/>
              </w:rPr>
            </w:pPr>
          </w:p>
        </w:tc>
        <w:tc>
          <w:tcPr>
            <w:tcW w:w="650" w:type="dxa"/>
            <w:vAlign w:val="center"/>
          </w:tcPr>
          <w:p w14:paraId="20C6214E">
            <w:pPr>
              <w:jc w:val="center"/>
              <w:rPr>
                <w:rFonts w:ascii="宋体" w:hAnsi="宋体"/>
                <w:szCs w:val="44"/>
              </w:rPr>
            </w:pPr>
          </w:p>
        </w:tc>
        <w:tc>
          <w:tcPr>
            <w:tcW w:w="650" w:type="dxa"/>
            <w:vAlign w:val="center"/>
          </w:tcPr>
          <w:p w14:paraId="2F4830A4">
            <w:pPr>
              <w:jc w:val="center"/>
              <w:rPr>
                <w:rFonts w:ascii="宋体" w:hAnsi="宋体"/>
                <w:szCs w:val="44"/>
              </w:rPr>
            </w:pPr>
          </w:p>
        </w:tc>
        <w:tc>
          <w:tcPr>
            <w:tcW w:w="651" w:type="dxa"/>
            <w:vAlign w:val="center"/>
          </w:tcPr>
          <w:p w14:paraId="02E83AB9">
            <w:pPr>
              <w:jc w:val="center"/>
              <w:rPr>
                <w:rFonts w:ascii="宋体" w:hAnsi="宋体"/>
                <w:szCs w:val="44"/>
              </w:rPr>
            </w:pPr>
          </w:p>
        </w:tc>
        <w:tc>
          <w:tcPr>
            <w:tcW w:w="818" w:type="dxa"/>
            <w:vAlign w:val="center"/>
          </w:tcPr>
          <w:p w14:paraId="2F90740C">
            <w:pPr>
              <w:jc w:val="center"/>
              <w:rPr>
                <w:rFonts w:ascii="宋体" w:hAnsi="宋体"/>
                <w:szCs w:val="44"/>
              </w:rPr>
            </w:pPr>
          </w:p>
        </w:tc>
      </w:tr>
      <w:tr w14:paraId="241E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489633F">
            <w:pPr>
              <w:jc w:val="center"/>
              <w:rPr>
                <w:rFonts w:ascii="宋体" w:hAnsi="宋体"/>
                <w:szCs w:val="44"/>
              </w:rPr>
            </w:pPr>
            <w:r>
              <w:rPr>
                <w:rFonts w:hint="eastAsia" w:ascii="宋体" w:hAnsi="宋体"/>
                <w:szCs w:val="44"/>
              </w:rPr>
              <w:t>3</w:t>
            </w:r>
          </w:p>
        </w:tc>
        <w:tc>
          <w:tcPr>
            <w:tcW w:w="1432" w:type="dxa"/>
            <w:vAlign w:val="center"/>
          </w:tcPr>
          <w:p w14:paraId="7865D86D">
            <w:pPr>
              <w:jc w:val="center"/>
              <w:rPr>
                <w:rFonts w:ascii="宋体" w:hAnsi="宋体"/>
                <w:szCs w:val="44"/>
              </w:rPr>
            </w:pPr>
          </w:p>
        </w:tc>
        <w:tc>
          <w:tcPr>
            <w:tcW w:w="650" w:type="dxa"/>
            <w:vAlign w:val="center"/>
          </w:tcPr>
          <w:p w14:paraId="34386F77">
            <w:pPr>
              <w:jc w:val="center"/>
            </w:pPr>
          </w:p>
        </w:tc>
        <w:tc>
          <w:tcPr>
            <w:tcW w:w="650" w:type="dxa"/>
            <w:vAlign w:val="center"/>
          </w:tcPr>
          <w:p w14:paraId="73610E21">
            <w:pPr>
              <w:jc w:val="center"/>
              <w:rPr>
                <w:rFonts w:ascii="宋体" w:hAnsi="宋体"/>
                <w:szCs w:val="44"/>
              </w:rPr>
            </w:pPr>
          </w:p>
        </w:tc>
        <w:tc>
          <w:tcPr>
            <w:tcW w:w="650" w:type="dxa"/>
            <w:vAlign w:val="center"/>
          </w:tcPr>
          <w:p w14:paraId="2B98F3D5">
            <w:pPr>
              <w:jc w:val="center"/>
              <w:rPr>
                <w:rFonts w:ascii="宋体" w:hAnsi="宋体"/>
                <w:szCs w:val="44"/>
              </w:rPr>
            </w:pPr>
          </w:p>
        </w:tc>
        <w:tc>
          <w:tcPr>
            <w:tcW w:w="650" w:type="dxa"/>
            <w:vAlign w:val="center"/>
          </w:tcPr>
          <w:p w14:paraId="1608774B">
            <w:pPr>
              <w:jc w:val="center"/>
              <w:rPr>
                <w:rFonts w:ascii="宋体" w:hAnsi="宋体"/>
                <w:szCs w:val="44"/>
              </w:rPr>
            </w:pPr>
          </w:p>
        </w:tc>
        <w:tc>
          <w:tcPr>
            <w:tcW w:w="650" w:type="dxa"/>
            <w:vAlign w:val="center"/>
          </w:tcPr>
          <w:p w14:paraId="5527BCFD">
            <w:pPr>
              <w:jc w:val="center"/>
              <w:rPr>
                <w:rFonts w:ascii="宋体" w:hAnsi="宋体"/>
                <w:szCs w:val="44"/>
              </w:rPr>
            </w:pPr>
          </w:p>
        </w:tc>
        <w:tc>
          <w:tcPr>
            <w:tcW w:w="650" w:type="dxa"/>
            <w:vAlign w:val="center"/>
          </w:tcPr>
          <w:p w14:paraId="793777B9">
            <w:pPr>
              <w:jc w:val="center"/>
              <w:rPr>
                <w:rFonts w:ascii="宋体" w:hAnsi="宋体"/>
                <w:szCs w:val="44"/>
              </w:rPr>
            </w:pPr>
          </w:p>
        </w:tc>
        <w:tc>
          <w:tcPr>
            <w:tcW w:w="650" w:type="dxa"/>
            <w:vAlign w:val="center"/>
          </w:tcPr>
          <w:p w14:paraId="22B98FB5">
            <w:pPr>
              <w:jc w:val="center"/>
              <w:rPr>
                <w:rFonts w:ascii="宋体" w:hAnsi="宋体"/>
                <w:szCs w:val="44"/>
              </w:rPr>
            </w:pPr>
          </w:p>
        </w:tc>
        <w:tc>
          <w:tcPr>
            <w:tcW w:w="650" w:type="dxa"/>
            <w:vAlign w:val="center"/>
          </w:tcPr>
          <w:p w14:paraId="0781D44C">
            <w:pPr>
              <w:jc w:val="center"/>
              <w:rPr>
                <w:rFonts w:ascii="宋体" w:hAnsi="宋体"/>
                <w:szCs w:val="44"/>
              </w:rPr>
            </w:pPr>
          </w:p>
        </w:tc>
        <w:tc>
          <w:tcPr>
            <w:tcW w:w="651" w:type="dxa"/>
            <w:vAlign w:val="center"/>
          </w:tcPr>
          <w:p w14:paraId="34A1E9EF">
            <w:pPr>
              <w:jc w:val="center"/>
              <w:rPr>
                <w:rFonts w:ascii="宋体" w:hAnsi="宋体"/>
                <w:szCs w:val="44"/>
              </w:rPr>
            </w:pPr>
          </w:p>
        </w:tc>
        <w:tc>
          <w:tcPr>
            <w:tcW w:w="818" w:type="dxa"/>
            <w:vAlign w:val="center"/>
          </w:tcPr>
          <w:p w14:paraId="7A502B1E">
            <w:pPr>
              <w:jc w:val="center"/>
              <w:rPr>
                <w:rFonts w:ascii="宋体" w:hAnsi="宋体"/>
                <w:szCs w:val="44"/>
              </w:rPr>
            </w:pPr>
          </w:p>
        </w:tc>
      </w:tr>
      <w:tr w14:paraId="701A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497323FE">
            <w:pPr>
              <w:jc w:val="center"/>
              <w:rPr>
                <w:rFonts w:ascii="宋体" w:hAnsi="宋体"/>
                <w:szCs w:val="44"/>
              </w:rPr>
            </w:pPr>
            <w:r>
              <w:rPr>
                <w:rFonts w:hint="eastAsia" w:ascii="宋体" w:hAnsi="宋体"/>
                <w:szCs w:val="44"/>
              </w:rPr>
              <w:t>4</w:t>
            </w:r>
          </w:p>
        </w:tc>
        <w:tc>
          <w:tcPr>
            <w:tcW w:w="1432" w:type="dxa"/>
            <w:vAlign w:val="center"/>
          </w:tcPr>
          <w:p w14:paraId="39B89822">
            <w:pPr>
              <w:jc w:val="center"/>
              <w:rPr>
                <w:rFonts w:ascii="宋体" w:hAnsi="宋体"/>
                <w:szCs w:val="44"/>
              </w:rPr>
            </w:pPr>
          </w:p>
        </w:tc>
        <w:tc>
          <w:tcPr>
            <w:tcW w:w="650" w:type="dxa"/>
            <w:vAlign w:val="center"/>
          </w:tcPr>
          <w:p w14:paraId="0906B752">
            <w:pPr>
              <w:jc w:val="center"/>
            </w:pPr>
          </w:p>
        </w:tc>
        <w:tc>
          <w:tcPr>
            <w:tcW w:w="650" w:type="dxa"/>
            <w:vAlign w:val="center"/>
          </w:tcPr>
          <w:p w14:paraId="628D8701">
            <w:pPr>
              <w:jc w:val="center"/>
              <w:rPr>
                <w:rFonts w:ascii="宋体" w:hAnsi="宋体"/>
                <w:szCs w:val="44"/>
              </w:rPr>
            </w:pPr>
          </w:p>
        </w:tc>
        <w:tc>
          <w:tcPr>
            <w:tcW w:w="650" w:type="dxa"/>
            <w:vAlign w:val="center"/>
          </w:tcPr>
          <w:p w14:paraId="09767770">
            <w:pPr>
              <w:jc w:val="center"/>
              <w:rPr>
                <w:rFonts w:ascii="宋体" w:hAnsi="宋体"/>
                <w:szCs w:val="44"/>
              </w:rPr>
            </w:pPr>
          </w:p>
        </w:tc>
        <w:tc>
          <w:tcPr>
            <w:tcW w:w="650" w:type="dxa"/>
            <w:vAlign w:val="center"/>
          </w:tcPr>
          <w:p w14:paraId="077D44BF">
            <w:pPr>
              <w:jc w:val="center"/>
              <w:rPr>
                <w:rFonts w:ascii="宋体" w:hAnsi="宋体"/>
                <w:szCs w:val="44"/>
              </w:rPr>
            </w:pPr>
          </w:p>
        </w:tc>
        <w:tc>
          <w:tcPr>
            <w:tcW w:w="650" w:type="dxa"/>
            <w:vAlign w:val="center"/>
          </w:tcPr>
          <w:p w14:paraId="53CA0D2E">
            <w:pPr>
              <w:jc w:val="center"/>
              <w:rPr>
                <w:rFonts w:ascii="宋体" w:hAnsi="宋体"/>
                <w:szCs w:val="44"/>
              </w:rPr>
            </w:pPr>
          </w:p>
        </w:tc>
        <w:tc>
          <w:tcPr>
            <w:tcW w:w="650" w:type="dxa"/>
            <w:vAlign w:val="center"/>
          </w:tcPr>
          <w:p w14:paraId="46D61961">
            <w:pPr>
              <w:jc w:val="center"/>
              <w:rPr>
                <w:rFonts w:ascii="宋体" w:hAnsi="宋体"/>
                <w:szCs w:val="44"/>
              </w:rPr>
            </w:pPr>
          </w:p>
        </w:tc>
        <w:tc>
          <w:tcPr>
            <w:tcW w:w="650" w:type="dxa"/>
            <w:vAlign w:val="center"/>
          </w:tcPr>
          <w:p w14:paraId="3E51603C">
            <w:pPr>
              <w:jc w:val="center"/>
              <w:rPr>
                <w:rFonts w:ascii="宋体" w:hAnsi="宋体"/>
                <w:szCs w:val="44"/>
              </w:rPr>
            </w:pPr>
          </w:p>
        </w:tc>
        <w:tc>
          <w:tcPr>
            <w:tcW w:w="650" w:type="dxa"/>
            <w:vAlign w:val="center"/>
          </w:tcPr>
          <w:p w14:paraId="69EDE8CE">
            <w:pPr>
              <w:jc w:val="center"/>
              <w:rPr>
                <w:rFonts w:ascii="宋体" w:hAnsi="宋体"/>
                <w:szCs w:val="44"/>
              </w:rPr>
            </w:pPr>
          </w:p>
        </w:tc>
        <w:tc>
          <w:tcPr>
            <w:tcW w:w="651" w:type="dxa"/>
            <w:vAlign w:val="center"/>
          </w:tcPr>
          <w:p w14:paraId="1C072B4B">
            <w:pPr>
              <w:jc w:val="center"/>
              <w:rPr>
                <w:rFonts w:ascii="宋体" w:hAnsi="宋体"/>
                <w:szCs w:val="44"/>
              </w:rPr>
            </w:pPr>
          </w:p>
        </w:tc>
        <w:tc>
          <w:tcPr>
            <w:tcW w:w="818" w:type="dxa"/>
            <w:vAlign w:val="center"/>
          </w:tcPr>
          <w:p w14:paraId="76E533C4">
            <w:pPr>
              <w:jc w:val="center"/>
              <w:rPr>
                <w:rFonts w:ascii="宋体" w:hAnsi="宋体"/>
                <w:szCs w:val="44"/>
              </w:rPr>
            </w:pPr>
          </w:p>
        </w:tc>
      </w:tr>
      <w:tr w14:paraId="05BF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AD6C69C">
            <w:pPr>
              <w:jc w:val="center"/>
              <w:rPr>
                <w:rFonts w:ascii="宋体" w:hAnsi="宋体"/>
                <w:szCs w:val="44"/>
              </w:rPr>
            </w:pPr>
            <w:r>
              <w:rPr>
                <w:rFonts w:hint="eastAsia" w:ascii="宋体" w:hAnsi="宋体"/>
                <w:szCs w:val="44"/>
              </w:rPr>
              <w:t>5</w:t>
            </w:r>
          </w:p>
        </w:tc>
        <w:tc>
          <w:tcPr>
            <w:tcW w:w="1432" w:type="dxa"/>
            <w:vAlign w:val="center"/>
          </w:tcPr>
          <w:p w14:paraId="7786047B">
            <w:pPr>
              <w:jc w:val="center"/>
              <w:rPr>
                <w:rFonts w:ascii="宋体" w:hAnsi="宋体"/>
                <w:szCs w:val="44"/>
              </w:rPr>
            </w:pPr>
          </w:p>
        </w:tc>
        <w:tc>
          <w:tcPr>
            <w:tcW w:w="650" w:type="dxa"/>
            <w:vAlign w:val="center"/>
          </w:tcPr>
          <w:p w14:paraId="766C8EC0">
            <w:pPr>
              <w:jc w:val="center"/>
            </w:pPr>
          </w:p>
        </w:tc>
        <w:tc>
          <w:tcPr>
            <w:tcW w:w="650" w:type="dxa"/>
            <w:vAlign w:val="center"/>
          </w:tcPr>
          <w:p w14:paraId="1104830C">
            <w:pPr>
              <w:jc w:val="center"/>
              <w:rPr>
                <w:rFonts w:ascii="宋体" w:hAnsi="宋体"/>
                <w:szCs w:val="44"/>
              </w:rPr>
            </w:pPr>
          </w:p>
        </w:tc>
        <w:tc>
          <w:tcPr>
            <w:tcW w:w="650" w:type="dxa"/>
            <w:vAlign w:val="center"/>
          </w:tcPr>
          <w:p w14:paraId="2F8CCC76">
            <w:pPr>
              <w:jc w:val="center"/>
              <w:rPr>
                <w:rFonts w:ascii="宋体" w:hAnsi="宋体"/>
                <w:szCs w:val="44"/>
              </w:rPr>
            </w:pPr>
          </w:p>
        </w:tc>
        <w:tc>
          <w:tcPr>
            <w:tcW w:w="650" w:type="dxa"/>
            <w:vAlign w:val="center"/>
          </w:tcPr>
          <w:p w14:paraId="688EFBA9">
            <w:pPr>
              <w:jc w:val="center"/>
              <w:rPr>
                <w:rFonts w:ascii="宋体" w:hAnsi="宋体"/>
                <w:szCs w:val="44"/>
              </w:rPr>
            </w:pPr>
          </w:p>
        </w:tc>
        <w:tc>
          <w:tcPr>
            <w:tcW w:w="650" w:type="dxa"/>
            <w:vAlign w:val="center"/>
          </w:tcPr>
          <w:p w14:paraId="02D75CCD">
            <w:pPr>
              <w:jc w:val="center"/>
              <w:rPr>
                <w:rFonts w:ascii="宋体" w:hAnsi="宋体"/>
                <w:szCs w:val="44"/>
              </w:rPr>
            </w:pPr>
          </w:p>
        </w:tc>
        <w:tc>
          <w:tcPr>
            <w:tcW w:w="650" w:type="dxa"/>
            <w:vAlign w:val="center"/>
          </w:tcPr>
          <w:p w14:paraId="7EA0A5BD">
            <w:pPr>
              <w:jc w:val="center"/>
              <w:rPr>
                <w:rFonts w:ascii="宋体" w:hAnsi="宋体"/>
                <w:szCs w:val="44"/>
              </w:rPr>
            </w:pPr>
          </w:p>
        </w:tc>
        <w:tc>
          <w:tcPr>
            <w:tcW w:w="650" w:type="dxa"/>
            <w:vAlign w:val="center"/>
          </w:tcPr>
          <w:p w14:paraId="7822FF2B">
            <w:pPr>
              <w:jc w:val="center"/>
              <w:rPr>
                <w:rFonts w:ascii="宋体" w:hAnsi="宋体"/>
                <w:szCs w:val="44"/>
              </w:rPr>
            </w:pPr>
          </w:p>
        </w:tc>
        <w:tc>
          <w:tcPr>
            <w:tcW w:w="650" w:type="dxa"/>
            <w:vAlign w:val="center"/>
          </w:tcPr>
          <w:p w14:paraId="3352F13F">
            <w:pPr>
              <w:jc w:val="center"/>
              <w:rPr>
                <w:rFonts w:ascii="宋体" w:hAnsi="宋体"/>
                <w:szCs w:val="44"/>
              </w:rPr>
            </w:pPr>
          </w:p>
        </w:tc>
        <w:tc>
          <w:tcPr>
            <w:tcW w:w="651" w:type="dxa"/>
            <w:vAlign w:val="center"/>
          </w:tcPr>
          <w:p w14:paraId="115C064E">
            <w:pPr>
              <w:jc w:val="center"/>
              <w:rPr>
                <w:rFonts w:ascii="宋体" w:hAnsi="宋体"/>
                <w:szCs w:val="44"/>
              </w:rPr>
            </w:pPr>
          </w:p>
        </w:tc>
        <w:tc>
          <w:tcPr>
            <w:tcW w:w="818" w:type="dxa"/>
            <w:vAlign w:val="center"/>
          </w:tcPr>
          <w:p w14:paraId="6C511DE3">
            <w:pPr>
              <w:jc w:val="center"/>
              <w:rPr>
                <w:rFonts w:ascii="宋体" w:hAnsi="宋体"/>
                <w:szCs w:val="44"/>
              </w:rPr>
            </w:pPr>
          </w:p>
        </w:tc>
      </w:tr>
      <w:tr w14:paraId="2AE1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0E7DD28">
            <w:pPr>
              <w:jc w:val="center"/>
              <w:rPr>
                <w:rFonts w:ascii="宋体" w:hAnsi="宋体"/>
                <w:szCs w:val="44"/>
              </w:rPr>
            </w:pPr>
            <w:r>
              <w:rPr>
                <w:rFonts w:hint="eastAsia" w:ascii="宋体" w:hAnsi="宋体"/>
                <w:szCs w:val="44"/>
              </w:rPr>
              <w:t>6</w:t>
            </w:r>
          </w:p>
        </w:tc>
        <w:tc>
          <w:tcPr>
            <w:tcW w:w="1432" w:type="dxa"/>
            <w:vAlign w:val="center"/>
          </w:tcPr>
          <w:p w14:paraId="6CC0374B">
            <w:pPr>
              <w:jc w:val="center"/>
              <w:rPr>
                <w:rFonts w:ascii="宋体" w:hAnsi="宋体"/>
                <w:szCs w:val="44"/>
              </w:rPr>
            </w:pPr>
          </w:p>
        </w:tc>
        <w:tc>
          <w:tcPr>
            <w:tcW w:w="650" w:type="dxa"/>
            <w:vAlign w:val="center"/>
          </w:tcPr>
          <w:p w14:paraId="0506D8B8">
            <w:pPr>
              <w:jc w:val="center"/>
            </w:pPr>
          </w:p>
        </w:tc>
        <w:tc>
          <w:tcPr>
            <w:tcW w:w="650" w:type="dxa"/>
            <w:vAlign w:val="center"/>
          </w:tcPr>
          <w:p w14:paraId="1D06B209">
            <w:pPr>
              <w:jc w:val="center"/>
              <w:rPr>
                <w:rFonts w:ascii="宋体" w:hAnsi="宋体"/>
                <w:szCs w:val="44"/>
              </w:rPr>
            </w:pPr>
          </w:p>
        </w:tc>
        <w:tc>
          <w:tcPr>
            <w:tcW w:w="650" w:type="dxa"/>
            <w:vAlign w:val="center"/>
          </w:tcPr>
          <w:p w14:paraId="40EBE7FD">
            <w:pPr>
              <w:jc w:val="center"/>
              <w:rPr>
                <w:rFonts w:ascii="宋体" w:hAnsi="宋体"/>
                <w:szCs w:val="44"/>
              </w:rPr>
            </w:pPr>
          </w:p>
        </w:tc>
        <w:tc>
          <w:tcPr>
            <w:tcW w:w="650" w:type="dxa"/>
            <w:vAlign w:val="center"/>
          </w:tcPr>
          <w:p w14:paraId="1819CB20">
            <w:pPr>
              <w:jc w:val="center"/>
              <w:rPr>
                <w:rFonts w:ascii="宋体" w:hAnsi="宋体"/>
                <w:szCs w:val="44"/>
              </w:rPr>
            </w:pPr>
          </w:p>
        </w:tc>
        <w:tc>
          <w:tcPr>
            <w:tcW w:w="650" w:type="dxa"/>
            <w:vAlign w:val="center"/>
          </w:tcPr>
          <w:p w14:paraId="7567D082">
            <w:pPr>
              <w:jc w:val="center"/>
              <w:rPr>
                <w:rFonts w:ascii="宋体" w:hAnsi="宋体"/>
                <w:szCs w:val="44"/>
              </w:rPr>
            </w:pPr>
          </w:p>
        </w:tc>
        <w:tc>
          <w:tcPr>
            <w:tcW w:w="650" w:type="dxa"/>
            <w:vAlign w:val="center"/>
          </w:tcPr>
          <w:p w14:paraId="1087E322">
            <w:pPr>
              <w:jc w:val="center"/>
              <w:rPr>
                <w:rFonts w:ascii="宋体" w:hAnsi="宋体"/>
                <w:szCs w:val="44"/>
              </w:rPr>
            </w:pPr>
          </w:p>
        </w:tc>
        <w:tc>
          <w:tcPr>
            <w:tcW w:w="650" w:type="dxa"/>
            <w:vAlign w:val="center"/>
          </w:tcPr>
          <w:p w14:paraId="6834DC63">
            <w:pPr>
              <w:jc w:val="center"/>
              <w:rPr>
                <w:rFonts w:ascii="宋体" w:hAnsi="宋体"/>
                <w:szCs w:val="44"/>
              </w:rPr>
            </w:pPr>
          </w:p>
        </w:tc>
        <w:tc>
          <w:tcPr>
            <w:tcW w:w="650" w:type="dxa"/>
            <w:vAlign w:val="center"/>
          </w:tcPr>
          <w:p w14:paraId="350031E4">
            <w:pPr>
              <w:jc w:val="center"/>
              <w:rPr>
                <w:rFonts w:ascii="宋体" w:hAnsi="宋体"/>
                <w:szCs w:val="44"/>
              </w:rPr>
            </w:pPr>
          </w:p>
        </w:tc>
        <w:tc>
          <w:tcPr>
            <w:tcW w:w="651" w:type="dxa"/>
            <w:vAlign w:val="center"/>
          </w:tcPr>
          <w:p w14:paraId="309359A5">
            <w:pPr>
              <w:jc w:val="center"/>
              <w:rPr>
                <w:rFonts w:ascii="宋体" w:hAnsi="宋体"/>
                <w:szCs w:val="44"/>
              </w:rPr>
            </w:pPr>
          </w:p>
        </w:tc>
        <w:tc>
          <w:tcPr>
            <w:tcW w:w="818" w:type="dxa"/>
            <w:vAlign w:val="center"/>
          </w:tcPr>
          <w:p w14:paraId="2447219F">
            <w:pPr>
              <w:jc w:val="center"/>
              <w:rPr>
                <w:rFonts w:ascii="宋体" w:hAnsi="宋体"/>
                <w:szCs w:val="44"/>
              </w:rPr>
            </w:pPr>
          </w:p>
        </w:tc>
      </w:tr>
      <w:tr w14:paraId="17AA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F750326">
            <w:pPr>
              <w:jc w:val="center"/>
              <w:rPr>
                <w:rFonts w:ascii="宋体" w:hAnsi="宋体"/>
                <w:szCs w:val="44"/>
              </w:rPr>
            </w:pPr>
            <w:r>
              <w:rPr>
                <w:rFonts w:hint="eastAsia" w:ascii="宋体" w:hAnsi="宋体"/>
                <w:szCs w:val="44"/>
              </w:rPr>
              <w:t>…</w:t>
            </w:r>
          </w:p>
        </w:tc>
        <w:tc>
          <w:tcPr>
            <w:tcW w:w="1432" w:type="dxa"/>
            <w:vAlign w:val="center"/>
          </w:tcPr>
          <w:p w14:paraId="3D3F79CD">
            <w:pPr>
              <w:rPr>
                <w:rFonts w:ascii="宋体" w:hAnsi="宋体"/>
                <w:szCs w:val="21"/>
              </w:rPr>
            </w:pPr>
          </w:p>
        </w:tc>
        <w:tc>
          <w:tcPr>
            <w:tcW w:w="650" w:type="dxa"/>
            <w:vAlign w:val="center"/>
          </w:tcPr>
          <w:p w14:paraId="7F964E97">
            <w:pPr>
              <w:jc w:val="center"/>
            </w:pPr>
          </w:p>
        </w:tc>
        <w:tc>
          <w:tcPr>
            <w:tcW w:w="650" w:type="dxa"/>
            <w:vAlign w:val="center"/>
          </w:tcPr>
          <w:p w14:paraId="42BD69B4">
            <w:pPr>
              <w:jc w:val="center"/>
              <w:rPr>
                <w:rFonts w:ascii="宋体" w:hAnsi="宋体"/>
                <w:szCs w:val="44"/>
              </w:rPr>
            </w:pPr>
          </w:p>
        </w:tc>
        <w:tc>
          <w:tcPr>
            <w:tcW w:w="650" w:type="dxa"/>
            <w:vAlign w:val="center"/>
          </w:tcPr>
          <w:p w14:paraId="33BFA2A4">
            <w:pPr>
              <w:jc w:val="center"/>
              <w:rPr>
                <w:rFonts w:ascii="宋体" w:hAnsi="宋体"/>
                <w:szCs w:val="44"/>
              </w:rPr>
            </w:pPr>
          </w:p>
        </w:tc>
        <w:tc>
          <w:tcPr>
            <w:tcW w:w="650" w:type="dxa"/>
            <w:vAlign w:val="center"/>
          </w:tcPr>
          <w:p w14:paraId="5CA97CB8">
            <w:pPr>
              <w:jc w:val="center"/>
              <w:rPr>
                <w:rFonts w:ascii="宋体" w:hAnsi="宋体"/>
                <w:szCs w:val="44"/>
              </w:rPr>
            </w:pPr>
          </w:p>
        </w:tc>
        <w:tc>
          <w:tcPr>
            <w:tcW w:w="650" w:type="dxa"/>
            <w:vAlign w:val="center"/>
          </w:tcPr>
          <w:p w14:paraId="0CF9D23C">
            <w:pPr>
              <w:jc w:val="center"/>
              <w:rPr>
                <w:rFonts w:ascii="宋体" w:hAnsi="宋体"/>
                <w:szCs w:val="44"/>
              </w:rPr>
            </w:pPr>
          </w:p>
        </w:tc>
        <w:tc>
          <w:tcPr>
            <w:tcW w:w="650" w:type="dxa"/>
            <w:vAlign w:val="center"/>
          </w:tcPr>
          <w:p w14:paraId="4EC117C7">
            <w:pPr>
              <w:jc w:val="center"/>
              <w:rPr>
                <w:rFonts w:ascii="宋体" w:hAnsi="宋体"/>
                <w:szCs w:val="44"/>
              </w:rPr>
            </w:pPr>
          </w:p>
        </w:tc>
        <w:tc>
          <w:tcPr>
            <w:tcW w:w="650" w:type="dxa"/>
            <w:vAlign w:val="center"/>
          </w:tcPr>
          <w:p w14:paraId="51230903">
            <w:pPr>
              <w:jc w:val="center"/>
              <w:rPr>
                <w:rFonts w:ascii="宋体" w:hAnsi="宋体"/>
                <w:szCs w:val="44"/>
              </w:rPr>
            </w:pPr>
          </w:p>
        </w:tc>
        <w:tc>
          <w:tcPr>
            <w:tcW w:w="650" w:type="dxa"/>
            <w:vAlign w:val="center"/>
          </w:tcPr>
          <w:p w14:paraId="4CAAAB64">
            <w:pPr>
              <w:jc w:val="center"/>
              <w:rPr>
                <w:rFonts w:ascii="宋体" w:hAnsi="宋体"/>
                <w:szCs w:val="44"/>
              </w:rPr>
            </w:pPr>
          </w:p>
        </w:tc>
        <w:tc>
          <w:tcPr>
            <w:tcW w:w="651" w:type="dxa"/>
            <w:vAlign w:val="center"/>
          </w:tcPr>
          <w:p w14:paraId="1674C81F">
            <w:pPr>
              <w:jc w:val="center"/>
              <w:rPr>
                <w:rFonts w:ascii="宋体" w:hAnsi="宋体"/>
                <w:szCs w:val="44"/>
              </w:rPr>
            </w:pPr>
          </w:p>
        </w:tc>
        <w:tc>
          <w:tcPr>
            <w:tcW w:w="818" w:type="dxa"/>
            <w:vAlign w:val="center"/>
          </w:tcPr>
          <w:p w14:paraId="3BFF2C7E">
            <w:pPr>
              <w:jc w:val="center"/>
              <w:rPr>
                <w:rFonts w:ascii="宋体" w:hAnsi="宋体"/>
                <w:szCs w:val="44"/>
              </w:rPr>
            </w:pPr>
          </w:p>
        </w:tc>
      </w:tr>
      <w:tr w14:paraId="2AD2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152841D6">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00138E8A">
            <w:pPr>
              <w:jc w:val="left"/>
              <w:rPr>
                <w:rFonts w:ascii="宋体" w:hAnsi="宋体"/>
                <w:szCs w:val="44"/>
              </w:rPr>
            </w:pPr>
          </w:p>
          <w:p w14:paraId="0A161878">
            <w:pPr>
              <w:jc w:val="left"/>
              <w:rPr>
                <w:rFonts w:ascii="宋体" w:hAnsi="宋体"/>
                <w:szCs w:val="44"/>
              </w:rPr>
            </w:pPr>
          </w:p>
          <w:p w14:paraId="02A8C379">
            <w:pPr>
              <w:jc w:val="left"/>
              <w:rPr>
                <w:rFonts w:ascii="宋体" w:hAnsi="宋体"/>
                <w:szCs w:val="44"/>
              </w:rPr>
            </w:pPr>
          </w:p>
          <w:p w14:paraId="5A799C9F">
            <w:pPr>
              <w:jc w:val="center"/>
              <w:rPr>
                <w:rFonts w:ascii="宋体" w:hAnsi="宋体"/>
                <w:szCs w:val="44"/>
              </w:rPr>
            </w:pPr>
          </w:p>
        </w:tc>
      </w:tr>
    </w:tbl>
    <w:p w14:paraId="3916B507">
      <w:pPr>
        <w:rPr>
          <w:rFonts w:ascii="宋体" w:hAnsi="宋体"/>
          <w:szCs w:val="44"/>
        </w:rPr>
      </w:pPr>
      <w:r>
        <w:rPr>
          <w:rFonts w:hint="eastAsia" w:ascii="宋体" w:hAnsi="宋体"/>
          <w:szCs w:val="44"/>
        </w:rPr>
        <w:t xml:space="preserve">             </w:t>
      </w:r>
      <w:r>
        <w:rPr>
          <w:rFonts w:ascii="宋体" w:hAnsi="宋体"/>
          <w:szCs w:val="44"/>
        </w:rPr>
        <w:t xml:space="preserve">                                        </w:t>
      </w:r>
      <w:r>
        <w:rPr>
          <w:rFonts w:hint="eastAsia" w:ascii="宋体" w:hAnsi="宋体"/>
          <w:szCs w:val="44"/>
        </w:rPr>
        <w:t xml:space="preserve"> 日期：    年    月    日</w:t>
      </w:r>
    </w:p>
    <w:p w14:paraId="01243EAB">
      <w:pPr>
        <w:spacing w:after="240" w:afterLines="100"/>
        <w:rPr>
          <w:rFonts w:ascii="宋体" w:hAnsi="宋体"/>
          <w:szCs w:val="44"/>
        </w:rPr>
      </w:pPr>
      <w:r>
        <w:rPr>
          <w:rFonts w:ascii="宋体" w:hAnsi="宋体"/>
          <w:szCs w:val="44"/>
        </w:rPr>
        <w:br w:type="page"/>
      </w:r>
    </w:p>
    <w:p w14:paraId="0D090519">
      <w:pPr>
        <w:pStyle w:val="25"/>
      </w:pPr>
      <w:bookmarkStart w:id="678" w:name="_Toc256000135"/>
      <w:bookmarkStart w:id="679" w:name="_Toc165804452"/>
      <w:r>
        <w:rPr>
          <w:rFonts w:hint="eastAsia"/>
        </w:rPr>
        <w:t>附表A-6：响应性评审记录表</w:t>
      </w:r>
      <w:bookmarkEnd w:id="678"/>
      <w:bookmarkEnd w:id="679"/>
    </w:p>
    <w:p w14:paraId="4379F3FF">
      <w:pPr>
        <w:spacing w:after="240" w:afterLines="100"/>
        <w:jc w:val="center"/>
        <w:rPr>
          <w:rFonts w:ascii="黑体" w:hAnsi="宋体" w:eastAsia="黑体"/>
          <w:sz w:val="36"/>
          <w:szCs w:val="36"/>
        </w:rPr>
      </w:pPr>
    </w:p>
    <w:p w14:paraId="14E9C05B">
      <w:pPr>
        <w:adjustRightInd w:val="0"/>
        <w:snapToGrid w:val="0"/>
        <w:spacing w:before="240" w:beforeLines="100" w:after="240" w:afterLines="100" w:line="440" w:lineRule="exact"/>
        <w:jc w:val="center"/>
        <w:rPr>
          <w:rFonts w:ascii="黑体" w:hAnsi="黑体" w:eastAsia="黑体"/>
          <w:sz w:val="36"/>
          <w:szCs w:val="36"/>
        </w:rPr>
      </w:pPr>
      <w:bookmarkStart w:id="680" w:name="_Toc9622"/>
      <w:bookmarkStart w:id="681" w:name="_Toc148976158"/>
      <w:bookmarkStart w:id="682" w:name="_Toc148971950"/>
      <w:r>
        <w:rPr>
          <w:rFonts w:hint="eastAsia" w:ascii="黑体" w:hAnsi="黑体" w:eastAsia="黑体"/>
          <w:sz w:val="36"/>
          <w:szCs w:val="36"/>
        </w:rPr>
        <w:t>响应性评审记录表</w:t>
      </w:r>
      <w:bookmarkEnd w:id="680"/>
      <w:bookmarkEnd w:id="681"/>
      <w:bookmarkEnd w:id="682"/>
    </w:p>
    <w:p w14:paraId="5AA515CF">
      <w:pPr>
        <w:rPr>
          <w:rFonts w:ascii="宋体" w:hAnsi="宋体"/>
          <w:szCs w:val="44"/>
        </w:rPr>
      </w:pPr>
      <w:r>
        <w:rPr>
          <w:rFonts w:hint="eastAsia" w:ascii="宋体" w:hAnsi="宋体"/>
          <w:szCs w:val="44"/>
        </w:rPr>
        <w:t>标段名称：</w:t>
      </w:r>
    </w:p>
    <w:p w14:paraId="2A1843D5">
      <w:pPr>
        <w:rPr>
          <w:rFonts w:ascii="宋体" w:hAnsi="宋体"/>
          <w:szCs w:val="44"/>
        </w:rPr>
      </w:pPr>
      <w:r>
        <w:rPr>
          <w:rFonts w:hint="eastAsia"/>
          <w:szCs w:val="44"/>
        </w:rPr>
        <w:t>标段唯一标识码：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7F26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0A23D8C0">
            <w:pPr>
              <w:jc w:val="center"/>
              <w:rPr>
                <w:rFonts w:ascii="宋体" w:hAnsi="宋体"/>
                <w:b/>
                <w:bCs/>
                <w:szCs w:val="44"/>
              </w:rPr>
            </w:pPr>
            <w:r>
              <w:rPr>
                <w:rFonts w:hint="eastAsia" w:ascii="宋体" w:hAnsi="宋体"/>
                <w:b/>
                <w:bCs/>
                <w:szCs w:val="44"/>
              </w:rPr>
              <w:t>序号</w:t>
            </w:r>
          </w:p>
        </w:tc>
        <w:tc>
          <w:tcPr>
            <w:tcW w:w="1293" w:type="dxa"/>
            <w:vMerge w:val="restart"/>
            <w:vAlign w:val="center"/>
          </w:tcPr>
          <w:p w14:paraId="04E69110">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2F19EBC0">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4946AD4C">
            <w:pPr>
              <w:jc w:val="center"/>
              <w:rPr>
                <w:rFonts w:ascii="宋体" w:hAnsi="宋体"/>
                <w:b/>
                <w:bCs/>
                <w:szCs w:val="44"/>
              </w:rPr>
            </w:pPr>
            <w:r>
              <w:rPr>
                <w:rFonts w:ascii="宋体" w:hAnsi="宋体"/>
                <w:b/>
                <w:bCs/>
                <w:szCs w:val="21"/>
              </w:rPr>
              <w:t>评审结论</w:t>
            </w:r>
          </w:p>
        </w:tc>
      </w:tr>
      <w:tr w14:paraId="1B3C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3C0A5D45">
            <w:pPr>
              <w:jc w:val="center"/>
              <w:rPr>
                <w:rFonts w:ascii="宋体" w:hAnsi="宋体"/>
                <w:szCs w:val="44"/>
              </w:rPr>
            </w:pPr>
          </w:p>
        </w:tc>
        <w:tc>
          <w:tcPr>
            <w:tcW w:w="1293" w:type="dxa"/>
            <w:vMerge w:val="continue"/>
          </w:tcPr>
          <w:p w14:paraId="3E9A7215">
            <w:pPr>
              <w:jc w:val="center"/>
              <w:rPr>
                <w:rFonts w:ascii="宋体" w:hAnsi="宋体"/>
                <w:szCs w:val="44"/>
              </w:rPr>
            </w:pPr>
          </w:p>
        </w:tc>
        <w:tc>
          <w:tcPr>
            <w:tcW w:w="650" w:type="dxa"/>
            <w:vAlign w:val="center"/>
          </w:tcPr>
          <w:p w14:paraId="24EE270F">
            <w:pPr>
              <w:jc w:val="center"/>
              <w:rPr>
                <w:rFonts w:ascii="宋体" w:hAnsi="宋体"/>
                <w:szCs w:val="44"/>
              </w:rPr>
            </w:pPr>
          </w:p>
        </w:tc>
        <w:tc>
          <w:tcPr>
            <w:tcW w:w="650" w:type="dxa"/>
            <w:vAlign w:val="center"/>
          </w:tcPr>
          <w:p w14:paraId="2A4BDE29">
            <w:pPr>
              <w:jc w:val="center"/>
              <w:rPr>
                <w:rFonts w:ascii="宋体" w:hAnsi="宋体"/>
                <w:szCs w:val="44"/>
              </w:rPr>
            </w:pPr>
          </w:p>
        </w:tc>
        <w:tc>
          <w:tcPr>
            <w:tcW w:w="650" w:type="dxa"/>
            <w:vAlign w:val="center"/>
          </w:tcPr>
          <w:p w14:paraId="0CF5D7E7">
            <w:pPr>
              <w:jc w:val="center"/>
              <w:rPr>
                <w:rFonts w:ascii="宋体" w:hAnsi="宋体"/>
                <w:szCs w:val="44"/>
              </w:rPr>
            </w:pPr>
          </w:p>
        </w:tc>
        <w:tc>
          <w:tcPr>
            <w:tcW w:w="650" w:type="dxa"/>
            <w:vAlign w:val="center"/>
          </w:tcPr>
          <w:p w14:paraId="68E807FD">
            <w:pPr>
              <w:jc w:val="center"/>
              <w:rPr>
                <w:rFonts w:ascii="宋体" w:hAnsi="宋体"/>
                <w:szCs w:val="44"/>
              </w:rPr>
            </w:pPr>
          </w:p>
        </w:tc>
        <w:tc>
          <w:tcPr>
            <w:tcW w:w="650" w:type="dxa"/>
            <w:vAlign w:val="center"/>
          </w:tcPr>
          <w:p w14:paraId="0CAAFB69">
            <w:pPr>
              <w:jc w:val="center"/>
              <w:rPr>
                <w:rFonts w:ascii="宋体" w:hAnsi="宋体"/>
                <w:szCs w:val="44"/>
              </w:rPr>
            </w:pPr>
          </w:p>
        </w:tc>
        <w:tc>
          <w:tcPr>
            <w:tcW w:w="650" w:type="dxa"/>
            <w:vAlign w:val="center"/>
          </w:tcPr>
          <w:p w14:paraId="3A43E4E9">
            <w:pPr>
              <w:jc w:val="center"/>
              <w:rPr>
                <w:rFonts w:ascii="宋体" w:hAnsi="宋体"/>
                <w:szCs w:val="44"/>
              </w:rPr>
            </w:pPr>
          </w:p>
        </w:tc>
        <w:tc>
          <w:tcPr>
            <w:tcW w:w="650" w:type="dxa"/>
            <w:vAlign w:val="center"/>
          </w:tcPr>
          <w:p w14:paraId="45DD5095">
            <w:pPr>
              <w:jc w:val="center"/>
              <w:rPr>
                <w:rFonts w:ascii="宋体" w:hAnsi="宋体"/>
                <w:szCs w:val="44"/>
              </w:rPr>
            </w:pPr>
          </w:p>
        </w:tc>
        <w:tc>
          <w:tcPr>
            <w:tcW w:w="650" w:type="dxa"/>
            <w:vAlign w:val="center"/>
          </w:tcPr>
          <w:p w14:paraId="4C00EF08">
            <w:pPr>
              <w:jc w:val="center"/>
              <w:rPr>
                <w:rFonts w:ascii="宋体" w:hAnsi="宋体"/>
                <w:szCs w:val="44"/>
              </w:rPr>
            </w:pPr>
          </w:p>
        </w:tc>
        <w:tc>
          <w:tcPr>
            <w:tcW w:w="651" w:type="dxa"/>
            <w:vAlign w:val="center"/>
          </w:tcPr>
          <w:p w14:paraId="23B2AB8E">
            <w:pPr>
              <w:jc w:val="center"/>
              <w:rPr>
                <w:rFonts w:ascii="宋体" w:hAnsi="宋体"/>
                <w:szCs w:val="44"/>
              </w:rPr>
            </w:pPr>
          </w:p>
        </w:tc>
        <w:tc>
          <w:tcPr>
            <w:tcW w:w="818" w:type="dxa"/>
            <w:vMerge w:val="continue"/>
            <w:vAlign w:val="center"/>
          </w:tcPr>
          <w:p w14:paraId="03F8E49E">
            <w:pPr>
              <w:jc w:val="center"/>
              <w:rPr>
                <w:rFonts w:ascii="宋体" w:hAnsi="宋体"/>
                <w:szCs w:val="44"/>
              </w:rPr>
            </w:pPr>
          </w:p>
        </w:tc>
      </w:tr>
      <w:tr w14:paraId="7A49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80D4598">
            <w:pPr>
              <w:jc w:val="center"/>
              <w:rPr>
                <w:rFonts w:ascii="宋体" w:hAnsi="宋体"/>
                <w:szCs w:val="44"/>
              </w:rPr>
            </w:pPr>
            <w:r>
              <w:rPr>
                <w:rFonts w:hint="eastAsia" w:ascii="宋体" w:hAnsi="宋体"/>
                <w:szCs w:val="44"/>
              </w:rPr>
              <w:t>1</w:t>
            </w:r>
          </w:p>
        </w:tc>
        <w:tc>
          <w:tcPr>
            <w:tcW w:w="1293" w:type="dxa"/>
            <w:vAlign w:val="center"/>
          </w:tcPr>
          <w:p w14:paraId="43C081AA">
            <w:pPr>
              <w:jc w:val="center"/>
              <w:rPr>
                <w:rFonts w:ascii="宋体" w:hAnsi="宋体"/>
                <w:szCs w:val="21"/>
              </w:rPr>
            </w:pPr>
          </w:p>
        </w:tc>
        <w:tc>
          <w:tcPr>
            <w:tcW w:w="650" w:type="dxa"/>
            <w:vAlign w:val="center"/>
          </w:tcPr>
          <w:p w14:paraId="3F712E06">
            <w:pPr>
              <w:jc w:val="center"/>
              <w:rPr>
                <w:rFonts w:ascii="宋体" w:hAnsi="宋体"/>
                <w:szCs w:val="21"/>
              </w:rPr>
            </w:pPr>
          </w:p>
        </w:tc>
        <w:tc>
          <w:tcPr>
            <w:tcW w:w="650" w:type="dxa"/>
            <w:vAlign w:val="center"/>
          </w:tcPr>
          <w:p w14:paraId="5B366B72">
            <w:pPr>
              <w:jc w:val="center"/>
              <w:rPr>
                <w:rFonts w:ascii="宋体" w:hAnsi="宋体"/>
                <w:szCs w:val="44"/>
              </w:rPr>
            </w:pPr>
          </w:p>
        </w:tc>
        <w:tc>
          <w:tcPr>
            <w:tcW w:w="650" w:type="dxa"/>
            <w:vAlign w:val="center"/>
          </w:tcPr>
          <w:p w14:paraId="1A95A26A">
            <w:pPr>
              <w:jc w:val="center"/>
              <w:rPr>
                <w:rFonts w:ascii="宋体" w:hAnsi="宋体"/>
                <w:szCs w:val="44"/>
              </w:rPr>
            </w:pPr>
          </w:p>
        </w:tc>
        <w:tc>
          <w:tcPr>
            <w:tcW w:w="650" w:type="dxa"/>
            <w:vAlign w:val="center"/>
          </w:tcPr>
          <w:p w14:paraId="46163748">
            <w:pPr>
              <w:jc w:val="center"/>
              <w:rPr>
                <w:rFonts w:ascii="宋体" w:hAnsi="宋体"/>
                <w:szCs w:val="44"/>
              </w:rPr>
            </w:pPr>
          </w:p>
        </w:tc>
        <w:tc>
          <w:tcPr>
            <w:tcW w:w="650" w:type="dxa"/>
            <w:vAlign w:val="center"/>
          </w:tcPr>
          <w:p w14:paraId="528EA995">
            <w:pPr>
              <w:jc w:val="center"/>
              <w:rPr>
                <w:rFonts w:ascii="宋体" w:hAnsi="宋体"/>
                <w:szCs w:val="44"/>
              </w:rPr>
            </w:pPr>
          </w:p>
        </w:tc>
        <w:tc>
          <w:tcPr>
            <w:tcW w:w="650" w:type="dxa"/>
            <w:vAlign w:val="center"/>
          </w:tcPr>
          <w:p w14:paraId="652FA9C2">
            <w:pPr>
              <w:jc w:val="center"/>
              <w:rPr>
                <w:rFonts w:ascii="宋体" w:hAnsi="宋体"/>
                <w:szCs w:val="44"/>
              </w:rPr>
            </w:pPr>
          </w:p>
        </w:tc>
        <w:tc>
          <w:tcPr>
            <w:tcW w:w="650" w:type="dxa"/>
            <w:vAlign w:val="center"/>
          </w:tcPr>
          <w:p w14:paraId="5FAE4A4A">
            <w:pPr>
              <w:jc w:val="center"/>
              <w:rPr>
                <w:rFonts w:ascii="宋体" w:hAnsi="宋体"/>
                <w:szCs w:val="44"/>
              </w:rPr>
            </w:pPr>
          </w:p>
        </w:tc>
        <w:tc>
          <w:tcPr>
            <w:tcW w:w="650" w:type="dxa"/>
            <w:vAlign w:val="center"/>
          </w:tcPr>
          <w:p w14:paraId="701EAC44">
            <w:pPr>
              <w:jc w:val="center"/>
              <w:rPr>
                <w:rFonts w:ascii="宋体" w:hAnsi="宋体"/>
                <w:szCs w:val="44"/>
              </w:rPr>
            </w:pPr>
          </w:p>
        </w:tc>
        <w:tc>
          <w:tcPr>
            <w:tcW w:w="651" w:type="dxa"/>
            <w:vAlign w:val="center"/>
          </w:tcPr>
          <w:p w14:paraId="4354930A">
            <w:pPr>
              <w:jc w:val="center"/>
              <w:rPr>
                <w:rFonts w:ascii="宋体" w:hAnsi="宋体"/>
                <w:szCs w:val="44"/>
              </w:rPr>
            </w:pPr>
          </w:p>
        </w:tc>
        <w:tc>
          <w:tcPr>
            <w:tcW w:w="818" w:type="dxa"/>
            <w:vAlign w:val="center"/>
          </w:tcPr>
          <w:p w14:paraId="59B274FA">
            <w:pPr>
              <w:jc w:val="center"/>
              <w:rPr>
                <w:rFonts w:ascii="宋体" w:hAnsi="宋体"/>
                <w:szCs w:val="44"/>
              </w:rPr>
            </w:pPr>
          </w:p>
        </w:tc>
      </w:tr>
      <w:tr w14:paraId="0EFE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40F963C4">
            <w:pPr>
              <w:jc w:val="center"/>
              <w:rPr>
                <w:rFonts w:ascii="宋体" w:hAnsi="宋体"/>
                <w:szCs w:val="44"/>
              </w:rPr>
            </w:pPr>
            <w:r>
              <w:rPr>
                <w:rFonts w:hint="eastAsia" w:ascii="宋体" w:hAnsi="宋体"/>
                <w:szCs w:val="44"/>
              </w:rPr>
              <w:t>2</w:t>
            </w:r>
          </w:p>
        </w:tc>
        <w:tc>
          <w:tcPr>
            <w:tcW w:w="1293" w:type="dxa"/>
            <w:vAlign w:val="center"/>
          </w:tcPr>
          <w:p w14:paraId="71DAB64E">
            <w:pPr>
              <w:jc w:val="center"/>
              <w:rPr>
                <w:rFonts w:ascii="宋体" w:hAnsi="宋体"/>
                <w:szCs w:val="44"/>
              </w:rPr>
            </w:pPr>
          </w:p>
        </w:tc>
        <w:tc>
          <w:tcPr>
            <w:tcW w:w="650" w:type="dxa"/>
            <w:vAlign w:val="center"/>
          </w:tcPr>
          <w:p w14:paraId="1D6EAF63">
            <w:pPr>
              <w:jc w:val="center"/>
            </w:pPr>
          </w:p>
        </w:tc>
        <w:tc>
          <w:tcPr>
            <w:tcW w:w="650" w:type="dxa"/>
            <w:vAlign w:val="center"/>
          </w:tcPr>
          <w:p w14:paraId="40274201">
            <w:pPr>
              <w:jc w:val="center"/>
              <w:rPr>
                <w:rFonts w:ascii="宋体" w:hAnsi="宋体"/>
                <w:szCs w:val="44"/>
              </w:rPr>
            </w:pPr>
          </w:p>
        </w:tc>
        <w:tc>
          <w:tcPr>
            <w:tcW w:w="650" w:type="dxa"/>
            <w:vAlign w:val="center"/>
          </w:tcPr>
          <w:p w14:paraId="5A919DEC">
            <w:pPr>
              <w:jc w:val="center"/>
              <w:rPr>
                <w:rFonts w:ascii="宋体" w:hAnsi="宋体"/>
                <w:szCs w:val="44"/>
              </w:rPr>
            </w:pPr>
          </w:p>
        </w:tc>
        <w:tc>
          <w:tcPr>
            <w:tcW w:w="650" w:type="dxa"/>
            <w:vAlign w:val="center"/>
          </w:tcPr>
          <w:p w14:paraId="34B4166C">
            <w:pPr>
              <w:jc w:val="center"/>
              <w:rPr>
                <w:rFonts w:ascii="宋体" w:hAnsi="宋体"/>
                <w:szCs w:val="44"/>
              </w:rPr>
            </w:pPr>
          </w:p>
        </w:tc>
        <w:tc>
          <w:tcPr>
            <w:tcW w:w="650" w:type="dxa"/>
            <w:vAlign w:val="center"/>
          </w:tcPr>
          <w:p w14:paraId="7D5511FD">
            <w:pPr>
              <w:jc w:val="center"/>
              <w:rPr>
                <w:rFonts w:ascii="宋体" w:hAnsi="宋体"/>
                <w:szCs w:val="44"/>
              </w:rPr>
            </w:pPr>
          </w:p>
        </w:tc>
        <w:tc>
          <w:tcPr>
            <w:tcW w:w="650" w:type="dxa"/>
            <w:vAlign w:val="center"/>
          </w:tcPr>
          <w:p w14:paraId="05069953">
            <w:pPr>
              <w:jc w:val="center"/>
              <w:rPr>
                <w:rFonts w:ascii="宋体" w:hAnsi="宋体"/>
                <w:szCs w:val="44"/>
              </w:rPr>
            </w:pPr>
          </w:p>
        </w:tc>
        <w:tc>
          <w:tcPr>
            <w:tcW w:w="650" w:type="dxa"/>
            <w:vAlign w:val="center"/>
          </w:tcPr>
          <w:p w14:paraId="3D76F470">
            <w:pPr>
              <w:jc w:val="center"/>
              <w:rPr>
                <w:rFonts w:ascii="宋体" w:hAnsi="宋体"/>
                <w:szCs w:val="44"/>
              </w:rPr>
            </w:pPr>
          </w:p>
        </w:tc>
        <w:tc>
          <w:tcPr>
            <w:tcW w:w="650" w:type="dxa"/>
            <w:vAlign w:val="center"/>
          </w:tcPr>
          <w:p w14:paraId="2FEA2305">
            <w:pPr>
              <w:jc w:val="center"/>
              <w:rPr>
                <w:rFonts w:ascii="宋体" w:hAnsi="宋体"/>
                <w:szCs w:val="44"/>
              </w:rPr>
            </w:pPr>
          </w:p>
        </w:tc>
        <w:tc>
          <w:tcPr>
            <w:tcW w:w="651" w:type="dxa"/>
            <w:vAlign w:val="center"/>
          </w:tcPr>
          <w:p w14:paraId="26C57A25">
            <w:pPr>
              <w:jc w:val="center"/>
              <w:rPr>
                <w:rFonts w:ascii="宋体" w:hAnsi="宋体"/>
                <w:szCs w:val="44"/>
              </w:rPr>
            </w:pPr>
          </w:p>
        </w:tc>
        <w:tc>
          <w:tcPr>
            <w:tcW w:w="818" w:type="dxa"/>
            <w:vAlign w:val="center"/>
          </w:tcPr>
          <w:p w14:paraId="41F647F7">
            <w:pPr>
              <w:jc w:val="center"/>
              <w:rPr>
                <w:rFonts w:ascii="宋体" w:hAnsi="宋体"/>
                <w:szCs w:val="44"/>
              </w:rPr>
            </w:pPr>
          </w:p>
        </w:tc>
      </w:tr>
      <w:tr w14:paraId="1EA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1581C2E">
            <w:pPr>
              <w:jc w:val="center"/>
              <w:rPr>
                <w:rFonts w:ascii="宋体" w:hAnsi="宋体"/>
                <w:szCs w:val="44"/>
              </w:rPr>
            </w:pPr>
            <w:r>
              <w:rPr>
                <w:rFonts w:hint="eastAsia" w:ascii="宋体" w:hAnsi="宋体"/>
                <w:szCs w:val="44"/>
              </w:rPr>
              <w:t>3</w:t>
            </w:r>
          </w:p>
        </w:tc>
        <w:tc>
          <w:tcPr>
            <w:tcW w:w="1293" w:type="dxa"/>
            <w:vAlign w:val="center"/>
          </w:tcPr>
          <w:p w14:paraId="4B17FDA0">
            <w:pPr>
              <w:jc w:val="center"/>
              <w:rPr>
                <w:rFonts w:ascii="宋体" w:hAnsi="宋体"/>
                <w:szCs w:val="44"/>
              </w:rPr>
            </w:pPr>
          </w:p>
        </w:tc>
        <w:tc>
          <w:tcPr>
            <w:tcW w:w="650" w:type="dxa"/>
            <w:vAlign w:val="center"/>
          </w:tcPr>
          <w:p w14:paraId="2E35935A">
            <w:pPr>
              <w:jc w:val="center"/>
            </w:pPr>
          </w:p>
        </w:tc>
        <w:tc>
          <w:tcPr>
            <w:tcW w:w="650" w:type="dxa"/>
            <w:vAlign w:val="center"/>
          </w:tcPr>
          <w:p w14:paraId="6585701A">
            <w:pPr>
              <w:jc w:val="center"/>
              <w:rPr>
                <w:rFonts w:ascii="宋体" w:hAnsi="宋体"/>
                <w:szCs w:val="44"/>
              </w:rPr>
            </w:pPr>
          </w:p>
        </w:tc>
        <w:tc>
          <w:tcPr>
            <w:tcW w:w="650" w:type="dxa"/>
            <w:vAlign w:val="center"/>
          </w:tcPr>
          <w:p w14:paraId="5CF3742D">
            <w:pPr>
              <w:jc w:val="center"/>
              <w:rPr>
                <w:rFonts w:ascii="宋体" w:hAnsi="宋体"/>
                <w:szCs w:val="44"/>
              </w:rPr>
            </w:pPr>
          </w:p>
        </w:tc>
        <w:tc>
          <w:tcPr>
            <w:tcW w:w="650" w:type="dxa"/>
            <w:vAlign w:val="center"/>
          </w:tcPr>
          <w:p w14:paraId="17CB5BED">
            <w:pPr>
              <w:jc w:val="center"/>
              <w:rPr>
                <w:rFonts w:ascii="宋体" w:hAnsi="宋体"/>
                <w:szCs w:val="44"/>
              </w:rPr>
            </w:pPr>
          </w:p>
        </w:tc>
        <w:tc>
          <w:tcPr>
            <w:tcW w:w="650" w:type="dxa"/>
            <w:vAlign w:val="center"/>
          </w:tcPr>
          <w:p w14:paraId="1CA2539B">
            <w:pPr>
              <w:jc w:val="center"/>
              <w:rPr>
                <w:rFonts w:ascii="宋体" w:hAnsi="宋体"/>
                <w:szCs w:val="44"/>
              </w:rPr>
            </w:pPr>
          </w:p>
        </w:tc>
        <w:tc>
          <w:tcPr>
            <w:tcW w:w="650" w:type="dxa"/>
            <w:vAlign w:val="center"/>
          </w:tcPr>
          <w:p w14:paraId="539D489D">
            <w:pPr>
              <w:jc w:val="center"/>
              <w:rPr>
                <w:rFonts w:ascii="宋体" w:hAnsi="宋体"/>
                <w:szCs w:val="44"/>
              </w:rPr>
            </w:pPr>
          </w:p>
        </w:tc>
        <w:tc>
          <w:tcPr>
            <w:tcW w:w="650" w:type="dxa"/>
            <w:vAlign w:val="center"/>
          </w:tcPr>
          <w:p w14:paraId="3677CB86">
            <w:pPr>
              <w:jc w:val="center"/>
              <w:rPr>
                <w:rFonts w:ascii="宋体" w:hAnsi="宋体"/>
                <w:szCs w:val="44"/>
              </w:rPr>
            </w:pPr>
          </w:p>
        </w:tc>
        <w:tc>
          <w:tcPr>
            <w:tcW w:w="650" w:type="dxa"/>
            <w:vAlign w:val="center"/>
          </w:tcPr>
          <w:p w14:paraId="39407730">
            <w:pPr>
              <w:jc w:val="center"/>
              <w:rPr>
                <w:rFonts w:ascii="宋体" w:hAnsi="宋体"/>
                <w:szCs w:val="44"/>
              </w:rPr>
            </w:pPr>
          </w:p>
        </w:tc>
        <w:tc>
          <w:tcPr>
            <w:tcW w:w="651" w:type="dxa"/>
            <w:vAlign w:val="center"/>
          </w:tcPr>
          <w:p w14:paraId="3A243850">
            <w:pPr>
              <w:jc w:val="center"/>
              <w:rPr>
                <w:rFonts w:ascii="宋体" w:hAnsi="宋体"/>
                <w:szCs w:val="44"/>
              </w:rPr>
            </w:pPr>
          </w:p>
        </w:tc>
        <w:tc>
          <w:tcPr>
            <w:tcW w:w="818" w:type="dxa"/>
            <w:vAlign w:val="center"/>
          </w:tcPr>
          <w:p w14:paraId="27F3AA06">
            <w:pPr>
              <w:jc w:val="center"/>
              <w:rPr>
                <w:rFonts w:ascii="宋体" w:hAnsi="宋体"/>
                <w:szCs w:val="44"/>
              </w:rPr>
            </w:pPr>
          </w:p>
        </w:tc>
      </w:tr>
      <w:tr w14:paraId="221D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35F161BF">
            <w:pPr>
              <w:jc w:val="center"/>
              <w:rPr>
                <w:rFonts w:ascii="宋体" w:hAnsi="宋体"/>
                <w:szCs w:val="44"/>
              </w:rPr>
            </w:pPr>
            <w:r>
              <w:rPr>
                <w:rFonts w:hint="eastAsia" w:ascii="宋体" w:hAnsi="宋体"/>
                <w:szCs w:val="44"/>
              </w:rPr>
              <w:t>4</w:t>
            </w:r>
          </w:p>
        </w:tc>
        <w:tc>
          <w:tcPr>
            <w:tcW w:w="1293" w:type="dxa"/>
            <w:vAlign w:val="center"/>
          </w:tcPr>
          <w:p w14:paraId="387E0603">
            <w:pPr>
              <w:jc w:val="center"/>
              <w:rPr>
                <w:rFonts w:ascii="宋体" w:hAnsi="宋体"/>
                <w:szCs w:val="44"/>
              </w:rPr>
            </w:pPr>
          </w:p>
        </w:tc>
        <w:tc>
          <w:tcPr>
            <w:tcW w:w="650" w:type="dxa"/>
            <w:vAlign w:val="center"/>
          </w:tcPr>
          <w:p w14:paraId="3E2E634A">
            <w:pPr>
              <w:jc w:val="center"/>
            </w:pPr>
          </w:p>
        </w:tc>
        <w:tc>
          <w:tcPr>
            <w:tcW w:w="650" w:type="dxa"/>
            <w:vAlign w:val="center"/>
          </w:tcPr>
          <w:p w14:paraId="4C7AC427">
            <w:pPr>
              <w:jc w:val="center"/>
              <w:rPr>
                <w:rFonts w:ascii="宋体" w:hAnsi="宋体"/>
                <w:szCs w:val="44"/>
              </w:rPr>
            </w:pPr>
          </w:p>
        </w:tc>
        <w:tc>
          <w:tcPr>
            <w:tcW w:w="650" w:type="dxa"/>
            <w:vAlign w:val="center"/>
          </w:tcPr>
          <w:p w14:paraId="474F5C69">
            <w:pPr>
              <w:jc w:val="center"/>
              <w:rPr>
                <w:rFonts w:ascii="宋体" w:hAnsi="宋体"/>
                <w:szCs w:val="44"/>
              </w:rPr>
            </w:pPr>
          </w:p>
        </w:tc>
        <w:tc>
          <w:tcPr>
            <w:tcW w:w="650" w:type="dxa"/>
            <w:vAlign w:val="center"/>
          </w:tcPr>
          <w:p w14:paraId="1DFE3BDF">
            <w:pPr>
              <w:jc w:val="center"/>
              <w:rPr>
                <w:rFonts w:ascii="宋体" w:hAnsi="宋体"/>
                <w:szCs w:val="44"/>
              </w:rPr>
            </w:pPr>
          </w:p>
        </w:tc>
        <w:tc>
          <w:tcPr>
            <w:tcW w:w="650" w:type="dxa"/>
            <w:vAlign w:val="center"/>
          </w:tcPr>
          <w:p w14:paraId="04F1FCDF">
            <w:pPr>
              <w:jc w:val="center"/>
              <w:rPr>
                <w:rFonts w:ascii="宋体" w:hAnsi="宋体"/>
                <w:szCs w:val="44"/>
              </w:rPr>
            </w:pPr>
          </w:p>
        </w:tc>
        <w:tc>
          <w:tcPr>
            <w:tcW w:w="650" w:type="dxa"/>
            <w:vAlign w:val="center"/>
          </w:tcPr>
          <w:p w14:paraId="3318D935">
            <w:pPr>
              <w:jc w:val="center"/>
              <w:rPr>
                <w:rFonts w:ascii="宋体" w:hAnsi="宋体"/>
                <w:szCs w:val="44"/>
              </w:rPr>
            </w:pPr>
          </w:p>
        </w:tc>
        <w:tc>
          <w:tcPr>
            <w:tcW w:w="650" w:type="dxa"/>
            <w:vAlign w:val="center"/>
          </w:tcPr>
          <w:p w14:paraId="2B928484">
            <w:pPr>
              <w:jc w:val="center"/>
              <w:rPr>
                <w:rFonts w:ascii="宋体" w:hAnsi="宋体"/>
                <w:szCs w:val="44"/>
              </w:rPr>
            </w:pPr>
          </w:p>
        </w:tc>
        <w:tc>
          <w:tcPr>
            <w:tcW w:w="650" w:type="dxa"/>
            <w:vAlign w:val="center"/>
          </w:tcPr>
          <w:p w14:paraId="76D16A05">
            <w:pPr>
              <w:jc w:val="center"/>
              <w:rPr>
                <w:rFonts w:ascii="宋体" w:hAnsi="宋体"/>
                <w:szCs w:val="44"/>
              </w:rPr>
            </w:pPr>
          </w:p>
        </w:tc>
        <w:tc>
          <w:tcPr>
            <w:tcW w:w="651" w:type="dxa"/>
            <w:vAlign w:val="center"/>
          </w:tcPr>
          <w:p w14:paraId="4A455BBF">
            <w:pPr>
              <w:jc w:val="center"/>
              <w:rPr>
                <w:rFonts w:ascii="宋体" w:hAnsi="宋体"/>
                <w:szCs w:val="44"/>
              </w:rPr>
            </w:pPr>
          </w:p>
        </w:tc>
        <w:tc>
          <w:tcPr>
            <w:tcW w:w="818" w:type="dxa"/>
            <w:vAlign w:val="center"/>
          </w:tcPr>
          <w:p w14:paraId="44ED98DA">
            <w:pPr>
              <w:jc w:val="center"/>
              <w:rPr>
                <w:rFonts w:ascii="宋体" w:hAnsi="宋体"/>
                <w:szCs w:val="44"/>
              </w:rPr>
            </w:pPr>
          </w:p>
        </w:tc>
      </w:tr>
      <w:tr w14:paraId="1722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461A6B8C">
            <w:pPr>
              <w:jc w:val="center"/>
              <w:rPr>
                <w:rFonts w:ascii="宋体" w:hAnsi="宋体"/>
                <w:szCs w:val="44"/>
              </w:rPr>
            </w:pPr>
            <w:r>
              <w:rPr>
                <w:rFonts w:hint="eastAsia" w:ascii="宋体" w:hAnsi="宋体"/>
                <w:szCs w:val="44"/>
              </w:rPr>
              <w:t>5</w:t>
            </w:r>
          </w:p>
        </w:tc>
        <w:tc>
          <w:tcPr>
            <w:tcW w:w="1293" w:type="dxa"/>
            <w:vAlign w:val="center"/>
          </w:tcPr>
          <w:p w14:paraId="7BB1A0C7">
            <w:pPr>
              <w:jc w:val="center"/>
              <w:rPr>
                <w:rFonts w:ascii="宋体" w:hAnsi="宋体"/>
                <w:szCs w:val="44"/>
              </w:rPr>
            </w:pPr>
          </w:p>
        </w:tc>
        <w:tc>
          <w:tcPr>
            <w:tcW w:w="650" w:type="dxa"/>
            <w:vAlign w:val="center"/>
          </w:tcPr>
          <w:p w14:paraId="366ECF2B">
            <w:pPr>
              <w:jc w:val="center"/>
            </w:pPr>
          </w:p>
        </w:tc>
        <w:tc>
          <w:tcPr>
            <w:tcW w:w="650" w:type="dxa"/>
            <w:vAlign w:val="center"/>
          </w:tcPr>
          <w:p w14:paraId="6E49AE76">
            <w:pPr>
              <w:jc w:val="center"/>
              <w:rPr>
                <w:rFonts w:ascii="宋体" w:hAnsi="宋体"/>
                <w:szCs w:val="44"/>
              </w:rPr>
            </w:pPr>
          </w:p>
        </w:tc>
        <w:tc>
          <w:tcPr>
            <w:tcW w:w="650" w:type="dxa"/>
            <w:vAlign w:val="center"/>
          </w:tcPr>
          <w:p w14:paraId="1A9CE8D8">
            <w:pPr>
              <w:jc w:val="center"/>
              <w:rPr>
                <w:rFonts w:ascii="宋体" w:hAnsi="宋体"/>
                <w:szCs w:val="44"/>
              </w:rPr>
            </w:pPr>
          </w:p>
        </w:tc>
        <w:tc>
          <w:tcPr>
            <w:tcW w:w="650" w:type="dxa"/>
            <w:vAlign w:val="center"/>
          </w:tcPr>
          <w:p w14:paraId="67F7182C">
            <w:pPr>
              <w:jc w:val="center"/>
              <w:rPr>
                <w:rFonts w:ascii="宋体" w:hAnsi="宋体"/>
                <w:szCs w:val="44"/>
              </w:rPr>
            </w:pPr>
          </w:p>
        </w:tc>
        <w:tc>
          <w:tcPr>
            <w:tcW w:w="650" w:type="dxa"/>
            <w:vAlign w:val="center"/>
          </w:tcPr>
          <w:p w14:paraId="24B22808">
            <w:pPr>
              <w:jc w:val="center"/>
              <w:rPr>
                <w:rFonts w:ascii="宋体" w:hAnsi="宋体"/>
                <w:szCs w:val="44"/>
              </w:rPr>
            </w:pPr>
          </w:p>
        </w:tc>
        <w:tc>
          <w:tcPr>
            <w:tcW w:w="650" w:type="dxa"/>
            <w:vAlign w:val="center"/>
          </w:tcPr>
          <w:p w14:paraId="5D6FB9A8">
            <w:pPr>
              <w:jc w:val="center"/>
              <w:rPr>
                <w:rFonts w:ascii="宋体" w:hAnsi="宋体"/>
                <w:szCs w:val="44"/>
              </w:rPr>
            </w:pPr>
          </w:p>
        </w:tc>
        <w:tc>
          <w:tcPr>
            <w:tcW w:w="650" w:type="dxa"/>
            <w:vAlign w:val="center"/>
          </w:tcPr>
          <w:p w14:paraId="1C184E34">
            <w:pPr>
              <w:jc w:val="center"/>
              <w:rPr>
                <w:rFonts w:ascii="宋体" w:hAnsi="宋体"/>
                <w:szCs w:val="44"/>
              </w:rPr>
            </w:pPr>
          </w:p>
        </w:tc>
        <w:tc>
          <w:tcPr>
            <w:tcW w:w="650" w:type="dxa"/>
            <w:vAlign w:val="center"/>
          </w:tcPr>
          <w:p w14:paraId="4A59D43B">
            <w:pPr>
              <w:jc w:val="center"/>
              <w:rPr>
                <w:rFonts w:ascii="宋体" w:hAnsi="宋体"/>
                <w:szCs w:val="44"/>
              </w:rPr>
            </w:pPr>
          </w:p>
        </w:tc>
        <w:tc>
          <w:tcPr>
            <w:tcW w:w="651" w:type="dxa"/>
            <w:vAlign w:val="center"/>
          </w:tcPr>
          <w:p w14:paraId="348091E1">
            <w:pPr>
              <w:jc w:val="center"/>
              <w:rPr>
                <w:rFonts w:ascii="宋体" w:hAnsi="宋体"/>
                <w:szCs w:val="44"/>
              </w:rPr>
            </w:pPr>
          </w:p>
        </w:tc>
        <w:tc>
          <w:tcPr>
            <w:tcW w:w="818" w:type="dxa"/>
            <w:vAlign w:val="center"/>
          </w:tcPr>
          <w:p w14:paraId="32EB1CA7">
            <w:pPr>
              <w:jc w:val="center"/>
              <w:rPr>
                <w:rFonts w:ascii="宋体" w:hAnsi="宋体"/>
                <w:szCs w:val="44"/>
              </w:rPr>
            </w:pPr>
          </w:p>
        </w:tc>
      </w:tr>
      <w:tr w14:paraId="0358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9E890C3">
            <w:pPr>
              <w:jc w:val="center"/>
              <w:rPr>
                <w:rFonts w:ascii="宋体" w:hAnsi="宋体"/>
                <w:szCs w:val="44"/>
              </w:rPr>
            </w:pPr>
            <w:r>
              <w:rPr>
                <w:rFonts w:hint="eastAsia" w:ascii="宋体" w:hAnsi="宋体"/>
                <w:szCs w:val="44"/>
              </w:rPr>
              <w:t>6</w:t>
            </w:r>
          </w:p>
        </w:tc>
        <w:tc>
          <w:tcPr>
            <w:tcW w:w="1293" w:type="dxa"/>
            <w:vAlign w:val="center"/>
          </w:tcPr>
          <w:p w14:paraId="05F6E70B">
            <w:pPr>
              <w:jc w:val="center"/>
              <w:rPr>
                <w:rFonts w:ascii="宋体" w:hAnsi="宋体"/>
                <w:szCs w:val="44"/>
              </w:rPr>
            </w:pPr>
          </w:p>
        </w:tc>
        <w:tc>
          <w:tcPr>
            <w:tcW w:w="650" w:type="dxa"/>
            <w:vAlign w:val="center"/>
          </w:tcPr>
          <w:p w14:paraId="4332AF8B">
            <w:pPr>
              <w:jc w:val="center"/>
            </w:pPr>
          </w:p>
        </w:tc>
        <w:tc>
          <w:tcPr>
            <w:tcW w:w="650" w:type="dxa"/>
            <w:vAlign w:val="center"/>
          </w:tcPr>
          <w:p w14:paraId="469FD19B">
            <w:pPr>
              <w:jc w:val="center"/>
              <w:rPr>
                <w:rFonts w:ascii="宋体" w:hAnsi="宋体"/>
                <w:szCs w:val="44"/>
              </w:rPr>
            </w:pPr>
          </w:p>
        </w:tc>
        <w:tc>
          <w:tcPr>
            <w:tcW w:w="650" w:type="dxa"/>
            <w:vAlign w:val="center"/>
          </w:tcPr>
          <w:p w14:paraId="0E92F525">
            <w:pPr>
              <w:jc w:val="center"/>
              <w:rPr>
                <w:rFonts w:ascii="宋体" w:hAnsi="宋体"/>
                <w:szCs w:val="44"/>
              </w:rPr>
            </w:pPr>
          </w:p>
        </w:tc>
        <w:tc>
          <w:tcPr>
            <w:tcW w:w="650" w:type="dxa"/>
            <w:vAlign w:val="center"/>
          </w:tcPr>
          <w:p w14:paraId="750906AA">
            <w:pPr>
              <w:jc w:val="center"/>
              <w:rPr>
                <w:rFonts w:ascii="宋体" w:hAnsi="宋体"/>
                <w:szCs w:val="44"/>
              </w:rPr>
            </w:pPr>
          </w:p>
        </w:tc>
        <w:tc>
          <w:tcPr>
            <w:tcW w:w="650" w:type="dxa"/>
            <w:vAlign w:val="center"/>
          </w:tcPr>
          <w:p w14:paraId="490DF7F2">
            <w:pPr>
              <w:jc w:val="center"/>
              <w:rPr>
                <w:rFonts w:ascii="宋体" w:hAnsi="宋体"/>
                <w:szCs w:val="44"/>
              </w:rPr>
            </w:pPr>
          </w:p>
        </w:tc>
        <w:tc>
          <w:tcPr>
            <w:tcW w:w="650" w:type="dxa"/>
            <w:vAlign w:val="center"/>
          </w:tcPr>
          <w:p w14:paraId="626448DA">
            <w:pPr>
              <w:jc w:val="center"/>
              <w:rPr>
                <w:rFonts w:ascii="宋体" w:hAnsi="宋体"/>
                <w:szCs w:val="44"/>
              </w:rPr>
            </w:pPr>
          </w:p>
        </w:tc>
        <w:tc>
          <w:tcPr>
            <w:tcW w:w="650" w:type="dxa"/>
            <w:vAlign w:val="center"/>
          </w:tcPr>
          <w:p w14:paraId="25CF4A00">
            <w:pPr>
              <w:jc w:val="center"/>
              <w:rPr>
                <w:rFonts w:ascii="宋体" w:hAnsi="宋体"/>
                <w:szCs w:val="44"/>
              </w:rPr>
            </w:pPr>
          </w:p>
        </w:tc>
        <w:tc>
          <w:tcPr>
            <w:tcW w:w="650" w:type="dxa"/>
            <w:vAlign w:val="center"/>
          </w:tcPr>
          <w:p w14:paraId="008B39D8">
            <w:pPr>
              <w:jc w:val="center"/>
              <w:rPr>
                <w:rFonts w:ascii="宋体" w:hAnsi="宋体"/>
                <w:szCs w:val="44"/>
              </w:rPr>
            </w:pPr>
          </w:p>
        </w:tc>
        <w:tc>
          <w:tcPr>
            <w:tcW w:w="651" w:type="dxa"/>
            <w:vAlign w:val="center"/>
          </w:tcPr>
          <w:p w14:paraId="283F157F">
            <w:pPr>
              <w:jc w:val="center"/>
              <w:rPr>
                <w:rFonts w:ascii="宋体" w:hAnsi="宋体"/>
                <w:szCs w:val="44"/>
              </w:rPr>
            </w:pPr>
          </w:p>
        </w:tc>
        <w:tc>
          <w:tcPr>
            <w:tcW w:w="818" w:type="dxa"/>
            <w:vAlign w:val="center"/>
          </w:tcPr>
          <w:p w14:paraId="20541EB4">
            <w:pPr>
              <w:jc w:val="center"/>
              <w:rPr>
                <w:rFonts w:ascii="宋体" w:hAnsi="宋体"/>
                <w:szCs w:val="44"/>
              </w:rPr>
            </w:pPr>
          </w:p>
        </w:tc>
      </w:tr>
      <w:tr w14:paraId="458C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3232524">
            <w:pPr>
              <w:jc w:val="center"/>
              <w:rPr>
                <w:rFonts w:ascii="宋体" w:hAnsi="宋体"/>
                <w:szCs w:val="44"/>
              </w:rPr>
            </w:pPr>
            <w:r>
              <w:rPr>
                <w:rFonts w:hint="eastAsia" w:ascii="宋体" w:hAnsi="宋体"/>
                <w:szCs w:val="44"/>
              </w:rPr>
              <w:t>…</w:t>
            </w:r>
          </w:p>
        </w:tc>
        <w:tc>
          <w:tcPr>
            <w:tcW w:w="1293" w:type="dxa"/>
            <w:vAlign w:val="center"/>
          </w:tcPr>
          <w:p w14:paraId="37DDD95B">
            <w:pPr>
              <w:rPr>
                <w:rFonts w:ascii="宋体" w:hAnsi="宋体"/>
                <w:szCs w:val="21"/>
              </w:rPr>
            </w:pPr>
          </w:p>
        </w:tc>
        <w:tc>
          <w:tcPr>
            <w:tcW w:w="650" w:type="dxa"/>
            <w:vAlign w:val="center"/>
          </w:tcPr>
          <w:p w14:paraId="3F083C8D">
            <w:pPr>
              <w:jc w:val="center"/>
            </w:pPr>
          </w:p>
        </w:tc>
        <w:tc>
          <w:tcPr>
            <w:tcW w:w="650" w:type="dxa"/>
            <w:vAlign w:val="center"/>
          </w:tcPr>
          <w:p w14:paraId="46C17082">
            <w:pPr>
              <w:jc w:val="center"/>
              <w:rPr>
                <w:rFonts w:ascii="宋体" w:hAnsi="宋体"/>
                <w:szCs w:val="44"/>
              </w:rPr>
            </w:pPr>
          </w:p>
        </w:tc>
        <w:tc>
          <w:tcPr>
            <w:tcW w:w="650" w:type="dxa"/>
            <w:vAlign w:val="center"/>
          </w:tcPr>
          <w:p w14:paraId="0F52B139">
            <w:pPr>
              <w:jc w:val="center"/>
              <w:rPr>
                <w:rFonts w:ascii="宋体" w:hAnsi="宋体"/>
                <w:szCs w:val="44"/>
              </w:rPr>
            </w:pPr>
          </w:p>
        </w:tc>
        <w:tc>
          <w:tcPr>
            <w:tcW w:w="650" w:type="dxa"/>
            <w:vAlign w:val="center"/>
          </w:tcPr>
          <w:p w14:paraId="5C41A47E">
            <w:pPr>
              <w:jc w:val="center"/>
              <w:rPr>
                <w:rFonts w:ascii="宋体" w:hAnsi="宋体"/>
                <w:szCs w:val="44"/>
              </w:rPr>
            </w:pPr>
          </w:p>
        </w:tc>
        <w:tc>
          <w:tcPr>
            <w:tcW w:w="650" w:type="dxa"/>
            <w:vAlign w:val="center"/>
          </w:tcPr>
          <w:p w14:paraId="7CD3743D">
            <w:pPr>
              <w:jc w:val="center"/>
              <w:rPr>
                <w:rFonts w:ascii="宋体" w:hAnsi="宋体"/>
                <w:szCs w:val="44"/>
              </w:rPr>
            </w:pPr>
          </w:p>
        </w:tc>
        <w:tc>
          <w:tcPr>
            <w:tcW w:w="650" w:type="dxa"/>
            <w:vAlign w:val="center"/>
          </w:tcPr>
          <w:p w14:paraId="643706C9">
            <w:pPr>
              <w:jc w:val="center"/>
              <w:rPr>
                <w:rFonts w:ascii="宋体" w:hAnsi="宋体"/>
                <w:szCs w:val="44"/>
              </w:rPr>
            </w:pPr>
          </w:p>
        </w:tc>
        <w:tc>
          <w:tcPr>
            <w:tcW w:w="650" w:type="dxa"/>
            <w:vAlign w:val="center"/>
          </w:tcPr>
          <w:p w14:paraId="725513AD">
            <w:pPr>
              <w:jc w:val="center"/>
              <w:rPr>
                <w:rFonts w:ascii="宋体" w:hAnsi="宋体"/>
                <w:szCs w:val="44"/>
              </w:rPr>
            </w:pPr>
          </w:p>
        </w:tc>
        <w:tc>
          <w:tcPr>
            <w:tcW w:w="650" w:type="dxa"/>
            <w:vAlign w:val="center"/>
          </w:tcPr>
          <w:p w14:paraId="36A04CDF">
            <w:pPr>
              <w:jc w:val="center"/>
              <w:rPr>
                <w:rFonts w:ascii="宋体" w:hAnsi="宋体"/>
                <w:szCs w:val="44"/>
              </w:rPr>
            </w:pPr>
          </w:p>
        </w:tc>
        <w:tc>
          <w:tcPr>
            <w:tcW w:w="651" w:type="dxa"/>
            <w:vAlign w:val="center"/>
          </w:tcPr>
          <w:p w14:paraId="5486B798">
            <w:pPr>
              <w:jc w:val="center"/>
              <w:rPr>
                <w:rFonts w:ascii="宋体" w:hAnsi="宋体"/>
                <w:szCs w:val="44"/>
              </w:rPr>
            </w:pPr>
          </w:p>
        </w:tc>
        <w:tc>
          <w:tcPr>
            <w:tcW w:w="818" w:type="dxa"/>
            <w:vAlign w:val="center"/>
          </w:tcPr>
          <w:p w14:paraId="3D6953B2">
            <w:pPr>
              <w:jc w:val="center"/>
              <w:rPr>
                <w:rFonts w:ascii="宋体" w:hAnsi="宋体"/>
                <w:szCs w:val="44"/>
              </w:rPr>
            </w:pPr>
          </w:p>
        </w:tc>
      </w:tr>
      <w:tr w14:paraId="5DD8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7" w:type="dxa"/>
            <w:gridSpan w:val="12"/>
            <w:vAlign w:val="center"/>
          </w:tcPr>
          <w:p w14:paraId="717AF33D">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57BEF643">
            <w:pPr>
              <w:jc w:val="left"/>
              <w:rPr>
                <w:rFonts w:ascii="宋体" w:hAnsi="宋体"/>
                <w:szCs w:val="44"/>
              </w:rPr>
            </w:pPr>
          </w:p>
          <w:p w14:paraId="7CC8E79F">
            <w:pPr>
              <w:jc w:val="left"/>
              <w:rPr>
                <w:rFonts w:ascii="宋体" w:hAnsi="宋体"/>
                <w:szCs w:val="44"/>
              </w:rPr>
            </w:pPr>
          </w:p>
          <w:p w14:paraId="2A9558E8">
            <w:pPr>
              <w:jc w:val="left"/>
              <w:rPr>
                <w:rFonts w:ascii="宋体" w:hAnsi="宋体"/>
                <w:szCs w:val="44"/>
              </w:rPr>
            </w:pPr>
          </w:p>
          <w:p w14:paraId="5D8874AF">
            <w:pPr>
              <w:jc w:val="left"/>
              <w:rPr>
                <w:rFonts w:ascii="宋体" w:hAnsi="宋体"/>
                <w:szCs w:val="44"/>
              </w:rPr>
            </w:pPr>
          </w:p>
          <w:p w14:paraId="1162D073">
            <w:pPr>
              <w:jc w:val="left"/>
              <w:rPr>
                <w:rFonts w:ascii="宋体" w:hAnsi="宋体"/>
                <w:szCs w:val="44"/>
              </w:rPr>
            </w:pPr>
          </w:p>
          <w:p w14:paraId="154F5913">
            <w:pPr>
              <w:jc w:val="left"/>
              <w:rPr>
                <w:rFonts w:ascii="宋体" w:hAnsi="宋体"/>
                <w:szCs w:val="44"/>
              </w:rPr>
            </w:pPr>
          </w:p>
          <w:p w14:paraId="24089254">
            <w:pPr>
              <w:jc w:val="center"/>
              <w:rPr>
                <w:rFonts w:ascii="宋体" w:hAnsi="宋体"/>
                <w:szCs w:val="44"/>
              </w:rPr>
            </w:pPr>
          </w:p>
        </w:tc>
      </w:tr>
    </w:tbl>
    <w:p w14:paraId="7ED0FB3A">
      <w:pPr>
        <w:rPr>
          <w:rFonts w:ascii="宋体" w:hAnsi="宋体"/>
          <w:szCs w:val="44"/>
        </w:rPr>
      </w:pPr>
      <w:r>
        <w:rPr>
          <w:rFonts w:hint="eastAsia" w:ascii="宋体" w:hAnsi="宋体"/>
          <w:szCs w:val="44"/>
        </w:rPr>
        <w:t xml:space="preserve">         </w:t>
      </w:r>
      <w:r>
        <w:rPr>
          <w:rFonts w:ascii="宋体" w:hAnsi="宋体"/>
          <w:szCs w:val="44"/>
        </w:rPr>
        <w:t xml:space="preserve">                                             </w:t>
      </w:r>
      <w:r>
        <w:rPr>
          <w:rFonts w:hint="eastAsia" w:ascii="宋体" w:hAnsi="宋体"/>
          <w:szCs w:val="44"/>
        </w:rPr>
        <w:t>日期：    年    月    日</w:t>
      </w:r>
    </w:p>
    <w:p w14:paraId="7ECA014F">
      <w:pPr>
        <w:spacing w:after="240" w:afterLines="100"/>
        <w:rPr>
          <w:rFonts w:ascii="宋体" w:hAnsi="宋体"/>
          <w:szCs w:val="44"/>
        </w:rPr>
      </w:pPr>
    </w:p>
    <w:p w14:paraId="19250EB4">
      <w:pPr>
        <w:rPr>
          <w:rFonts w:ascii="宋体" w:hAnsi="宋体"/>
          <w:szCs w:val="44"/>
        </w:rPr>
      </w:pPr>
      <w:r>
        <w:rPr>
          <w:rFonts w:ascii="宋体" w:hAnsi="宋体"/>
          <w:szCs w:val="44"/>
        </w:rPr>
        <w:br w:type="page"/>
      </w:r>
    </w:p>
    <w:p w14:paraId="1DD0BC69">
      <w:pPr>
        <w:pStyle w:val="25"/>
      </w:pPr>
      <w:bookmarkStart w:id="683" w:name="_Toc165804453"/>
      <w:bookmarkStart w:id="684" w:name="_Toc256000136"/>
      <w:r>
        <w:rPr>
          <w:rFonts w:hint="eastAsia"/>
        </w:rPr>
        <w:t>附表A-7：技术标评审记录表（合格性）</w:t>
      </w:r>
      <w:bookmarkEnd w:id="683"/>
      <w:bookmarkEnd w:id="684"/>
    </w:p>
    <w:p w14:paraId="0C33905C">
      <w:pPr>
        <w:spacing w:after="240" w:afterLines="100"/>
        <w:jc w:val="center"/>
        <w:rPr>
          <w:rFonts w:ascii="黑体" w:hAnsi="宋体" w:eastAsia="黑体"/>
          <w:sz w:val="36"/>
          <w:szCs w:val="36"/>
        </w:rPr>
      </w:pPr>
    </w:p>
    <w:p w14:paraId="2181D0BC">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w:t>
      </w:r>
    </w:p>
    <w:p w14:paraId="106554C0">
      <w:pPr>
        <w:spacing w:line="400" w:lineRule="exact"/>
        <w:jc w:val="center"/>
        <w:rPr>
          <w:rFonts w:ascii="宋体" w:hAnsi="宋体"/>
          <w:szCs w:val="44"/>
        </w:rPr>
      </w:pPr>
      <w:r>
        <w:rPr>
          <w:rFonts w:hint="eastAsia" w:ascii="黑体" w:hAnsi="宋体" w:eastAsia="黑体"/>
          <w:sz w:val="36"/>
          <w:szCs w:val="36"/>
        </w:rPr>
        <w:t>（适用于经评审的最低投标价法）</w:t>
      </w:r>
    </w:p>
    <w:p w14:paraId="0ED3C5F4">
      <w:pPr>
        <w:rPr>
          <w:rFonts w:ascii="宋体" w:hAnsi="宋体"/>
          <w:szCs w:val="44"/>
        </w:rPr>
      </w:pPr>
      <w:r>
        <w:rPr>
          <w:rFonts w:hint="eastAsia" w:ascii="宋体" w:hAnsi="宋体"/>
          <w:szCs w:val="44"/>
        </w:rPr>
        <w:t>标段名称：</w:t>
      </w:r>
    </w:p>
    <w:p w14:paraId="6E42BC5C">
      <w:pPr>
        <w:rPr>
          <w:rFonts w:ascii="宋体" w:hAnsi="宋体"/>
          <w:szCs w:val="44"/>
        </w:rPr>
      </w:pPr>
      <w:r>
        <w:rPr>
          <w:rFonts w:hint="eastAsia"/>
          <w:szCs w:val="44"/>
        </w:rPr>
        <w:t>标段唯一标识码：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6274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02CF3E14">
            <w:pPr>
              <w:jc w:val="center"/>
              <w:rPr>
                <w:rFonts w:ascii="宋体" w:hAnsi="宋体"/>
                <w:b/>
                <w:bCs/>
                <w:szCs w:val="44"/>
              </w:rPr>
            </w:pPr>
            <w:r>
              <w:rPr>
                <w:rFonts w:hint="eastAsia" w:ascii="宋体" w:hAnsi="宋体"/>
                <w:b/>
                <w:bCs/>
                <w:szCs w:val="44"/>
              </w:rPr>
              <w:t>序号</w:t>
            </w:r>
          </w:p>
        </w:tc>
        <w:tc>
          <w:tcPr>
            <w:tcW w:w="1340" w:type="dxa"/>
            <w:vMerge w:val="restart"/>
            <w:vAlign w:val="center"/>
          </w:tcPr>
          <w:p w14:paraId="3836FF92">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6A121513">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72FF98A6">
            <w:pPr>
              <w:jc w:val="center"/>
              <w:rPr>
                <w:rFonts w:ascii="宋体" w:hAnsi="宋体"/>
                <w:b/>
                <w:bCs/>
                <w:szCs w:val="44"/>
              </w:rPr>
            </w:pPr>
            <w:r>
              <w:rPr>
                <w:rFonts w:ascii="宋体" w:hAnsi="宋体"/>
                <w:b/>
                <w:bCs/>
                <w:szCs w:val="21"/>
              </w:rPr>
              <w:t>评审结论</w:t>
            </w:r>
          </w:p>
        </w:tc>
      </w:tr>
      <w:tr w14:paraId="7F8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531CD14E">
            <w:pPr>
              <w:jc w:val="center"/>
              <w:rPr>
                <w:rFonts w:ascii="宋体" w:hAnsi="宋体"/>
                <w:szCs w:val="44"/>
              </w:rPr>
            </w:pPr>
          </w:p>
        </w:tc>
        <w:tc>
          <w:tcPr>
            <w:tcW w:w="1340" w:type="dxa"/>
            <w:vMerge w:val="continue"/>
          </w:tcPr>
          <w:p w14:paraId="524600A0">
            <w:pPr>
              <w:jc w:val="center"/>
              <w:rPr>
                <w:rFonts w:ascii="宋体" w:hAnsi="宋体"/>
                <w:szCs w:val="44"/>
              </w:rPr>
            </w:pPr>
          </w:p>
        </w:tc>
        <w:tc>
          <w:tcPr>
            <w:tcW w:w="650" w:type="dxa"/>
            <w:vAlign w:val="center"/>
          </w:tcPr>
          <w:p w14:paraId="096BB710">
            <w:pPr>
              <w:jc w:val="center"/>
              <w:rPr>
                <w:rFonts w:ascii="宋体" w:hAnsi="宋体"/>
                <w:szCs w:val="44"/>
              </w:rPr>
            </w:pPr>
          </w:p>
        </w:tc>
        <w:tc>
          <w:tcPr>
            <w:tcW w:w="650" w:type="dxa"/>
            <w:vAlign w:val="center"/>
          </w:tcPr>
          <w:p w14:paraId="2DAED057">
            <w:pPr>
              <w:jc w:val="center"/>
              <w:rPr>
                <w:rFonts w:ascii="宋体" w:hAnsi="宋体"/>
                <w:szCs w:val="44"/>
              </w:rPr>
            </w:pPr>
          </w:p>
        </w:tc>
        <w:tc>
          <w:tcPr>
            <w:tcW w:w="650" w:type="dxa"/>
            <w:vAlign w:val="center"/>
          </w:tcPr>
          <w:p w14:paraId="56663406">
            <w:pPr>
              <w:jc w:val="center"/>
              <w:rPr>
                <w:rFonts w:ascii="宋体" w:hAnsi="宋体"/>
                <w:szCs w:val="44"/>
              </w:rPr>
            </w:pPr>
          </w:p>
        </w:tc>
        <w:tc>
          <w:tcPr>
            <w:tcW w:w="650" w:type="dxa"/>
            <w:vAlign w:val="center"/>
          </w:tcPr>
          <w:p w14:paraId="19A93E0E">
            <w:pPr>
              <w:jc w:val="center"/>
              <w:rPr>
                <w:rFonts w:ascii="宋体" w:hAnsi="宋体"/>
                <w:szCs w:val="44"/>
              </w:rPr>
            </w:pPr>
          </w:p>
        </w:tc>
        <w:tc>
          <w:tcPr>
            <w:tcW w:w="650" w:type="dxa"/>
            <w:vAlign w:val="center"/>
          </w:tcPr>
          <w:p w14:paraId="67BB145F">
            <w:pPr>
              <w:jc w:val="center"/>
              <w:rPr>
                <w:rFonts w:ascii="宋体" w:hAnsi="宋体"/>
                <w:szCs w:val="44"/>
              </w:rPr>
            </w:pPr>
          </w:p>
        </w:tc>
        <w:tc>
          <w:tcPr>
            <w:tcW w:w="650" w:type="dxa"/>
            <w:vAlign w:val="center"/>
          </w:tcPr>
          <w:p w14:paraId="674A5CFB">
            <w:pPr>
              <w:jc w:val="center"/>
              <w:rPr>
                <w:rFonts w:ascii="宋体" w:hAnsi="宋体"/>
                <w:szCs w:val="44"/>
              </w:rPr>
            </w:pPr>
          </w:p>
        </w:tc>
        <w:tc>
          <w:tcPr>
            <w:tcW w:w="650" w:type="dxa"/>
            <w:vAlign w:val="center"/>
          </w:tcPr>
          <w:p w14:paraId="6070C964">
            <w:pPr>
              <w:jc w:val="center"/>
              <w:rPr>
                <w:rFonts w:ascii="宋体" w:hAnsi="宋体"/>
                <w:szCs w:val="44"/>
              </w:rPr>
            </w:pPr>
          </w:p>
        </w:tc>
        <w:tc>
          <w:tcPr>
            <w:tcW w:w="650" w:type="dxa"/>
            <w:vAlign w:val="center"/>
          </w:tcPr>
          <w:p w14:paraId="6ABD503D">
            <w:pPr>
              <w:jc w:val="center"/>
              <w:rPr>
                <w:rFonts w:ascii="宋体" w:hAnsi="宋体"/>
                <w:szCs w:val="44"/>
              </w:rPr>
            </w:pPr>
          </w:p>
        </w:tc>
        <w:tc>
          <w:tcPr>
            <w:tcW w:w="651" w:type="dxa"/>
            <w:vAlign w:val="center"/>
          </w:tcPr>
          <w:p w14:paraId="2359DCBA">
            <w:pPr>
              <w:jc w:val="center"/>
              <w:rPr>
                <w:rFonts w:ascii="宋体" w:hAnsi="宋体"/>
                <w:szCs w:val="44"/>
              </w:rPr>
            </w:pPr>
          </w:p>
        </w:tc>
        <w:tc>
          <w:tcPr>
            <w:tcW w:w="818" w:type="dxa"/>
            <w:vMerge w:val="continue"/>
            <w:vAlign w:val="center"/>
          </w:tcPr>
          <w:p w14:paraId="0366181C">
            <w:pPr>
              <w:jc w:val="center"/>
              <w:rPr>
                <w:rFonts w:ascii="宋体" w:hAnsi="宋体"/>
                <w:szCs w:val="44"/>
              </w:rPr>
            </w:pPr>
          </w:p>
        </w:tc>
      </w:tr>
      <w:tr w14:paraId="0782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410A42A1">
            <w:pPr>
              <w:jc w:val="center"/>
              <w:rPr>
                <w:rFonts w:ascii="宋体" w:hAnsi="宋体"/>
                <w:szCs w:val="44"/>
              </w:rPr>
            </w:pPr>
            <w:r>
              <w:rPr>
                <w:rFonts w:hint="eastAsia" w:ascii="宋体" w:hAnsi="宋体"/>
                <w:szCs w:val="44"/>
              </w:rPr>
              <w:t>1</w:t>
            </w:r>
          </w:p>
        </w:tc>
        <w:tc>
          <w:tcPr>
            <w:tcW w:w="1340" w:type="dxa"/>
            <w:vAlign w:val="center"/>
          </w:tcPr>
          <w:p w14:paraId="55BAB6D4">
            <w:pPr>
              <w:jc w:val="center"/>
              <w:rPr>
                <w:rFonts w:ascii="宋体" w:hAnsi="宋体"/>
                <w:szCs w:val="21"/>
              </w:rPr>
            </w:pPr>
          </w:p>
        </w:tc>
        <w:tc>
          <w:tcPr>
            <w:tcW w:w="650" w:type="dxa"/>
            <w:vAlign w:val="center"/>
          </w:tcPr>
          <w:p w14:paraId="0870F385">
            <w:pPr>
              <w:jc w:val="center"/>
              <w:rPr>
                <w:rFonts w:ascii="宋体" w:hAnsi="宋体"/>
                <w:szCs w:val="21"/>
              </w:rPr>
            </w:pPr>
          </w:p>
        </w:tc>
        <w:tc>
          <w:tcPr>
            <w:tcW w:w="650" w:type="dxa"/>
            <w:vAlign w:val="center"/>
          </w:tcPr>
          <w:p w14:paraId="677CD3C3">
            <w:pPr>
              <w:jc w:val="center"/>
              <w:rPr>
                <w:rFonts w:ascii="宋体" w:hAnsi="宋体"/>
                <w:szCs w:val="44"/>
              </w:rPr>
            </w:pPr>
          </w:p>
        </w:tc>
        <w:tc>
          <w:tcPr>
            <w:tcW w:w="650" w:type="dxa"/>
            <w:vAlign w:val="center"/>
          </w:tcPr>
          <w:p w14:paraId="71D1B1D3">
            <w:pPr>
              <w:jc w:val="center"/>
              <w:rPr>
                <w:rFonts w:ascii="宋体" w:hAnsi="宋体"/>
                <w:szCs w:val="44"/>
              </w:rPr>
            </w:pPr>
          </w:p>
        </w:tc>
        <w:tc>
          <w:tcPr>
            <w:tcW w:w="650" w:type="dxa"/>
            <w:vAlign w:val="center"/>
          </w:tcPr>
          <w:p w14:paraId="4989CAD0">
            <w:pPr>
              <w:jc w:val="center"/>
              <w:rPr>
                <w:rFonts w:ascii="宋体" w:hAnsi="宋体"/>
                <w:szCs w:val="44"/>
              </w:rPr>
            </w:pPr>
          </w:p>
        </w:tc>
        <w:tc>
          <w:tcPr>
            <w:tcW w:w="650" w:type="dxa"/>
            <w:vAlign w:val="center"/>
          </w:tcPr>
          <w:p w14:paraId="3231D370">
            <w:pPr>
              <w:jc w:val="center"/>
              <w:rPr>
                <w:rFonts w:ascii="宋体" w:hAnsi="宋体"/>
                <w:szCs w:val="44"/>
              </w:rPr>
            </w:pPr>
          </w:p>
        </w:tc>
        <w:tc>
          <w:tcPr>
            <w:tcW w:w="650" w:type="dxa"/>
            <w:vAlign w:val="center"/>
          </w:tcPr>
          <w:p w14:paraId="29F5D898">
            <w:pPr>
              <w:jc w:val="center"/>
              <w:rPr>
                <w:rFonts w:ascii="宋体" w:hAnsi="宋体"/>
                <w:szCs w:val="44"/>
              </w:rPr>
            </w:pPr>
          </w:p>
        </w:tc>
        <w:tc>
          <w:tcPr>
            <w:tcW w:w="650" w:type="dxa"/>
            <w:vAlign w:val="center"/>
          </w:tcPr>
          <w:p w14:paraId="0EB3C29A">
            <w:pPr>
              <w:jc w:val="center"/>
              <w:rPr>
                <w:rFonts w:ascii="宋体" w:hAnsi="宋体"/>
                <w:szCs w:val="44"/>
              </w:rPr>
            </w:pPr>
          </w:p>
        </w:tc>
        <w:tc>
          <w:tcPr>
            <w:tcW w:w="650" w:type="dxa"/>
            <w:vAlign w:val="center"/>
          </w:tcPr>
          <w:p w14:paraId="5FD6913A">
            <w:pPr>
              <w:jc w:val="center"/>
              <w:rPr>
                <w:rFonts w:ascii="宋体" w:hAnsi="宋体"/>
                <w:szCs w:val="44"/>
              </w:rPr>
            </w:pPr>
          </w:p>
        </w:tc>
        <w:tc>
          <w:tcPr>
            <w:tcW w:w="651" w:type="dxa"/>
            <w:vAlign w:val="center"/>
          </w:tcPr>
          <w:p w14:paraId="3B624AF4">
            <w:pPr>
              <w:jc w:val="center"/>
              <w:rPr>
                <w:rFonts w:ascii="宋体" w:hAnsi="宋体"/>
                <w:szCs w:val="44"/>
              </w:rPr>
            </w:pPr>
          </w:p>
        </w:tc>
        <w:tc>
          <w:tcPr>
            <w:tcW w:w="818" w:type="dxa"/>
            <w:vAlign w:val="center"/>
          </w:tcPr>
          <w:p w14:paraId="58C3E49C">
            <w:pPr>
              <w:jc w:val="center"/>
              <w:rPr>
                <w:rFonts w:ascii="宋体" w:hAnsi="宋体"/>
                <w:szCs w:val="44"/>
              </w:rPr>
            </w:pPr>
          </w:p>
        </w:tc>
      </w:tr>
      <w:tr w14:paraId="79FD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350865BD">
            <w:pPr>
              <w:jc w:val="center"/>
              <w:rPr>
                <w:rFonts w:ascii="宋体" w:hAnsi="宋体"/>
                <w:szCs w:val="44"/>
              </w:rPr>
            </w:pPr>
            <w:r>
              <w:rPr>
                <w:rFonts w:hint="eastAsia" w:ascii="宋体" w:hAnsi="宋体"/>
                <w:szCs w:val="44"/>
              </w:rPr>
              <w:t>2</w:t>
            </w:r>
          </w:p>
        </w:tc>
        <w:tc>
          <w:tcPr>
            <w:tcW w:w="1340" w:type="dxa"/>
            <w:vAlign w:val="center"/>
          </w:tcPr>
          <w:p w14:paraId="0E53B399">
            <w:pPr>
              <w:jc w:val="center"/>
              <w:rPr>
                <w:rFonts w:ascii="宋体" w:hAnsi="宋体"/>
                <w:szCs w:val="44"/>
              </w:rPr>
            </w:pPr>
          </w:p>
        </w:tc>
        <w:tc>
          <w:tcPr>
            <w:tcW w:w="650" w:type="dxa"/>
            <w:vAlign w:val="center"/>
          </w:tcPr>
          <w:p w14:paraId="61490A2B">
            <w:pPr>
              <w:jc w:val="center"/>
            </w:pPr>
          </w:p>
        </w:tc>
        <w:tc>
          <w:tcPr>
            <w:tcW w:w="650" w:type="dxa"/>
            <w:vAlign w:val="center"/>
          </w:tcPr>
          <w:p w14:paraId="253EEE9C">
            <w:pPr>
              <w:jc w:val="center"/>
              <w:rPr>
                <w:rFonts w:ascii="宋体" w:hAnsi="宋体"/>
                <w:szCs w:val="44"/>
              </w:rPr>
            </w:pPr>
          </w:p>
        </w:tc>
        <w:tc>
          <w:tcPr>
            <w:tcW w:w="650" w:type="dxa"/>
            <w:vAlign w:val="center"/>
          </w:tcPr>
          <w:p w14:paraId="10FF252D">
            <w:pPr>
              <w:jc w:val="center"/>
              <w:rPr>
                <w:rFonts w:ascii="宋体" w:hAnsi="宋体"/>
                <w:szCs w:val="44"/>
              </w:rPr>
            </w:pPr>
          </w:p>
        </w:tc>
        <w:tc>
          <w:tcPr>
            <w:tcW w:w="650" w:type="dxa"/>
            <w:vAlign w:val="center"/>
          </w:tcPr>
          <w:p w14:paraId="32A0314C">
            <w:pPr>
              <w:jc w:val="center"/>
              <w:rPr>
                <w:rFonts w:ascii="宋体" w:hAnsi="宋体"/>
                <w:szCs w:val="44"/>
              </w:rPr>
            </w:pPr>
          </w:p>
        </w:tc>
        <w:tc>
          <w:tcPr>
            <w:tcW w:w="650" w:type="dxa"/>
            <w:vAlign w:val="center"/>
          </w:tcPr>
          <w:p w14:paraId="2AA6F407">
            <w:pPr>
              <w:jc w:val="center"/>
              <w:rPr>
                <w:rFonts w:ascii="宋体" w:hAnsi="宋体"/>
                <w:szCs w:val="44"/>
              </w:rPr>
            </w:pPr>
          </w:p>
        </w:tc>
        <w:tc>
          <w:tcPr>
            <w:tcW w:w="650" w:type="dxa"/>
            <w:vAlign w:val="center"/>
          </w:tcPr>
          <w:p w14:paraId="377D4B6E">
            <w:pPr>
              <w:jc w:val="center"/>
              <w:rPr>
                <w:rFonts w:ascii="宋体" w:hAnsi="宋体"/>
                <w:szCs w:val="44"/>
              </w:rPr>
            </w:pPr>
          </w:p>
        </w:tc>
        <w:tc>
          <w:tcPr>
            <w:tcW w:w="650" w:type="dxa"/>
            <w:vAlign w:val="center"/>
          </w:tcPr>
          <w:p w14:paraId="0F1FC7D1">
            <w:pPr>
              <w:jc w:val="center"/>
              <w:rPr>
                <w:rFonts w:ascii="宋体" w:hAnsi="宋体"/>
                <w:szCs w:val="44"/>
              </w:rPr>
            </w:pPr>
          </w:p>
        </w:tc>
        <w:tc>
          <w:tcPr>
            <w:tcW w:w="650" w:type="dxa"/>
            <w:vAlign w:val="center"/>
          </w:tcPr>
          <w:p w14:paraId="77239DAC">
            <w:pPr>
              <w:jc w:val="center"/>
              <w:rPr>
                <w:rFonts w:ascii="宋体" w:hAnsi="宋体"/>
                <w:szCs w:val="44"/>
              </w:rPr>
            </w:pPr>
          </w:p>
        </w:tc>
        <w:tc>
          <w:tcPr>
            <w:tcW w:w="651" w:type="dxa"/>
            <w:vAlign w:val="center"/>
          </w:tcPr>
          <w:p w14:paraId="309F0FE5">
            <w:pPr>
              <w:jc w:val="center"/>
              <w:rPr>
                <w:rFonts w:ascii="宋体" w:hAnsi="宋体"/>
                <w:szCs w:val="44"/>
              </w:rPr>
            </w:pPr>
          </w:p>
        </w:tc>
        <w:tc>
          <w:tcPr>
            <w:tcW w:w="818" w:type="dxa"/>
            <w:vAlign w:val="center"/>
          </w:tcPr>
          <w:p w14:paraId="4FD70C3B">
            <w:pPr>
              <w:jc w:val="center"/>
              <w:rPr>
                <w:rFonts w:ascii="宋体" w:hAnsi="宋体"/>
                <w:szCs w:val="44"/>
              </w:rPr>
            </w:pPr>
          </w:p>
        </w:tc>
      </w:tr>
      <w:tr w14:paraId="3555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E732F03">
            <w:pPr>
              <w:jc w:val="center"/>
              <w:rPr>
                <w:rFonts w:ascii="宋体" w:hAnsi="宋体"/>
                <w:szCs w:val="44"/>
              </w:rPr>
            </w:pPr>
            <w:r>
              <w:rPr>
                <w:rFonts w:hint="eastAsia" w:ascii="宋体" w:hAnsi="宋体"/>
                <w:szCs w:val="44"/>
              </w:rPr>
              <w:t>3</w:t>
            </w:r>
          </w:p>
        </w:tc>
        <w:tc>
          <w:tcPr>
            <w:tcW w:w="1340" w:type="dxa"/>
            <w:vAlign w:val="center"/>
          </w:tcPr>
          <w:p w14:paraId="5E0662B8">
            <w:pPr>
              <w:jc w:val="center"/>
              <w:rPr>
                <w:rFonts w:ascii="宋体" w:hAnsi="宋体"/>
                <w:szCs w:val="44"/>
              </w:rPr>
            </w:pPr>
          </w:p>
        </w:tc>
        <w:tc>
          <w:tcPr>
            <w:tcW w:w="650" w:type="dxa"/>
            <w:vAlign w:val="center"/>
          </w:tcPr>
          <w:p w14:paraId="0600B9DB">
            <w:pPr>
              <w:jc w:val="center"/>
            </w:pPr>
          </w:p>
        </w:tc>
        <w:tc>
          <w:tcPr>
            <w:tcW w:w="650" w:type="dxa"/>
            <w:vAlign w:val="center"/>
          </w:tcPr>
          <w:p w14:paraId="5E7BE434">
            <w:pPr>
              <w:jc w:val="center"/>
              <w:rPr>
                <w:rFonts w:ascii="宋体" w:hAnsi="宋体"/>
                <w:szCs w:val="44"/>
              </w:rPr>
            </w:pPr>
          </w:p>
        </w:tc>
        <w:tc>
          <w:tcPr>
            <w:tcW w:w="650" w:type="dxa"/>
            <w:vAlign w:val="center"/>
          </w:tcPr>
          <w:p w14:paraId="55272960">
            <w:pPr>
              <w:jc w:val="center"/>
              <w:rPr>
                <w:rFonts w:ascii="宋体" w:hAnsi="宋体"/>
                <w:szCs w:val="44"/>
              </w:rPr>
            </w:pPr>
          </w:p>
        </w:tc>
        <w:tc>
          <w:tcPr>
            <w:tcW w:w="650" w:type="dxa"/>
            <w:vAlign w:val="center"/>
          </w:tcPr>
          <w:p w14:paraId="6A69814E">
            <w:pPr>
              <w:jc w:val="center"/>
              <w:rPr>
                <w:rFonts w:ascii="宋体" w:hAnsi="宋体"/>
                <w:szCs w:val="44"/>
              </w:rPr>
            </w:pPr>
          </w:p>
        </w:tc>
        <w:tc>
          <w:tcPr>
            <w:tcW w:w="650" w:type="dxa"/>
            <w:vAlign w:val="center"/>
          </w:tcPr>
          <w:p w14:paraId="4B960A6E">
            <w:pPr>
              <w:jc w:val="center"/>
              <w:rPr>
                <w:rFonts w:ascii="宋体" w:hAnsi="宋体"/>
                <w:szCs w:val="44"/>
              </w:rPr>
            </w:pPr>
          </w:p>
        </w:tc>
        <w:tc>
          <w:tcPr>
            <w:tcW w:w="650" w:type="dxa"/>
            <w:vAlign w:val="center"/>
          </w:tcPr>
          <w:p w14:paraId="00116799">
            <w:pPr>
              <w:jc w:val="center"/>
              <w:rPr>
                <w:rFonts w:ascii="宋体" w:hAnsi="宋体"/>
                <w:szCs w:val="44"/>
              </w:rPr>
            </w:pPr>
          </w:p>
        </w:tc>
        <w:tc>
          <w:tcPr>
            <w:tcW w:w="650" w:type="dxa"/>
            <w:vAlign w:val="center"/>
          </w:tcPr>
          <w:p w14:paraId="35A9E7EF">
            <w:pPr>
              <w:jc w:val="center"/>
              <w:rPr>
                <w:rFonts w:ascii="宋体" w:hAnsi="宋体"/>
                <w:szCs w:val="44"/>
              </w:rPr>
            </w:pPr>
          </w:p>
        </w:tc>
        <w:tc>
          <w:tcPr>
            <w:tcW w:w="650" w:type="dxa"/>
            <w:vAlign w:val="center"/>
          </w:tcPr>
          <w:p w14:paraId="738CD561">
            <w:pPr>
              <w:jc w:val="center"/>
              <w:rPr>
                <w:rFonts w:ascii="宋体" w:hAnsi="宋体"/>
                <w:szCs w:val="44"/>
              </w:rPr>
            </w:pPr>
          </w:p>
        </w:tc>
        <w:tc>
          <w:tcPr>
            <w:tcW w:w="651" w:type="dxa"/>
            <w:vAlign w:val="center"/>
          </w:tcPr>
          <w:p w14:paraId="22F5CB95">
            <w:pPr>
              <w:jc w:val="center"/>
              <w:rPr>
                <w:rFonts w:ascii="宋体" w:hAnsi="宋体"/>
                <w:szCs w:val="44"/>
              </w:rPr>
            </w:pPr>
          </w:p>
        </w:tc>
        <w:tc>
          <w:tcPr>
            <w:tcW w:w="818" w:type="dxa"/>
            <w:vAlign w:val="center"/>
          </w:tcPr>
          <w:p w14:paraId="2BCBD204">
            <w:pPr>
              <w:jc w:val="center"/>
              <w:rPr>
                <w:rFonts w:ascii="宋体" w:hAnsi="宋体"/>
                <w:szCs w:val="44"/>
              </w:rPr>
            </w:pPr>
          </w:p>
        </w:tc>
      </w:tr>
      <w:tr w14:paraId="6C0C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D569BC0">
            <w:pPr>
              <w:jc w:val="center"/>
              <w:rPr>
                <w:rFonts w:ascii="宋体" w:hAnsi="宋体"/>
                <w:szCs w:val="44"/>
              </w:rPr>
            </w:pPr>
            <w:r>
              <w:rPr>
                <w:rFonts w:hint="eastAsia" w:ascii="宋体" w:hAnsi="宋体"/>
                <w:szCs w:val="44"/>
              </w:rPr>
              <w:t>4</w:t>
            </w:r>
          </w:p>
        </w:tc>
        <w:tc>
          <w:tcPr>
            <w:tcW w:w="1340" w:type="dxa"/>
            <w:vAlign w:val="center"/>
          </w:tcPr>
          <w:p w14:paraId="0A57FA7C">
            <w:pPr>
              <w:jc w:val="center"/>
              <w:rPr>
                <w:rFonts w:ascii="宋体" w:hAnsi="宋体"/>
                <w:szCs w:val="44"/>
              </w:rPr>
            </w:pPr>
          </w:p>
        </w:tc>
        <w:tc>
          <w:tcPr>
            <w:tcW w:w="650" w:type="dxa"/>
            <w:vAlign w:val="center"/>
          </w:tcPr>
          <w:p w14:paraId="1E444007">
            <w:pPr>
              <w:jc w:val="center"/>
            </w:pPr>
          </w:p>
        </w:tc>
        <w:tc>
          <w:tcPr>
            <w:tcW w:w="650" w:type="dxa"/>
            <w:vAlign w:val="center"/>
          </w:tcPr>
          <w:p w14:paraId="27519648">
            <w:pPr>
              <w:jc w:val="center"/>
              <w:rPr>
                <w:rFonts w:ascii="宋体" w:hAnsi="宋体"/>
                <w:szCs w:val="44"/>
              </w:rPr>
            </w:pPr>
          </w:p>
        </w:tc>
        <w:tc>
          <w:tcPr>
            <w:tcW w:w="650" w:type="dxa"/>
            <w:vAlign w:val="center"/>
          </w:tcPr>
          <w:p w14:paraId="5F37DDE9">
            <w:pPr>
              <w:jc w:val="center"/>
              <w:rPr>
                <w:rFonts w:ascii="宋体" w:hAnsi="宋体"/>
                <w:szCs w:val="44"/>
              </w:rPr>
            </w:pPr>
          </w:p>
        </w:tc>
        <w:tc>
          <w:tcPr>
            <w:tcW w:w="650" w:type="dxa"/>
            <w:vAlign w:val="center"/>
          </w:tcPr>
          <w:p w14:paraId="07F61EFC">
            <w:pPr>
              <w:jc w:val="center"/>
              <w:rPr>
                <w:rFonts w:ascii="宋体" w:hAnsi="宋体"/>
                <w:szCs w:val="44"/>
              </w:rPr>
            </w:pPr>
          </w:p>
        </w:tc>
        <w:tc>
          <w:tcPr>
            <w:tcW w:w="650" w:type="dxa"/>
            <w:vAlign w:val="center"/>
          </w:tcPr>
          <w:p w14:paraId="320DCF9C">
            <w:pPr>
              <w:jc w:val="center"/>
              <w:rPr>
                <w:rFonts w:ascii="宋体" w:hAnsi="宋体"/>
                <w:szCs w:val="44"/>
              </w:rPr>
            </w:pPr>
          </w:p>
        </w:tc>
        <w:tc>
          <w:tcPr>
            <w:tcW w:w="650" w:type="dxa"/>
            <w:vAlign w:val="center"/>
          </w:tcPr>
          <w:p w14:paraId="24457DFA">
            <w:pPr>
              <w:jc w:val="center"/>
              <w:rPr>
                <w:rFonts w:ascii="宋体" w:hAnsi="宋体"/>
                <w:szCs w:val="44"/>
              </w:rPr>
            </w:pPr>
          </w:p>
        </w:tc>
        <w:tc>
          <w:tcPr>
            <w:tcW w:w="650" w:type="dxa"/>
            <w:vAlign w:val="center"/>
          </w:tcPr>
          <w:p w14:paraId="23699CCA">
            <w:pPr>
              <w:jc w:val="center"/>
              <w:rPr>
                <w:rFonts w:ascii="宋体" w:hAnsi="宋体"/>
                <w:szCs w:val="44"/>
              </w:rPr>
            </w:pPr>
          </w:p>
        </w:tc>
        <w:tc>
          <w:tcPr>
            <w:tcW w:w="650" w:type="dxa"/>
            <w:vAlign w:val="center"/>
          </w:tcPr>
          <w:p w14:paraId="3292D186">
            <w:pPr>
              <w:jc w:val="center"/>
              <w:rPr>
                <w:rFonts w:ascii="宋体" w:hAnsi="宋体"/>
                <w:szCs w:val="44"/>
              </w:rPr>
            </w:pPr>
          </w:p>
        </w:tc>
        <w:tc>
          <w:tcPr>
            <w:tcW w:w="651" w:type="dxa"/>
            <w:vAlign w:val="center"/>
          </w:tcPr>
          <w:p w14:paraId="7DB2EA73">
            <w:pPr>
              <w:jc w:val="center"/>
              <w:rPr>
                <w:rFonts w:ascii="宋体" w:hAnsi="宋体"/>
                <w:szCs w:val="44"/>
              </w:rPr>
            </w:pPr>
          </w:p>
        </w:tc>
        <w:tc>
          <w:tcPr>
            <w:tcW w:w="818" w:type="dxa"/>
            <w:vAlign w:val="center"/>
          </w:tcPr>
          <w:p w14:paraId="623FECB2">
            <w:pPr>
              <w:jc w:val="center"/>
              <w:rPr>
                <w:rFonts w:ascii="宋体" w:hAnsi="宋体"/>
                <w:szCs w:val="44"/>
              </w:rPr>
            </w:pPr>
          </w:p>
        </w:tc>
      </w:tr>
      <w:tr w14:paraId="2800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42824815">
            <w:pPr>
              <w:jc w:val="center"/>
              <w:rPr>
                <w:rFonts w:ascii="宋体" w:hAnsi="宋体"/>
                <w:szCs w:val="44"/>
              </w:rPr>
            </w:pPr>
            <w:r>
              <w:rPr>
                <w:rFonts w:hint="eastAsia" w:ascii="宋体" w:hAnsi="宋体"/>
                <w:szCs w:val="44"/>
              </w:rPr>
              <w:t>5</w:t>
            </w:r>
          </w:p>
        </w:tc>
        <w:tc>
          <w:tcPr>
            <w:tcW w:w="1340" w:type="dxa"/>
            <w:vAlign w:val="center"/>
          </w:tcPr>
          <w:p w14:paraId="39B39545">
            <w:pPr>
              <w:jc w:val="center"/>
              <w:rPr>
                <w:rFonts w:ascii="宋体" w:hAnsi="宋体"/>
                <w:szCs w:val="44"/>
              </w:rPr>
            </w:pPr>
          </w:p>
        </w:tc>
        <w:tc>
          <w:tcPr>
            <w:tcW w:w="650" w:type="dxa"/>
            <w:vAlign w:val="center"/>
          </w:tcPr>
          <w:p w14:paraId="302B721A">
            <w:pPr>
              <w:jc w:val="center"/>
            </w:pPr>
          </w:p>
        </w:tc>
        <w:tc>
          <w:tcPr>
            <w:tcW w:w="650" w:type="dxa"/>
            <w:vAlign w:val="center"/>
          </w:tcPr>
          <w:p w14:paraId="7FDF6B17">
            <w:pPr>
              <w:jc w:val="center"/>
              <w:rPr>
                <w:rFonts w:ascii="宋体" w:hAnsi="宋体"/>
                <w:szCs w:val="44"/>
              </w:rPr>
            </w:pPr>
          </w:p>
        </w:tc>
        <w:tc>
          <w:tcPr>
            <w:tcW w:w="650" w:type="dxa"/>
            <w:vAlign w:val="center"/>
          </w:tcPr>
          <w:p w14:paraId="485CB798">
            <w:pPr>
              <w:jc w:val="center"/>
              <w:rPr>
                <w:rFonts w:ascii="宋体" w:hAnsi="宋体"/>
                <w:szCs w:val="44"/>
              </w:rPr>
            </w:pPr>
          </w:p>
        </w:tc>
        <w:tc>
          <w:tcPr>
            <w:tcW w:w="650" w:type="dxa"/>
            <w:vAlign w:val="center"/>
          </w:tcPr>
          <w:p w14:paraId="2E0E37AD">
            <w:pPr>
              <w:jc w:val="center"/>
              <w:rPr>
                <w:rFonts w:ascii="宋体" w:hAnsi="宋体"/>
                <w:szCs w:val="44"/>
              </w:rPr>
            </w:pPr>
          </w:p>
        </w:tc>
        <w:tc>
          <w:tcPr>
            <w:tcW w:w="650" w:type="dxa"/>
            <w:vAlign w:val="center"/>
          </w:tcPr>
          <w:p w14:paraId="35A28579">
            <w:pPr>
              <w:jc w:val="center"/>
              <w:rPr>
                <w:rFonts w:ascii="宋体" w:hAnsi="宋体"/>
                <w:szCs w:val="44"/>
              </w:rPr>
            </w:pPr>
          </w:p>
        </w:tc>
        <w:tc>
          <w:tcPr>
            <w:tcW w:w="650" w:type="dxa"/>
            <w:vAlign w:val="center"/>
          </w:tcPr>
          <w:p w14:paraId="60B44DED">
            <w:pPr>
              <w:jc w:val="center"/>
              <w:rPr>
                <w:rFonts w:ascii="宋体" w:hAnsi="宋体"/>
                <w:szCs w:val="44"/>
              </w:rPr>
            </w:pPr>
          </w:p>
        </w:tc>
        <w:tc>
          <w:tcPr>
            <w:tcW w:w="650" w:type="dxa"/>
            <w:vAlign w:val="center"/>
          </w:tcPr>
          <w:p w14:paraId="68E3F92E">
            <w:pPr>
              <w:jc w:val="center"/>
              <w:rPr>
                <w:rFonts w:ascii="宋体" w:hAnsi="宋体"/>
                <w:szCs w:val="44"/>
              </w:rPr>
            </w:pPr>
          </w:p>
        </w:tc>
        <w:tc>
          <w:tcPr>
            <w:tcW w:w="650" w:type="dxa"/>
            <w:vAlign w:val="center"/>
          </w:tcPr>
          <w:p w14:paraId="29A00535">
            <w:pPr>
              <w:jc w:val="center"/>
              <w:rPr>
                <w:rFonts w:ascii="宋体" w:hAnsi="宋体"/>
                <w:szCs w:val="44"/>
              </w:rPr>
            </w:pPr>
          </w:p>
        </w:tc>
        <w:tc>
          <w:tcPr>
            <w:tcW w:w="651" w:type="dxa"/>
            <w:vAlign w:val="center"/>
          </w:tcPr>
          <w:p w14:paraId="3338FF0D">
            <w:pPr>
              <w:jc w:val="center"/>
              <w:rPr>
                <w:rFonts w:ascii="宋体" w:hAnsi="宋体"/>
                <w:szCs w:val="44"/>
              </w:rPr>
            </w:pPr>
          </w:p>
        </w:tc>
        <w:tc>
          <w:tcPr>
            <w:tcW w:w="818" w:type="dxa"/>
            <w:vAlign w:val="center"/>
          </w:tcPr>
          <w:p w14:paraId="26CCA2F5">
            <w:pPr>
              <w:jc w:val="center"/>
              <w:rPr>
                <w:rFonts w:ascii="宋体" w:hAnsi="宋体"/>
                <w:szCs w:val="44"/>
              </w:rPr>
            </w:pPr>
          </w:p>
        </w:tc>
      </w:tr>
      <w:tr w14:paraId="2DCF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55A7471">
            <w:pPr>
              <w:jc w:val="center"/>
              <w:rPr>
                <w:rFonts w:ascii="宋体" w:hAnsi="宋体"/>
                <w:szCs w:val="44"/>
              </w:rPr>
            </w:pPr>
            <w:r>
              <w:rPr>
                <w:rFonts w:hint="eastAsia" w:ascii="宋体" w:hAnsi="宋体"/>
                <w:szCs w:val="44"/>
              </w:rPr>
              <w:t>6</w:t>
            </w:r>
          </w:p>
        </w:tc>
        <w:tc>
          <w:tcPr>
            <w:tcW w:w="1340" w:type="dxa"/>
            <w:vAlign w:val="center"/>
          </w:tcPr>
          <w:p w14:paraId="7AC68423">
            <w:pPr>
              <w:jc w:val="center"/>
              <w:rPr>
                <w:rFonts w:ascii="宋体" w:hAnsi="宋体"/>
                <w:szCs w:val="44"/>
              </w:rPr>
            </w:pPr>
          </w:p>
        </w:tc>
        <w:tc>
          <w:tcPr>
            <w:tcW w:w="650" w:type="dxa"/>
            <w:vAlign w:val="center"/>
          </w:tcPr>
          <w:p w14:paraId="21D1AC6E">
            <w:pPr>
              <w:jc w:val="center"/>
            </w:pPr>
          </w:p>
        </w:tc>
        <w:tc>
          <w:tcPr>
            <w:tcW w:w="650" w:type="dxa"/>
            <w:vAlign w:val="center"/>
          </w:tcPr>
          <w:p w14:paraId="2E902225">
            <w:pPr>
              <w:jc w:val="center"/>
              <w:rPr>
                <w:rFonts w:ascii="宋体" w:hAnsi="宋体"/>
                <w:szCs w:val="44"/>
              </w:rPr>
            </w:pPr>
          </w:p>
        </w:tc>
        <w:tc>
          <w:tcPr>
            <w:tcW w:w="650" w:type="dxa"/>
            <w:vAlign w:val="center"/>
          </w:tcPr>
          <w:p w14:paraId="024E9C5C">
            <w:pPr>
              <w:jc w:val="center"/>
              <w:rPr>
                <w:rFonts w:ascii="宋体" w:hAnsi="宋体"/>
                <w:szCs w:val="44"/>
              </w:rPr>
            </w:pPr>
          </w:p>
        </w:tc>
        <w:tc>
          <w:tcPr>
            <w:tcW w:w="650" w:type="dxa"/>
            <w:vAlign w:val="center"/>
          </w:tcPr>
          <w:p w14:paraId="1294C4FB">
            <w:pPr>
              <w:jc w:val="center"/>
              <w:rPr>
                <w:rFonts w:ascii="宋体" w:hAnsi="宋体"/>
                <w:szCs w:val="44"/>
              </w:rPr>
            </w:pPr>
          </w:p>
        </w:tc>
        <w:tc>
          <w:tcPr>
            <w:tcW w:w="650" w:type="dxa"/>
            <w:vAlign w:val="center"/>
          </w:tcPr>
          <w:p w14:paraId="5AE8CA05">
            <w:pPr>
              <w:jc w:val="center"/>
              <w:rPr>
                <w:rFonts w:ascii="宋体" w:hAnsi="宋体"/>
                <w:szCs w:val="44"/>
              </w:rPr>
            </w:pPr>
          </w:p>
        </w:tc>
        <w:tc>
          <w:tcPr>
            <w:tcW w:w="650" w:type="dxa"/>
            <w:vAlign w:val="center"/>
          </w:tcPr>
          <w:p w14:paraId="00109BF6">
            <w:pPr>
              <w:jc w:val="center"/>
              <w:rPr>
                <w:rFonts w:ascii="宋体" w:hAnsi="宋体"/>
                <w:szCs w:val="44"/>
              </w:rPr>
            </w:pPr>
          </w:p>
        </w:tc>
        <w:tc>
          <w:tcPr>
            <w:tcW w:w="650" w:type="dxa"/>
            <w:vAlign w:val="center"/>
          </w:tcPr>
          <w:p w14:paraId="518C5BAB">
            <w:pPr>
              <w:jc w:val="center"/>
              <w:rPr>
                <w:rFonts w:ascii="宋体" w:hAnsi="宋体"/>
                <w:szCs w:val="44"/>
              </w:rPr>
            </w:pPr>
          </w:p>
        </w:tc>
        <w:tc>
          <w:tcPr>
            <w:tcW w:w="650" w:type="dxa"/>
            <w:vAlign w:val="center"/>
          </w:tcPr>
          <w:p w14:paraId="046FF97A">
            <w:pPr>
              <w:jc w:val="center"/>
              <w:rPr>
                <w:rFonts w:ascii="宋体" w:hAnsi="宋体"/>
                <w:szCs w:val="44"/>
              </w:rPr>
            </w:pPr>
          </w:p>
        </w:tc>
        <w:tc>
          <w:tcPr>
            <w:tcW w:w="651" w:type="dxa"/>
            <w:vAlign w:val="center"/>
          </w:tcPr>
          <w:p w14:paraId="4692D923">
            <w:pPr>
              <w:jc w:val="center"/>
              <w:rPr>
                <w:rFonts w:ascii="宋体" w:hAnsi="宋体"/>
                <w:szCs w:val="44"/>
              </w:rPr>
            </w:pPr>
          </w:p>
        </w:tc>
        <w:tc>
          <w:tcPr>
            <w:tcW w:w="818" w:type="dxa"/>
            <w:vAlign w:val="center"/>
          </w:tcPr>
          <w:p w14:paraId="457389BC">
            <w:pPr>
              <w:jc w:val="center"/>
              <w:rPr>
                <w:rFonts w:ascii="宋体" w:hAnsi="宋体"/>
                <w:szCs w:val="44"/>
              </w:rPr>
            </w:pPr>
          </w:p>
        </w:tc>
      </w:tr>
      <w:tr w14:paraId="1C7B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52A8A79">
            <w:pPr>
              <w:jc w:val="center"/>
              <w:rPr>
                <w:rFonts w:ascii="宋体" w:hAnsi="宋体"/>
                <w:szCs w:val="44"/>
              </w:rPr>
            </w:pPr>
            <w:r>
              <w:rPr>
                <w:rFonts w:hint="eastAsia" w:ascii="宋体" w:hAnsi="宋体"/>
                <w:szCs w:val="44"/>
              </w:rPr>
              <w:t>…</w:t>
            </w:r>
          </w:p>
        </w:tc>
        <w:tc>
          <w:tcPr>
            <w:tcW w:w="1340" w:type="dxa"/>
            <w:vAlign w:val="center"/>
          </w:tcPr>
          <w:p w14:paraId="5089D191">
            <w:pPr>
              <w:rPr>
                <w:rFonts w:ascii="宋体" w:hAnsi="宋体"/>
                <w:szCs w:val="21"/>
              </w:rPr>
            </w:pPr>
          </w:p>
        </w:tc>
        <w:tc>
          <w:tcPr>
            <w:tcW w:w="650" w:type="dxa"/>
            <w:vAlign w:val="center"/>
          </w:tcPr>
          <w:p w14:paraId="00BB17B7">
            <w:pPr>
              <w:jc w:val="center"/>
            </w:pPr>
          </w:p>
        </w:tc>
        <w:tc>
          <w:tcPr>
            <w:tcW w:w="650" w:type="dxa"/>
            <w:vAlign w:val="center"/>
          </w:tcPr>
          <w:p w14:paraId="53DC187A">
            <w:pPr>
              <w:jc w:val="center"/>
              <w:rPr>
                <w:rFonts w:ascii="宋体" w:hAnsi="宋体"/>
                <w:szCs w:val="44"/>
              </w:rPr>
            </w:pPr>
          </w:p>
        </w:tc>
        <w:tc>
          <w:tcPr>
            <w:tcW w:w="650" w:type="dxa"/>
            <w:vAlign w:val="center"/>
          </w:tcPr>
          <w:p w14:paraId="1382F007">
            <w:pPr>
              <w:jc w:val="center"/>
              <w:rPr>
                <w:rFonts w:ascii="宋体" w:hAnsi="宋体"/>
                <w:szCs w:val="44"/>
              </w:rPr>
            </w:pPr>
          </w:p>
        </w:tc>
        <w:tc>
          <w:tcPr>
            <w:tcW w:w="650" w:type="dxa"/>
            <w:vAlign w:val="center"/>
          </w:tcPr>
          <w:p w14:paraId="46454DE1">
            <w:pPr>
              <w:jc w:val="center"/>
              <w:rPr>
                <w:rFonts w:ascii="宋体" w:hAnsi="宋体"/>
                <w:szCs w:val="44"/>
              </w:rPr>
            </w:pPr>
          </w:p>
        </w:tc>
        <w:tc>
          <w:tcPr>
            <w:tcW w:w="650" w:type="dxa"/>
            <w:vAlign w:val="center"/>
          </w:tcPr>
          <w:p w14:paraId="47E9F26C">
            <w:pPr>
              <w:jc w:val="center"/>
              <w:rPr>
                <w:rFonts w:ascii="宋体" w:hAnsi="宋体"/>
                <w:szCs w:val="44"/>
              </w:rPr>
            </w:pPr>
          </w:p>
        </w:tc>
        <w:tc>
          <w:tcPr>
            <w:tcW w:w="650" w:type="dxa"/>
            <w:vAlign w:val="center"/>
          </w:tcPr>
          <w:p w14:paraId="2B022A8F">
            <w:pPr>
              <w:jc w:val="center"/>
              <w:rPr>
                <w:rFonts w:ascii="宋体" w:hAnsi="宋体"/>
                <w:szCs w:val="44"/>
              </w:rPr>
            </w:pPr>
          </w:p>
        </w:tc>
        <w:tc>
          <w:tcPr>
            <w:tcW w:w="650" w:type="dxa"/>
            <w:vAlign w:val="center"/>
          </w:tcPr>
          <w:p w14:paraId="68EB637E">
            <w:pPr>
              <w:jc w:val="center"/>
              <w:rPr>
                <w:rFonts w:ascii="宋体" w:hAnsi="宋体"/>
                <w:szCs w:val="44"/>
              </w:rPr>
            </w:pPr>
          </w:p>
        </w:tc>
        <w:tc>
          <w:tcPr>
            <w:tcW w:w="650" w:type="dxa"/>
            <w:vAlign w:val="center"/>
          </w:tcPr>
          <w:p w14:paraId="7B17DEF4">
            <w:pPr>
              <w:jc w:val="center"/>
              <w:rPr>
                <w:rFonts w:ascii="宋体" w:hAnsi="宋体"/>
                <w:szCs w:val="44"/>
              </w:rPr>
            </w:pPr>
          </w:p>
        </w:tc>
        <w:tc>
          <w:tcPr>
            <w:tcW w:w="651" w:type="dxa"/>
            <w:vAlign w:val="center"/>
          </w:tcPr>
          <w:p w14:paraId="66EC5F96">
            <w:pPr>
              <w:jc w:val="center"/>
              <w:rPr>
                <w:rFonts w:ascii="宋体" w:hAnsi="宋体"/>
                <w:szCs w:val="44"/>
              </w:rPr>
            </w:pPr>
          </w:p>
        </w:tc>
        <w:tc>
          <w:tcPr>
            <w:tcW w:w="818" w:type="dxa"/>
            <w:vAlign w:val="center"/>
          </w:tcPr>
          <w:p w14:paraId="16858878">
            <w:pPr>
              <w:jc w:val="center"/>
              <w:rPr>
                <w:rFonts w:ascii="宋体" w:hAnsi="宋体"/>
                <w:szCs w:val="44"/>
              </w:rPr>
            </w:pPr>
          </w:p>
        </w:tc>
      </w:tr>
      <w:tr w14:paraId="5B0C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21DEB914">
            <w:pPr>
              <w:jc w:val="left"/>
              <w:rPr>
                <w:rFonts w:ascii="宋体" w:hAnsi="宋体"/>
                <w:szCs w:val="44"/>
              </w:rPr>
            </w:pPr>
            <w:r>
              <w:rPr>
                <w:rFonts w:hint="eastAsia"/>
              </w:rPr>
              <w:t xml:space="preserve">评标委员会全体成员签名： </w:t>
            </w:r>
          </w:p>
          <w:p w14:paraId="0B7FC63A">
            <w:pPr>
              <w:jc w:val="left"/>
              <w:rPr>
                <w:rFonts w:ascii="宋体" w:hAnsi="宋体"/>
                <w:szCs w:val="44"/>
              </w:rPr>
            </w:pPr>
          </w:p>
          <w:p w14:paraId="149A7DE8">
            <w:pPr>
              <w:jc w:val="left"/>
              <w:rPr>
                <w:rFonts w:ascii="宋体" w:hAnsi="宋体"/>
                <w:szCs w:val="44"/>
              </w:rPr>
            </w:pPr>
          </w:p>
          <w:p w14:paraId="6C68A00E">
            <w:pPr>
              <w:jc w:val="left"/>
              <w:rPr>
                <w:rFonts w:ascii="宋体" w:hAnsi="宋体"/>
                <w:szCs w:val="44"/>
              </w:rPr>
            </w:pPr>
          </w:p>
          <w:p w14:paraId="7B0E9089">
            <w:pPr>
              <w:jc w:val="left"/>
              <w:rPr>
                <w:rFonts w:ascii="宋体" w:hAnsi="宋体"/>
                <w:szCs w:val="44"/>
              </w:rPr>
            </w:pPr>
          </w:p>
          <w:p w14:paraId="4F8BE9D6">
            <w:pPr>
              <w:jc w:val="left"/>
              <w:rPr>
                <w:rFonts w:ascii="宋体" w:hAnsi="宋体"/>
                <w:szCs w:val="44"/>
              </w:rPr>
            </w:pPr>
          </w:p>
          <w:p w14:paraId="42915028">
            <w:pPr>
              <w:jc w:val="left"/>
              <w:rPr>
                <w:rFonts w:ascii="宋体" w:hAnsi="宋体"/>
                <w:szCs w:val="44"/>
              </w:rPr>
            </w:pPr>
          </w:p>
          <w:p w14:paraId="502F326F">
            <w:pPr>
              <w:jc w:val="center"/>
              <w:rPr>
                <w:rFonts w:ascii="宋体" w:hAnsi="宋体"/>
                <w:szCs w:val="44"/>
              </w:rPr>
            </w:pPr>
          </w:p>
        </w:tc>
      </w:tr>
    </w:tbl>
    <w:p w14:paraId="67B470C2">
      <w:pPr>
        <w:spacing w:line="400" w:lineRule="exact"/>
        <w:ind w:left="840" w:leftChars="400" w:firstLine="4410" w:firstLineChars="2100"/>
        <w:rPr>
          <w:rFonts w:ascii="宋体" w:hAnsi="宋体"/>
          <w:szCs w:val="44"/>
        </w:rPr>
      </w:pPr>
      <w:r>
        <w:rPr>
          <w:rFonts w:hint="eastAsia" w:ascii="宋体" w:hAnsi="宋体"/>
          <w:szCs w:val="44"/>
        </w:rPr>
        <w:t xml:space="preserve">   日期：    年    月    日</w:t>
      </w:r>
    </w:p>
    <w:p w14:paraId="1D2C0B7F">
      <w:r>
        <w:br w:type="page"/>
      </w:r>
    </w:p>
    <w:p w14:paraId="1B426759">
      <w:pPr>
        <w:pStyle w:val="25"/>
      </w:pPr>
      <w:bookmarkStart w:id="685" w:name="_Toc165804454"/>
      <w:bookmarkStart w:id="686" w:name="_Toc256000137"/>
      <w:r>
        <w:rPr>
          <w:rFonts w:hint="eastAsia"/>
        </w:rPr>
        <w:t>附表A-</w:t>
      </w:r>
      <w:r>
        <w:t>8</w:t>
      </w:r>
      <w:r>
        <w:rPr>
          <w:rFonts w:hint="eastAsia"/>
        </w:rPr>
        <w:t>：初步评审汇总记录表</w:t>
      </w:r>
      <w:bookmarkEnd w:id="685"/>
      <w:bookmarkEnd w:id="686"/>
    </w:p>
    <w:p w14:paraId="7D4E2DB4">
      <w:pPr>
        <w:spacing w:after="240" w:afterLines="100"/>
        <w:jc w:val="center"/>
        <w:rPr>
          <w:rFonts w:ascii="黑体" w:hAnsi="宋体" w:eastAsia="黑体"/>
          <w:sz w:val="36"/>
          <w:szCs w:val="36"/>
        </w:rPr>
      </w:pPr>
    </w:p>
    <w:p w14:paraId="77E4C48E">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初步评审汇总记录表</w:t>
      </w:r>
    </w:p>
    <w:p w14:paraId="7A5A71AE">
      <w:pPr>
        <w:rPr>
          <w:rFonts w:ascii="宋体" w:hAnsi="宋体"/>
          <w:szCs w:val="44"/>
        </w:rPr>
      </w:pPr>
      <w:r>
        <w:rPr>
          <w:rFonts w:hint="eastAsia" w:ascii="宋体" w:hAnsi="宋体"/>
          <w:szCs w:val="44"/>
        </w:rPr>
        <w:t>标段名称：</w:t>
      </w:r>
    </w:p>
    <w:p w14:paraId="606499BF">
      <w:r>
        <w:rPr>
          <w:rFonts w:hint="eastAsia"/>
          <w:szCs w:val="44"/>
        </w:rPr>
        <w:t>标段唯一标识码：</w:t>
      </w:r>
      <w:r>
        <w:rPr>
          <w:szCs w:val="44"/>
        </w:rPr>
        <w:t xml:space="preserve">                                              </w:t>
      </w:r>
      <w:r>
        <w:rPr>
          <w:rFonts w:hint="eastAsia"/>
        </w:rPr>
        <w:t>单位：人民币元</w:t>
      </w:r>
    </w:p>
    <w:tbl>
      <w:tblPr>
        <w:tblStyle w:val="1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3408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5BC029D">
            <w:pPr>
              <w:jc w:val="center"/>
              <w:rPr>
                <w:b/>
                <w:bCs/>
              </w:rPr>
            </w:pPr>
            <w:r>
              <w:rPr>
                <w:rFonts w:hint="eastAsia"/>
                <w:b/>
                <w:bCs/>
              </w:rPr>
              <w:t>序号</w:t>
            </w:r>
          </w:p>
        </w:tc>
        <w:tc>
          <w:tcPr>
            <w:tcW w:w="1009" w:type="dxa"/>
            <w:vAlign w:val="center"/>
          </w:tcPr>
          <w:p w14:paraId="4F3D4FC1">
            <w:pPr>
              <w:jc w:val="center"/>
              <w:rPr>
                <w:b/>
                <w:bCs/>
              </w:rPr>
            </w:pPr>
            <w:r>
              <w:rPr>
                <w:rFonts w:hint="eastAsia"/>
                <w:b/>
                <w:bCs/>
              </w:rPr>
              <w:t>投标人名称</w:t>
            </w:r>
          </w:p>
        </w:tc>
        <w:tc>
          <w:tcPr>
            <w:tcW w:w="1010" w:type="dxa"/>
            <w:vAlign w:val="center"/>
          </w:tcPr>
          <w:p w14:paraId="53D76B4F">
            <w:pPr>
              <w:jc w:val="center"/>
              <w:rPr>
                <w:b/>
                <w:bCs/>
              </w:rPr>
            </w:pPr>
            <w:r>
              <w:rPr>
                <w:rFonts w:hint="eastAsia"/>
                <w:b/>
                <w:bCs/>
              </w:rPr>
              <w:t>形式评审结果</w:t>
            </w:r>
          </w:p>
        </w:tc>
        <w:tc>
          <w:tcPr>
            <w:tcW w:w="1009" w:type="dxa"/>
            <w:vAlign w:val="center"/>
          </w:tcPr>
          <w:p w14:paraId="74BEFD37">
            <w:pPr>
              <w:jc w:val="center"/>
              <w:rPr>
                <w:b/>
                <w:bCs/>
              </w:rPr>
            </w:pPr>
            <w:r>
              <w:rPr>
                <w:rFonts w:hint="eastAsia"/>
                <w:b/>
                <w:bCs/>
              </w:rPr>
              <w:t>资格评审结果</w:t>
            </w:r>
          </w:p>
        </w:tc>
        <w:tc>
          <w:tcPr>
            <w:tcW w:w="1097" w:type="dxa"/>
            <w:vAlign w:val="center"/>
          </w:tcPr>
          <w:p w14:paraId="46FDB563">
            <w:pPr>
              <w:jc w:val="center"/>
              <w:rPr>
                <w:b/>
                <w:bCs/>
              </w:rPr>
            </w:pPr>
            <w:r>
              <w:rPr>
                <w:rFonts w:hint="eastAsia"/>
                <w:b/>
                <w:bCs/>
              </w:rPr>
              <w:t>响应性评审结果</w:t>
            </w:r>
          </w:p>
        </w:tc>
        <w:tc>
          <w:tcPr>
            <w:tcW w:w="2022" w:type="dxa"/>
            <w:vAlign w:val="center"/>
          </w:tcPr>
          <w:p w14:paraId="7ECBA5C8">
            <w:pPr>
              <w:jc w:val="center"/>
              <w:rPr>
                <w:b/>
                <w:bCs/>
              </w:rPr>
            </w:pPr>
            <w:r>
              <w:rPr>
                <w:rFonts w:hint="eastAsia"/>
                <w:b/>
                <w:bCs/>
              </w:rPr>
              <w:t>技术标评审结果（如有）</w:t>
            </w:r>
          </w:p>
        </w:tc>
        <w:tc>
          <w:tcPr>
            <w:tcW w:w="886" w:type="dxa"/>
            <w:vAlign w:val="center"/>
          </w:tcPr>
          <w:p w14:paraId="4701550E">
            <w:pPr>
              <w:ind w:right="-105"/>
              <w:jc w:val="center"/>
              <w:rPr>
                <w:rFonts w:ascii="宋体" w:hAnsi="宋体"/>
                <w:b/>
                <w:bCs/>
                <w:szCs w:val="21"/>
              </w:rPr>
            </w:pPr>
            <w:r>
              <w:rPr>
                <w:rFonts w:hint="eastAsia" w:ascii="宋体" w:hAnsi="宋体"/>
                <w:b/>
                <w:bCs/>
                <w:szCs w:val="21"/>
              </w:rPr>
              <w:t>投标报价</w:t>
            </w:r>
          </w:p>
        </w:tc>
        <w:tc>
          <w:tcPr>
            <w:tcW w:w="867" w:type="dxa"/>
            <w:vAlign w:val="center"/>
          </w:tcPr>
          <w:p w14:paraId="0203F40F">
            <w:pPr>
              <w:ind w:right="-111"/>
              <w:jc w:val="center"/>
              <w:rPr>
                <w:rFonts w:ascii="宋体" w:hAnsi="宋体"/>
                <w:b/>
                <w:bCs/>
                <w:szCs w:val="21"/>
              </w:rPr>
            </w:pPr>
            <w:r>
              <w:rPr>
                <w:rFonts w:hint="eastAsia" w:ascii="宋体" w:hAnsi="宋体"/>
                <w:b/>
                <w:bCs/>
                <w:szCs w:val="21"/>
              </w:rPr>
              <w:t>评审结论</w:t>
            </w:r>
          </w:p>
        </w:tc>
      </w:tr>
      <w:tr w14:paraId="3843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E6166F1">
            <w:pPr>
              <w:jc w:val="center"/>
            </w:pPr>
            <w:r>
              <w:rPr>
                <w:rFonts w:hint="eastAsia" w:ascii="黑体" w:hAnsi="宋体" w:eastAsia="黑体"/>
                <w:szCs w:val="44"/>
              </w:rPr>
              <w:t>1</w:t>
            </w:r>
          </w:p>
        </w:tc>
        <w:tc>
          <w:tcPr>
            <w:tcW w:w="1009" w:type="dxa"/>
            <w:vAlign w:val="center"/>
          </w:tcPr>
          <w:p w14:paraId="61F39460">
            <w:pPr>
              <w:jc w:val="center"/>
            </w:pPr>
          </w:p>
        </w:tc>
        <w:tc>
          <w:tcPr>
            <w:tcW w:w="1010" w:type="dxa"/>
            <w:vAlign w:val="center"/>
          </w:tcPr>
          <w:p w14:paraId="2B621A5D">
            <w:pPr>
              <w:jc w:val="center"/>
            </w:pPr>
          </w:p>
        </w:tc>
        <w:tc>
          <w:tcPr>
            <w:tcW w:w="1009" w:type="dxa"/>
            <w:vAlign w:val="center"/>
          </w:tcPr>
          <w:p w14:paraId="0EA1CD6D">
            <w:pPr>
              <w:jc w:val="center"/>
            </w:pPr>
          </w:p>
        </w:tc>
        <w:tc>
          <w:tcPr>
            <w:tcW w:w="1097" w:type="dxa"/>
            <w:vAlign w:val="center"/>
          </w:tcPr>
          <w:p w14:paraId="6FFFCD3F">
            <w:pPr>
              <w:jc w:val="center"/>
            </w:pPr>
          </w:p>
        </w:tc>
        <w:tc>
          <w:tcPr>
            <w:tcW w:w="2022" w:type="dxa"/>
            <w:vAlign w:val="center"/>
          </w:tcPr>
          <w:p w14:paraId="3E5DA2AA">
            <w:pPr>
              <w:jc w:val="center"/>
            </w:pPr>
          </w:p>
        </w:tc>
        <w:tc>
          <w:tcPr>
            <w:tcW w:w="886" w:type="dxa"/>
            <w:vAlign w:val="center"/>
          </w:tcPr>
          <w:p w14:paraId="7769EBC9">
            <w:pPr>
              <w:ind w:right="-105"/>
              <w:jc w:val="center"/>
              <w:rPr>
                <w:rFonts w:ascii="宋体" w:hAnsi="宋体"/>
                <w:szCs w:val="21"/>
              </w:rPr>
            </w:pPr>
          </w:p>
        </w:tc>
        <w:tc>
          <w:tcPr>
            <w:tcW w:w="867" w:type="dxa"/>
            <w:vAlign w:val="center"/>
          </w:tcPr>
          <w:p w14:paraId="3A8CB5A5">
            <w:pPr>
              <w:ind w:right="-111"/>
              <w:jc w:val="center"/>
              <w:rPr>
                <w:rFonts w:ascii="宋体" w:hAnsi="宋体"/>
                <w:szCs w:val="21"/>
              </w:rPr>
            </w:pPr>
          </w:p>
        </w:tc>
      </w:tr>
      <w:tr w14:paraId="78CF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5974B936">
            <w:pPr>
              <w:jc w:val="center"/>
            </w:pPr>
            <w:r>
              <w:rPr>
                <w:rFonts w:hint="eastAsia" w:ascii="黑体" w:hAnsi="宋体" w:eastAsia="黑体"/>
                <w:szCs w:val="44"/>
              </w:rPr>
              <w:t>2</w:t>
            </w:r>
          </w:p>
        </w:tc>
        <w:tc>
          <w:tcPr>
            <w:tcW w:w="1009" w:type="dxa"/>
            <w:vAlign w:val="center"/>
          </w:tcPr>
          <w:p w14:paraId="290D1043">
            <w:pPr>
              <w:jc w:val="center"/>
            </w:pPr>
          </w:p>
        </w:tc>
        <w:tc>
          <w:tcPr>
            <w:tcW w:w="1010" w:type="dxa"/>
            <w:vAlign w:val="center"/>
          </w:tcPr>
          <w:p w14:paraId="35D28CF8">
            <w:pPr>
              <w:jc w:val="center"/>
            </w:pPr>
          </w:p>
        </w:tc>
        <w:tc>
          <w:tcPr>
            <w:tcW w:w="1009" w:type="dxa"/>
            <w:vAlign w:val="center"/>
          </w:tcPr>
          <w:p w14:paraId="5DD2035A">
            <w:pPr>
              <w:jc w:val="center"/>
            </w:pPr>
          </w:p>
        </w:tc>
        <w:tc>
          <w:tcPr>
            <w:tcW w:w="1097" w:type="dxa"/>
            <w:vAlign w:val="center"/>
          </w:tcPr>
          <w:p w14:paraId="08BFF103">
            <w:pPr>
              <w:jc w:val="center"/>
            </w:pPr>
          </w:p>
        </w:tc>
        <w:tc>
          <w:tcPr>
            <w:tcW w:w="2022" w:type="dxa"/>
            <w:vAlign w:val="center"/>
          </w:tcPr>
          <w:p w14:paraId="6837497E">
            <w:pPr>
              <w:jc w:val="center"/>
            </w:pPr>
          </w:p>
        </w:tc>
        <w:tc>
          <w:tcPr>
            <w:tcW w:w="886" w:type="dxa"/>
            <w:vAlign w:val="center"/>
          </w:tcPr>
          <w:p w14:paraId="10DB2568">
            <w:pPr>
              <w:ind w:right="-105"/>
              <w:jc w:val="center"/>
              <w:rPr>
                <w:rFonts w:ascii="宋体" w:hAnsi="宋体"/>
                <w:szCs w:val="21"/>
              </w:rPr>
            </w:pPr>
          </w:p>
        </w:tc>
        <w:tc>
          <w:tcPr>
            <w:tcW w:w="867" w:type="dxa"/>
            <w:vAlign w:val="center"/>
          </w:tcPr>
          <w:p w14:paraId="0FEC4E16">
            <w:pPr>
              <w:ind w:right="-111"/>
              <w:jc w:val="center"/>
              <w:rPr>
                <w:rFonts w:ascii="宋体" w:hAnsi="宋体"/>
                <w:szCs w:val="21"/>
              </w:rPr>
            </w:pPr>
          </w:p>
        </w:tc>
      </w:tr>
      <w:tr w14:paraId="4B39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C5DFC8B">
            <w:pPr>
              <w:jc w:val="center"/>
            </w:pPr>
            <w:r>
              <w:rPr>
                <w:rFonts w:hint="eastAsia" w:ascii="黑体" w:hAnsi="宋体" w:eastAsia="黑体"/>
                <w:szCs w:val="44"/>
              </w:rPr>
              <w:t>3</w:t>
            </w:r>
          </w:p>
        </w:tc>
        <w:tc>
          <w:tcPr>
            <w:tcW w:w="1009" w:type="dxa"/>
            <w:vAlign w:val="center"/>
          </w:tcPr>
          <w:p w14:paraId="2D6A6DF8">
            <w:pPr>
              <w:jc w:val="center"/>
            </w:pPr>
          </w:p>
        </w:tc>
        <w:tc>
          <w:tcPr>
            <w:tcW w:w="1010" w:type="dxa"/>
            <w:vAlign w:val="center"/>
          </w:tcPr>
          <w:p w14:paraId="4E87A4E1">
            <w:pPr>
              <w:jc w:val="center"/>
            </w:pPr>
          </w:p>
        </w:tc>
        <w:tc>
          <w:tcPr>
            <w:tcW w:w="1009" w:type="dxa"/>
            <w:vAlign w:val="center"/>
          </w:tcPr>
          <w:p w14:paraId="5501BFD8">
            <w:pPr>
              <w:jc w:val="center"/>
            </w:pPr>
          </w:p>
        </w:tc>
        <w:tc>
          <w:tcPr>
            <w:tcW w:w="1097" w:type="dxa"/>
            <w:vAlign w:val="center"/>
          </w:tcPr>
          <w:p w14:paraId="5138A56D">
            <w:pPr>
              <w:jc w:val="center"/>
            </w:pPr>
          </w:p>
        </w:tc>
        <w:tc>
          <w:tcPr>
            <w:tcW w:w="2022" w:type="dxa"/>
            <w:vAlign w:val="center"/>
          </w:tcPr>
          <w:p w14:paraId="29DABE31">
            <w:pPr>
              <w:jc w:val="center"/>
            </w:pPr>
          </w:p>
        </w:tc>
        <w:tc>
          <w:tcPr>
            <w:tcW w:w="886" w:type="dxa"/>
            <w:vAlign w:val="center"/>
          </w:tcPr>
          <w:p w14:paraId="1B31AD6C">
            <w:pPr>
              <w:ind w:right="-105"/>
              <w:jc w:val="center"/>
              <w:rPr>
                <w:rFonts w:ascii="宋体" w:hAnsi="宋体"/>
                <w:szCs w:val="21"/>
              </w:rPr>
            </w:pPr>
          </w:p>
        </w:tc>
        <w:tc>
          <w:tcPr>
            <w:tcW w:w="867" w:type="dxa"/>
            <w:vAlign w:val="center"/>
          </w:tcPr>
          <w:p w14:paraId="232F3DDB">
            <w:pPr>
              <w:ind w:right="-111"/>
              <w:jc w:val="center"/>
              <w:rPr>
                <w:rFonts w:ascii="宋体" w:hAnsi="宋体"/>
                <w:szCs w:val="21"/>
              </w:rPr>
            </w:pPr>
          </w:p>
        </w:tc>
      </w:tr>
      <w:tr w14:paraId="050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9FE8FEB">
            <w:pPr>
              <w:jc w:val="center"/>
            </w:pPr>
            <w:r>
              <w:rPr>
                <w:rFonts w:hint="eastAsia" w:ascii="黑体" w:hAnsi="宋体" w:eastAsia="黑体"/>
                <w:szCs w:val="44"/>
              </w:rPr>
              <w:t>4</w:t>
            </w:r>
          </w:p>
        </w:tc>
        <w:tc>
          <w:tcPr>
            <w:tcW w:w="1009" w:type="dxa"/>
            <w:vAlign w:val="center"/>
          </w:tcPr>
          <w:p w14:paraId="76B5BF58">
            <w:pPr>
              <w:jc w:val="center"/>
            </w:pPr>
          </w:p>
        </w:tc>
        <w:tc>
          <w:tcPr>
            <w:tcW w:w="1010" w:type="dxa"/>
            <w:vAlign w:val="center"/>
          </w:tcPr>
          <w:p w14:paraId="3D3D5A54">
            <w:pPr>
              <w:jc w:val="center"/>
            </w:pPr>
          </w:p>
        </w:tc>
        <w:tc>
          <w:tcPr>
            <w:tcW w:w="1009" w:type="dxa"/>
            <w:vAlign w:val="center"/>
          </w:tcPr>
          <w:p w14:paraId="36299A34">
            <w:pPr>
              <w:jc w:val="center"/>
            </w:pPr>
          </w:p>
        </w:tc>
        <w:tc>
          <w:tcPr>
            <w:tcW w:w="1097" w:type="dxa"/>
            <w:vAlign w:val="center"/>
          </w:tcPr>
          <w:p w14:paraId="13BE070D">
            <w:pPr>
              <w:jc w:val="center"/>
            </w:pPr>
          </w:p>
        </w:tc>
        <w:tc>
          <w:tcPr>
            <w:tcW w:w="2022" w:type="dxa"/>
            <w:vAlign w:val="center"/>
          </w:tcPr>
          <w:p w14:paraId="4E5DB528">
            <w:pPr>
              <w:jc w:val="center"/>
            </w:pPr>
          </w:p>
        </w:tc>
        <w:tc>
          <w:tcPr>
            <w:tcW w:w="886" w:type="dxa"/>
            <w:vAlign w:val="center"/>
          </w:tcPr>
          <w:p w14:paraId="1D348C18">
            <w:pPr>
              <w:ind w:right="-105"/>
              <w:jc w:val="center"/>
              <w:rPr>
                <w:rFonts w:ascii="宋体" w:hAnsi="宋体"/>
                <w:szCs w:val="21"/>
              </w:rPr>
            </w:pPr>
          </w:p>
        </w:tc>
        <w:tc>
          <w:tcPr>
            <w:tcW w:w="867" w:type="dxa"/>
            <w:vAlign w:val="center"/>
          </w:tcPr>
          <w:p w14:paraId="63B7B7A0">
            <w:pPr>
              <w:ind w:right="-111"/>
              <w:jc w:val="center"/>
              <w:rPr>
                <w:rFonts w:ascii="宋体" w:hAnsi="宋体"/>
                <w:szCs w:val="21"/>
              </w:rPr>
            </w:pPr>
          </w:p>
        </w:tc>
      </w:tr>
      <w:tr w14:paraId="6EED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C219B55">
            <w:pPr>
              <w:jc w:val="center"/>
            </w:pPr>
            <w:r>
              <w:rPr>
                <w:rFonts w:hint="eastAsia" w:ascii="黑体" w:hAnsi="宋体" w:eastAsia="黑体"/>
                <w:szCs w:val="44"/>
              </w:rPr>
              <w:t>5</w:t>
            </w:r>
          </w:p>
        </w:tc>
        <w:tc>
          <w:tcPr>
            <w:tcW w:w="1009" w:type="dxa"/>
            <w:vAlign w:val="center"/>
          </w:tcPr>
          <w:p w14:paraId="6985FD54">
            <w:pPr>
              <w:jc w:val="center"/>
            </w:pPr>
          </w:p>
        </w:tc>
        <w:tc>
          <w:tcPr>
            <w:tcW w:w="1010" w:type="dxa"/>
            <w:vAlign w:val="center"/>
          </w:tcPr>
          <w:p w14:paraId="08FC3F0B">
            <w:pPr>
              <w:jc w:val="center"/>
            </w:pPr>
          </w:p>
        </w:tc>
        <w:tc>
          <w:tcPr>
            <w:tcW w:w="1009" w:type="dxa"/>
            <w:vAlign w:val="center"/>
          </w:tcPr>
          <w:p w14:paraId="5E1DD458">
            <w:pPr>
              <w:jc w:val="center"/>
            </w:pPr>
          </w:p>
        </w:tc>
        <w:tc>
          <w:tcPr>
            <w:tcW w:w="1097" w:type="dxa"/>
            <w:vAlign w:val="center"/>
          </w:tcPr>
          <w:p w14:paraId="5BC2F3E3">
            <w:pPr>
              <w:jc w:val="center"/>
            </w:pPr>
          </w:p>
        </w:tc>
        <w:tc>
          <w:tcPr>
            <w:tcW w:w="2022" w:type="dxa"/>
            <w:vAlign w:val="center"/>
          </w:tcPr>
          <w:p w14:paraId="1D210873">
            <w:pPr>
              <w:jc w:val="center"/>
            </w:pPr>
          </w:p>
        </w:tc>
        <w:tc>
          <w:tcPr>
            <w:tcW w:w="886" w:type="dxa"/>
            <w:vAlign w:val="center"/>
          </w:tcPr>
          <w:p w14:paraId="38363451">
            <w:pPr>
              <w:ind w:right="-105"/>
              <w:jc w:val="center"/>
              <w:rPr>
                <w:rFonts w:ascii="宋体" w:hAnsi="宋体"/>
                <w:szCs w:val="21"/>
              </w:rPr>
            </w:pPr>
          </w:p>
        </w:tc>
        <w:tc>
          <w:tcPr>
            <w:tcW w:w="867" w:type="dxa"/>
            <w:vAlign w:val="center"/>
          </w:tcPr>
          <w:p w14:paraId="44848C35">
            <w:pPr>
              <w:ind w:right="-111"/>
              <w:jc w:val="center"/>
              <w:rPr>
                <w:rFonts w:ascii="宋体" w:hAnsi="宋体"/>
                <w:szCs w:val="21"/>
              </w:rPr>
            </w:pPr>
          </w:p>
        </w:tc>
      </w:tr>
      <w:tr w14:paraId="6565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5886B0F">
            <w:pPr>
              <w:jc w:val="center"/>
            </w:pPr>
            <w:r>
              <w:rPr>
                <w:rFonts w:hint="eastAsia" w:ascii="黑体" w:hAnsi="黑体" w:eastAsia="黑体"/>
                <w:szCs w:val="44"/>
              </w:rPr>
              <w:t>…</w:t>
            </w:r>
          </w:p>
        </w:tc>
        <w:tc>
          <w:tcPr>
            <w:tcW w:w="1009" w:type="dxa"/>
            <w:vAlign w:val="center"/>
          </w:tcPr>
          <w:p w14:paraId="5AE2D70F">
            <w:pPr>
              <w:jc w:val="center"/>
            </w:pPr>
          </w:p>
        </w:tc>
        <w:tc>
          <w:tcPr>
            <w:tcW w:w="1010" w:type="dxa"/>
            <w:vAlign w:val="center"/>
          </w:tcPr>
          <w:p w14:paraId="5C874133">
            <w:pPr>
              <w:jc w:val="center"/>
            </w:pPr>
          </w:p>
        </w:tc>
        <w:tc>
          <w:tcPr>
            <w:tcW w:w="1009" w:type="dxa"/>
            <w:vAlign w:val="center"/>
          </w:tcPr>
          <w:p w14:paraId="68EBF622">
            <w:pPr>
              <w:jc w:val="center"/>
            </w:pPr>
          </w:p>
        </w:tc>
        <w:tc>
          <w:tcPr>
            <w:tcW w:w="1097" w:type="dxa"/>
            <w:vAlign w:val="center"/>
          </w:tcPr>
          <w:p w14:paraId="282206BA">
            <w:pPr>
              <w:jc w:val="center"/>
            </w:pPr>
          </w:p>
        </w:tc>
        <w:tc>
          <w:tcPr>
            <w:tcW w:w="2022" w:type="dxa"/>
            <w:vAlign w:val="center"/>
          </w:tcPr>
          <w:p w14:paraId="12237EA1">
            <w:pPr>
              <w:jc w:val="center"/>
            </w:pPr>
          </w:p>
        </w:tc>
        <w:tc>
          <w:tcPr>
            <w:tcW w:w="886" w:type="dxa"/>
            <w:vAlign w:val="center"/>
          </w:tcPr>
          <w:p w14:paraId="6CC3E715">
            <w:pPr>
              <w:ind w:right="-105"/>
              <w:jc w:val="center"/>
              <w:rPr>
                <w:rFonts w:ascii="宋体" w:hAnsi="宋体"/>
                <w:szCs w:val="21"/>
              </w:rPr>
            </w:pPr>
          </w:p>
        </w:tc>
        <w:tc>
          <w:tcPr>
            <w:tcW w:w="867" w:type="dxa"/>
            <w:vAlign w:val="center"/>
          </w:tcPr>
          <w:p w14:paraId="3B06EE09">
            <w:pPr>
              <w:ind w:right="-111"/>
              <w:jc w:val="center"/>
              <w:rPr>
                <w:rFonts w:ascii="宋体" w:hAnsi="宋体"/>
                <w:szCs w:val="21"/>
              </w:rPr>
            </w:pPr>
          </w:p>
        </w:tc>
      </w:tr>
      <w:tr w14:paraId="50B4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5C08BA4F">
            <w:pPr>
              <w:jc w:val="left"/>
              <w:rPr>
                <w:rFonts w:ascii="宋体" w:hAnsi="宋体"/>
                <w:szCs w:val="44"/>
              </w:rPr>
            </w:pPr>
            <w:r>
              <w:rPr>
                <w:rFonts w:hint="eastAsia"/>
              </w:rPr>
              <w:t xml:space="preserve">评标委员会全体成员签名： </w:t>
            </w:r>
          </w:p>
          <w:p w14:paraId="51F4800B">
            <w:pPr>
              <w:jc w:val="left"/>
              <w:rPr>
                <w:rFonts w:ascii="宋体" w:hAnsi="宋体"/>
                <w:szCs w:val="44"/>
              </w:rPr>
            </w:pPr>
          </w:p>
          <w:p w14:paraId="71B1979D">
            <w:pPr>
              <w:jc w:val="left"/>
              <w:rPr>
                <w:rFonts w:ascii="宋体" w:hAnsi="宋体"/>
                <w:szCs w:val="44"/>
              </w:rPr>
            </w:pPr>
          </w:p>
          <w:p w14:paraId="3D75327D">
            <w:pPr>
              <w:jc w:val="left"/>
              <w:rPr>
                <w:rFonts w:ascii="宋体" w:hAnsi="宋体"/>
                <w:szCs w:val="44"/>
              </w:rPr>
            </w:pPr>
          </w:p>
          <w:p w14:paraId="4FBCA1FD">
            <w:pPr>
              <w:jc w:val="left"/>
              <w:rPr>
                <w:rFonts w:ascii="宋体" w:hAnsi="宋体"/>
                <w:szCs w:val="44"/>
              </w:rPr>
            </w:pPr>
          </w:p>
          <w:p w14:paraId="1AADD2BA">
            <w:pPr>
              <w:jc w:val="left"/>
              <w:rPr>
                <w:rFonts w:ascii="宋体" w:hAnsi="宋体"/>
                <w:szCs w:val="44"/>
              </w:rPr>
            </w:pPr>
          </w:p>
          <w:p w14:paraId="21DC0277">
            <w:pPr>
              <w:jc w:val="left"/>
              <w:rPr>
                <w:rFonts w:ascii="宋体" w:hAnsi="宋体"/>
                <w:szCs w:val="44"/>
              </w:rPr>
            </w:pPr>
          </w:p>
          <w:p w14:paraId="599D0E66">
            <w:pPr>
              <w:ind w:right="-111"/>
              <w:jc w:val="center"/>
              <w:rPr>
                <w:rFonts w:ascii="宋体" w:hAnsi="宋体"/>
                <w:szCs w:val="21"/>
              </w:rPr>
            </w:pPr>
          </w:p>
        </w:tc>
      </w:tr>
    </w:tbl>
    <w:p w14:paraId="79A68445">
      <w:pPr>
        <w:ind w:left="5460" w:hanging="5460" w:hangingChars="2600"/>
      </w:pPr>
      <w:r>
        <w:rPr>
          <w:rFonts w:hint="eastAsia" w:ascii="宋体" w:hAnsi="宋体"/>
          <w:szCs w:val="44"/>
        </w:rPr>
        <w:t xml:space="preserve">                                                   日期：    年    月    日</w:t>
      </w:r>
    </w:p>
    <w:p w14:paraId="6AA8E9CF">
      <w:r>
        <w:br w:type="page"/>
      </w:r>
    </w:p>
    <w:p w14:paraId="18D49298">
      <w:pPr>
        <w:pStyle w:val="25"/>
      </w:pPr>
      <w:bookmarkStart w:id="687" w:name="_Toc165804455"/>
      <w:bookmarkStart w:id="688" w:name="_Toc256000138"/>
      <w:r>
        <w:rPr>
          <w:rFonts w:hint="eastAsia"/>
        </w:rPr>
        <w:t>附表A-</w:t>
      </w:r>
      <w:r>
        <w:t>9</w:t>
      </w:r>
      <w:r>
        <w:rPr>
          <w:rFonts w:hint="eastAsia"/>
        </w:rPr>
        <w:t>：否决投标的情况说明</w:t>
      </w:r>
      <w:bookmarkEnd w:id="687"/>
      <w:bookmarkEnd w:id="688"/>
    </w:p>
    <w:p w14:paraId="264F6EF7">
      <w:pPr>
        <w:spacing w:after="240" w:afterLines="100"/>
        <w:jc w:val="center"/>
        <w:rPr>
          <w:rFonts w:ascii="黑体" w:hAnsi="宋体" w:eastAsia="黑体"/>
          <w:sz w:val="36"/>
          <w:szCs w:val="36"/>
        </w:rPr>
      </w:pPr>
    </w:p>
    <w:p w14:paraId="0E42297B">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否决投标的情况说明</w:t>
      </w:r>
    </w:p>
    <w:p w14:paraId="167EB71F">
      <w:pPr>
        <w:rPr>
          <w:rFonts w:ascii="宋体" w:hAnsi="宋体"/>
          <w:szCs w:val="44"/>
        </w:rPr>
      </w:pPr>
      <w:r>
        <w:rPr>
          <w:rFonts w:hint="eastAsia" w:ascii="宋体" w:hAnsi="宋体"/>
          <w:szCs w:val="44"/>
        </w:rPr>
        <w:t>标段名称：</w:t>
      </w:r>
    </w:p>
    <w:p w14:paraId="78F705AB">
      <w:r>
        <w:rPr>
          <w:rFonts w:hint="eastAsia"/>
          <w:szCs w:val="44"/>
        </w:rPr>
        <w:t>标段唯一标识码：</w:t>
      </w:r>
    </w:p>
    <w:tbl>
      <w:tblPr>
        <w:tblStyle w:val="17"/>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1AC2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1FF3048">
            <w:pPr>
              <w:jc w:val="center"/>
              <w:rPr>
                <w:rFonts w:ascii="宋体" w:hAnsi="宋体"/>
                <w:b/>
                <w:bCs/>
                <w:szCs w:val="21"/>
              </w:rPr>
            </w:pPr>
            <w:r>
              <w:rPr>
                <w:rFonts w:hint="eastAsia" w:ascii="宋体" w:hAnsi="宋体"/>
                <w:b/>
                <w:bCs/>
                <w:szCs w:val="21"/>
              </w:rPr>
              <w:t>序号</w:t>
            </w:r>
          </w:p>
        </w:tc>
        <w:tc>
          <w:tcPr>
            <w:tcW w:w="1548" w:type="dxa"/>
            <w:vAlign w:val="center"/>
          </w:tcPr>
          <w:p w14:paraId="59E4D9C2">
            <w:pPr>
              <w:jc w:val="center"/>
              <w:rPr>
                <w:rFonts w:ascii="宋体" w:hAnsi="宋体"/>
                <w:b/>
                <w:bCs/>
                <w:szCs w:val="21"/>
              </w:rPr>
            </w:pPr>
            <w:r>
              <w:rPr>
                <w:rFonts w:hint="eastAsia" w:ascii="宋体" w:hAnsi="宋体"/>
                <w:b/>
                <w:bCs/>
                <w:szCs w:val="21"/>
              </w:rPr>
              <w:t>投标人名称</w:t>
            </w:r>
          </w:p>
        </w:tc>
        <w:tc>
          <w:tcPr>
            <w:tcW w:w="1780" w:type="dxa"/>
            <w:vAlign w:val="center"/>
          </w:tcPr>
          <w:p w14:paraId="505ED2B4">
            <w:pPr>
              <w:jc w:val="center"/>
              <w:rPr>
                <w:rFonts w:ascii="宋体" w:hAnsi="宋体"/>
                <w:b/>
                <w:bCs/>
                <w:szCs w:val="21"/>
              </w:rPr>
            </w:pPr>
            <w:r>
              <w:rPr>
                <w:rFonts w:hint="eastAsia" w:ascii="宋体" w:hAnsi="宋体"/>
                <w:b/>
                <w:bCs/>
                <w:szCs w:val="21"/>
              </w:rPr>
              <w:t>否决投标的依据</w:t>
            </w:r>
          </w:p>
        </w:tc>
        <w:tc>
          <w:tcPr>
            <w:tcW w:w="4729" w:type="dxa"/>
            <w:vAlign w:val="center"/>
          </w:tcPr>
          <w:p w14:paraId="6077FC28">
            <w:pPr>
              <w:jc w:val="center"/>
              <w:rPr>
                <w:rFonts w:ascii="宋体" w:hAnsi="宋体"/>
                <w:b/>
                <w:bCs/>
                <w:szCs w:val="21"/>
              </w:rPr>
            </w:pPr>
            <w:r>
              <w:rPr>
                <w:rFonts w:hint="eastAsia" w:ascii="宋体" w:hAnsi="宋体"/>
                <w:b/>
                <w:bCs/>
                <w:szCs w:val="21"/>
              </w:rPr>
              <w:t>投标文件存在的具体问题描述</w:t>
            </w:r>
          </w:p>
        </w:tc>
      </w:tr>
      <w:tr w14:paraId="7F65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4CAB851">
            <w:pPr>
              <w:jc w:val="center"/>
              <w:rPr>
                <w:rFonts w:ascii="宋体" w:hAnsi="宋体"/>
                <w:sz w:val="24"/>
              </w:rPr>
            </w:pPr>
            <w:r>
              <w:rPr>
                <w:rFonts w:hint="eastAsia" w:ascii="宋体" w:hAnsi="宋体"/>
                <w:sz w:val="24"/>
              </w:rPr>
              <w:t>1</w:t>
            </w:r>
          </w:p>
        </w:tc>
        <w:tc>
          <w:tcPr>
            <w:tcW w:w="1548" w:type="dxa"/>
            <w:vAlign w:val="center"/>
          </w:tcPr>
          <w:p w14:paraId="37E3E630">
            <w:pPr>
              <w:jc w:val="center"/>
              <w:rPr>
                <w:rFonts w:ascii="仿宋_GB2312" w:hAnsi="宋体" w:eastAsia="仿宋_GB2312"/>
                <w:szCs w:val="21"/>
              </w:rPr>
            </w:pPr>
          </w:p>
        </w:tc>
        <w:tc>
          <w:tcPr>
            <w:tcW w:w="1780" w:type="dxa"/>
            <w:vAlign w:val="center"/>
          </w:tcPr>
          <w:p w14:paraId="13939CCF">
            <w:pPr>
              <w:jc w:val="center"/>
              <w:rPr>
                <w:rFonts w:ascii="仿宋_GB2312" w:hAnsi="宋体" w:eastAsia="仿宋_GB2312"/>
                <w:szCs w:val="21"/>
              </w:rPr>
            </w:pPr>
          </w:p>
        </w:tc>
        <w:tc>
          <w:tcPr>
            <w:tcW w:w="4729" w:type="dxa"/>
            <w:vAlign w:val="center"/>
          </w:tcPr>
          <w:p w14:paraId="11EB9F24">
            <w:pPr>
              <w:jc w:val="center"/>
              <w:rPr>
                <w:rFonts w:ascii="仿宋_GB2312" w:hAnsi="宋体" w:eastAsia="仿宋_GB2312"/>
                <w:szCs w:val="21"/>
              </w:rPr>
            </w:pPr>
          </w:p>
        </w:tc>
      </w:tr>
      <w:tr w14:paraId="57C2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CB5D90F">
            <w:pPr>
              <w:jc w:val="center"/>
              <w:rPr>
                <w:rFonts w:ascii="宋体" w:hAnsi="宋体"/>
                <w:sz w:val="24"/>
              </w:rPr>
            </w:pPr>
            <w:r>
              <w:rPr>
                <w:rFonts w:hint="eastAsia" w:ascii="宋体" w:hAnsi="宋体"/>
                <w:sz w:val="24"/>
              </w:rPr>
              <w:t>2</w:t>
            </w:r>
          </w:p>
        </w:tc>
        <w:tc>
          <w:tcPr>
            <w:tcW w:w="1548" w:type="dxa"/>
            <w:vAlign w:val="center"/>
          </w:tcPr>
          <w:p w14:paraId="2B3840C8">
            <w:pPr>
              <w:jc w:val="center"/>
              <w:rPr>
                <w:rFonts w:ascii="仿宋_GB2312" w:hAnsi="宋体" w:eastAsia="仿宋_GB2312"/>
                <w:szCs w:val="21"/>
              </w:rPr>
            </w:pPr>
          </w:p>
        </w:tc>
        <w:tc>
          <w:tcPr>
            <w:tcW w:w="1780" w:type="dxa"/>
            <w:vAlign w:val="center"/>
          </w:tcPr>
          <w:p w14:paraId="60EFA1EE">
            <w:pPr>
              <w:jc w:val="center"/>
              <w:rPr>
                <w:rFonts w:ascii="仿宋_GB2312" w:hAnsi="宋体" w:eastAsia="仿宋_GB2312"/>
                <w:szCs w:val="21"/>
              </w:rPr>
            </w:pPr>
          </w:p>
        </w:tc>
        <w:tc>
          <w:tcPr>
            <w:tcW w:w="4729" w:type="dxa"/>
            <w:vAlign w:val="center"/>
          </w:tcPr>
          <w:p w14:paraId="0D41F93A">
            <w:pPr>
              <w:jc w:val="center"/>
              <w:rPr>
                <w:rFonts w:ascii="仿宋_GB2312" w:hAnsi="宋体" w:eastAsia="仿宋_GB2312"/>
                <w:szCs w:val="21"/>
              </w:rPr>
            </w:pPr>
          </w:p>
        </w:tc>
      </w:tr>
      <w:tr w14:paraId="4A3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48B73FE">
            <w:pPr>
              <w:jc w:val="center"/>
              <w:rPr>
                <w:rFonts w:ascii="宋体" w:hAnsi="宋体"/>
                <w:sz w:val="24"/>
              </w:rPr>
            </w:pPr>
            <w:r>
              <w:rPr>
                <w:rFonts w:hint="eastAsia" w:ascii="宋体" w:hAnsi="宋体"/>
                <w:sz w:val="24"/>
              </w:rPr>
              <w:t>3</w:t>
            </w:r>
          </w:p>
        </w:tc>
        <w:tc>
          <w:tcPr>
            <w:tcW w:w="1548" w:type="dxa"/>
            <w:vAlign w:val="center"/>
          </w:tcPr>
          <w:p w14:paraId="3EA532F9">
            <w:pPr>
              <w:jc w:val="center"/>
              <w:rPr>
                <w:rFonts w:ascii="仿宋_GB2312" w:hAnsi="宋体" w:eastAsia="仿宋_GB2312"/>
                <w:szCs w:val="21"/>
              </w:rPr>
            </w:pPr>
          </w:p>
        </w:tc>
        <w:tc>
          <w:tcPr>
            <w:tcW w:w="1780" w:type="dxa"/>
            <w:vAlign w:val="center"/>
          </w:tcPr>
          <w:p w14:paraId="60763EFB">
            <w:pPr>
              <w:jc w:val="center"/>
              <w:rPr>
                <w:rFonts w:ascii="仿宋_GB2312" w:hAnsi="宋体" w:eastAsia="仿宋_GB2312"/>
                <w:szCs w:val="21"/>
              </w:rPr>
            </w:pPr>
          </w:p>
        </w:tc>
        <w:tc>
          <w:tcPr>
            <w:tcW w:w="4729" w:type="dxa"/>
            <w:vAlign w:val="center"/>
          </w:tcPr>
          <w:p w14:paraId="2F616C8E">
            <w:pPr>
              <w:jc w:val="center"/>
              <w:rPr>
                <w:rFonts w:ascii="仿宋_GB2312" w:hAnsi="宋体" w:eastAsia="仿宋_GB2312"/>
                <w:szCs w:val="21"/>
              </w:rPr>
            </w:pPr>
          </w:p>
        </w:tc>
      </w:tr>
      <w:tr w14:paraId="39F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D1DA56C">
            <w:pPr>
              <w:jc w:val="center"/>
              <w:rPr>
                <w:rFonts w:ascii="宋体" w:hAnsi="宋体"/>
                <w:sz w:val="24"/>
              </w:rPr>
            </w:pPr>
            <w:r>
              <w:rPr>
                <w:rFonts w:hint="eastAsia" w:ascii="宋体" w:hAnsi="宋体"/>
                <w:sz w:val="24"/>
              </w:rPr>
              <w:t>4</w:t>
            </w:r>
          </w:p>
        </w:tc>
        <w:tc>
          <w:tcPr>
            <w:tcW w:w="1548" w:type="dxa"/>
            <w:vAlign w:val="center"/>
          </w:tcPr>
          <w:p w14:paraId="1F0E2E5A">
            <w:pPr>
              <w:jc w:val="center"/>
              <w:rPr>
                <w:rFonts w:ascii="仿宋_GB2312" w:hAnsi="宋体" w:eastAsia="仿宋_GB2312"/>
                <w:szCs w:val="21"/>
              </w:rPr>
            </w:pPr>
          </w:p>
        </w:tc>
        <w:tc>
          <w:tcPr>
            <w:tcW w:w="1780" w:type="dxa"/>
            <w:vAlign w:val="center"/>
          </w:tcPr>
          <w:p w14:paraId="3255055F">
            <w:pPr>
              <w:jc w:val="center"/>
              <w:rPr>
                <w:rFonts w:ascii="仿宋_GB2312" w:hAnsi="宋体" w:eastAsia="仿宋_GB2312"/>
                <w:szCs w:val="21"/>
              </w:rPr>
            </w:pPr>
          </w:p>
        </w:tc>
        <w:tc>
          <w:tcPr>
            <w:tcW w:w="4729" w:type="dxa"/>
            <w:vAlign w:val="center"/>
          </w:tcPr>
          <w:p w14:paraId="321D565D">
            <w:pPr>
              <w:jc w:val="center"/>
              <w:rPr>
                <w:rFonts w:ascii="仿宋_GB2312" w:hAnsi="宋体" w:eastAsia="仿宋_GB2312"/>
                <w:szCs w:val="21"/>
              </w:rPr>
            </w:pPr>
          </w:p>
        </w:tc>
      </w:tr>
      <w:tr w14:paraId="4281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5F20DEF">
            <w:pPr>
              <w:jc w:val="center"/>
              <w:rPr>
                <w:rFonts w:ascii="宋体" w:hAnsi="宋体"/>
                <w:sz w:val="24"/>
              </w:rPr>
            </w:pPr>
            <w:r>
              <w:rPr>
                <w:rFonts w:hint="eastAsia" w:ascii="宋体" w:hAnsi="宋体"/>
                <w:sz w:val="24"/>
              </w:rPr>
              <w:t>5</w:t>
            </w:r>
          </w:p>
        </w:tc>
        <w:tc>
          <w:tcPr>
            <w:tcW w:w="1548" w:type="dxa"/>
            <w:vAlign w:val="center"/>
          </w:tcPr>
          <w:p w14:paraId="7CA62FEB">
            <w:pPr>
              <w:jc w:val="center"/>
              <w:rPr>
                <w:rFonts w:ascii="仿宋_GB2312" w:hAnsi="宋体" w:eastAsia="仿宋_GB2312"/>
                <w:szCs w:val="21"/>
              </w:rPr>
            </w:pPr>
          </w:p>
        </w:tc>
        <w:tc>
          <w:tcPr>
            <w:tcW w:w="1780" w:type="dxa"/>
            <w:vAlign w:val="center"/>
          </w:tcPr>
          <w:p w14:paraId="5E640B65">
            <w:pPr>
              <w:jc w:val="center"/>
              <w:rPr>
                <w:rFonts w:ascii="仿宋_GB2312" w:hAnsi="宋体" w:eastAsia="仿宋_GB2312"/>
                <w:szCs w:val="21"/>
              </w:rPr>
            </w:pPr>
          </w:p>
        </w:tc>
        <w:tc>
          <w:tcPr>
            <w:tcW w:w="4729" w:type="dxa"/>
            <w:vAlign w:val="center"/>
          </w:tcPr>
          <w:p w14:paraId="68B23BA5">
            <w:pPr>
              <w:jc w:val="center"/>
              <w:rPr>
                <w:rFonts w:ascii="仿宋_GB2312" w:hAnsi="宋体" w:eastAsia="仿宋_GB2312"/>
                <w:szCs w:val="21"/>
              </w:rPr>
            </w:pPr>
          </w:p>
        </w:tc>
      </w:tr>
      <w:tr w14:paraId="46E6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D721350">
            <w:pPr>
              <w:jc w:val="center"/>
              <w:rPr>
                <w:rFonts w:ascii="宋体" w:hAnsi="宋体"/>
                <w:sz w:val="24"/>
              </w:rPr>
            </w:pPr>
            <w:r>
              <w:rPr>
                <w:rFonts w:hint="eastAsia" w:ascii="宋体" w:hAnsi="宋体"/>
                <w:sz w:val="24"/>
              </w:rPr>
              <w:t>6</w:t>
            </w:r>
          </w:p>
        </w:tc>
        <w:tc>
          <w:tcPr>
            <w:tcW w:w="1548" w:type="dxa"/>
            <w:vAlign w:val="center"/>
          </w:tcPr>
          <w:p w14:paraId="603BD4AC">
            <w:pPr>
              <w:jc w:val="center"/>
              <w:rPr>
                <w:rFonts w:ascii="仿宋_GB2312" w:hAnsi="宋体" w:eastAsia="仿宋_GB2312"/>
                <w:szCs w:val="21"/>
              </w:rPr>
            </w:pPr>
          </w:p>
        </w:tc>
        <w:tc>
          <w:tcPr>
            <w:tcW w:w="1780" w:type="dxa"/>
            <w:vAlign w:val="center"/>
          </w:tcPr>
          <w:p w14:paraId="4B5A0667">
            <w:pPr>
              <w:jc w:val="center"/>
              <w:rPr>
                <w:rFonts w:ascii="仿宋_GB2312" w:hAnsi="宋体" w:eastAsia="仿宋_GB2312"/>
                <w:szCs w:val="21"/>
              </w:rPr>
            </w:pPr>
          </w:p>
        </w:tc>
        <w:tc>
          <w:tcPr>
            <w:tcW w:w="4729" w:type="dxa"/>
            <w:vAlign w:val="center"/>
          </w:tcPr>
          <w:p w14:paraId="163E31A3">
            <w:pPr>
              <w:jc w:val="center"/>
              <w:rPr>
                <w:rFonts w:ascii="仿宋_GB2312" w:hAnsi="宋体" w:eastAsia="仿宋_GB2312"/>
                <w:szCs w:val="21"/>
              </w:rPr>
            </w:pPr>
          </w:p>
        </w:tc>
      </w:tr>
      <w:tr w14:paraId="3096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AA1FC0C">
            <w:pPr>
              <w:jc w:val="center"/>
              <w:rPr>
                <w:rFonts w:ascii="宋体" w:hAnsi="宋体"/>
                <w:sz w:val="24"/>
              </w:rPr>
            </w:pPr>
            <w:r>
              <w:rPr>
                <w:rFonts w:hint="eastAsia" w:ascii="宋体" w:hAnsi="宋体"/>
                <w:sz w:val="24"/>
              </w:rPr>
              <w:t>7</w:t>
            </w:r>
          </w:p>
        </w:tc>
        <w:tc>
          <w:tcPr>
            <w:tcW w:w="1548" w:type="dxa"/>
            <w:vAlign w:val="center"/>
          </w:tcPr>
          <w:p w14:paraId="45694D8B">
            <w:pPr>
              <w:jc w:val="center"/>
              <w:rPr>
                <w:rFonts w:ascii="仿宋_GB2312" w:hAnsi="宋体" w:eastAsia="仿宋_GB2312"/>
                <w:szCs w:val="21"/>
              </w:rPr>
            </w:pPr>
          </w:p>
        </w:tc>
        <w:tc>
          <w:tcPr>
            <w:tcW w:w="1780" w:type="dxa"/>
            <w:vAlign w:val="center"/>
          </w:tcPr>
          <w:p w14:paraId="0C04DC5B">
            <w:pPr>
              <w:jc w:val="center"/>
              <w:rPr>
                <w:rFonts w:ascii="仿宋_GB2312" w:hAnsi="宋体" w:eastAsia="仿宋_GB2312"/>
                <w:szCs w:val="21"/>
              </w:rPr>
            </w:pPr>
          </w:p>
        </w:tc>
        <w:tc>
          <w:tcPr>
            <w:tcW w:w="4729" w:type="dxa"/>
            <w:vAlign w:val="center"/>
          </w:tcPr>
          <w:p w14:paraId="16F7061A">
            <w:pPr>
              <w:jc w:val="center"/>
              <w:rPr>
                <w:rFonts w:ascii="仿宋_GB2312" w:hAnsi="宋体" w:eastAsia="仿宋_GB2312"/>
                <w:szCs w:val="21"/>
              </w:rPr>
            </w:pPr>
          </w:p>
        </w:tc>
      </w:tr>
      <w:tr w14:paraId="6175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784ED0C">
            <w:pPr>
              <w:jc w:val="center"/>
              <w:rPr>
                <w:rFonts w:ascii="宋体" w:hAnsi="宋体"/>
                <w:sz w:val="24"/>
              </w:rPr>
            </w:pPr>
            <w:r>
              <w:rPr>
                <w:rFonts w:hint="eastAsia" w:ascii="宋体" w:hAnsi="宋体"/>
                <w:sz w:val="24"/>
              </w:rPr>
              <w:t>8</w:t>
            </w:r>
          </w:p>
        </w:tc>
        <w:tc>
          <w:tcPr>
            <w:tcW w:w="1548" w:type="dxa"/>
            <w:vAlign w:val="center"/>
          </w:tcPr>
          <w:p w14:paraId="0BC9DBD1">
            <w:pPr>
              <w:jc w:val="center"/>
              <w:rPr>
                <w:rFonts w:ascii="仿宋_GB2312" w:hAnsi="宋体" w:eastAsia="仿宋_GB2312"/>
                <w:szCs w:val="21"/>
              </w:rPr>
            </w:pPr>
          </w:p>
        </w:tc>
        <w:tc>
          <w:tcPr>
            <w:tcW w:w="1780" w:type="dxa"/>
            <w:vAlign w:val="center"/>
          </w:tcPr>
          <w:p w14:paraId="52DBFCF3">
            <w:pPr>
              <w:jc w:val="center"/>
              <w:rPr>
                <w:rFonts w:ascii="仿宋_GB2312" w:hAnsi="宋体" w:eastAsia="仿宋_GB2312"/>
                <w:szCs w:val="21"/>
              </w:rPr>
            </w:pPr>
          </w:p>
        </w:tc>
        <w:tc>
          <w:tcPr>
            <w:tcW w:w="4729" w:type="dxa"/>
            <w:vAlign w:val="center"/>
          </w:tcPr>
          <w:p w14:paraId="75A415F1">
            <w:pPr>
              <w:jc w:val="center"/>
              <w:rPr>
                <w:rFonts w:ascii="仿宋_GB2312" w:hAnsi="宋体" w:eastAsia="仿宋_GB2312"/>
                <w:szCs w:val="21"/>
              </w:rPr>
            </w:pPr>
          </w:p>
        </w:tc>
      </w:tr>
      <w:tr w14:paraId="56B2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7C790F4">
            <w:pPr>
              <w:jc w:val="center"/>
              <w:rPr>
                <w:rFonts w:ascii="宋体" w:hAnsi="宋体"/>
                <w:sz w:val="24"/>
              </w:rPr>
            </w:pPr>
            <w:r>
              <w:rPr>
                <w:rFonts w:hint="eastAsia" w:ascii="宋体" w:hAnsi="宋体"/>
                <w:szCs w:val="44"/>
              </w:rPr>
              <w:t>…</w:t>
            </w:r>
          </w:p>
        </w:tc>
        <w:tc>
          <w:tcPr>
            <w:tcW w:w="1548" w:type="dxa"/>
            <w:vAlign w:val="center"/>
          </w:tcPr>
          <w:p w14:paraId="7537C6D6">
            <w:pPr>
              <w:jc w:val="center"/>
              <w:rPr>
                <w:rFonts w:ascii="仿宋_GB2312" w:hAnsi="宋体" w:eastAsia="仿宋_GB2312"/>
                <w:szCs w:val="21"/>
              </w:rPr>
            </w:pPr>
          </w:p>
        </w:tc>
        <w:tc>
          <w:tcPr>
            <w:tcW w:w="1780" w:type="dxa"/>
            <w:vAlign w:val="center"/>
          </w:tcPr>
          <w:p w14:paraId="0E21501E">
            <w:pPr>
              <w:jc w:val="center"/>
              <w:rPr>
                <w:rFonts w:ascii="仿宋_GB2312" w:hAnsi="宋体" w:eastAsia="仿宋_GB2312"/>
                <w:szCs w:val="21"/>
              </w:rPr>
            </w:pPr>
          </w:p>
        </w:tc>
        <w:tc>
          <w:tcPr>
            <w:tcW w:w="4729" w:type="dxa"/>
            <w:vAlign w:val="center"/>
          </w:tcPr>
          <w:p w14:paraId="277F51A4">
            <w:pPr>
              <w:jc w:val="center"/>
              <w:rPr>
                <w:rFonts w:ascii="仿宋_GB2312" w:hAnsi="宋体" w:eastAsia="仿宋_GB2312"/>
                <w:szCs w:val="21"/>
              </w:rPr>
            </w:pPr>
          </w:p>
        </w:tc>
      </w:tr>
      <w:tr w14:paraId="1FE5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7EFA680E">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7DE836E3">
            <w:pPr>
              <w:jc w:val="left"/>
              <w:rPr>
                <w:rFonts w:ascii="宋体" w:hAnsi="宋体"/>
                <w:szCs w:val="44"/>
              </w:rPr>
            </w:pPr>
          </w:p>
          <w:p w14:paraId="3CB9BE54">
            <w:pPr>
              <w:jc w:val="left"/>
              <w:rPr>
                <w:rFonts w:ascii="宋体" w:hAnsi="宋体"/>
                <w:szCs w:val="44"/>
              </w:rPr>
            </w:pPr>
          </w:p>
          <w:p w14:paraId="69B03492">
            <w:pPr>
              <w:jc w:val="left"/>
              <w:rPr>
                <w:rFonts w:ascii="宋体" w:hAnsi="宋体"/>
                <w:szCs w:val="44"/>
              </w:rPr>
            </w:pPr>
          </w:p>
          <w:p w14:paraId="22B80FAF">
            <w:pPr>
              <w:jc w:val="left"/>
              <w:rPr>
                <w:rFonts w:ascii="宋体" w:hAnsi="宋体"/>
                <w:szCs w:val="44"/>
              </w:rPr>
            </w:pPr>
          </w:p>
          <w:p w14:paraId="3D196E20">
            <w:pPr>
              <w:jc w:val="left"/>
              <w:rPr>
                <w:rFonts w:ascii="宋体" w:hAnsi="宋体"/>
                <w:szCs w:val="44"/>
              </w:rPr>
            </w:pPr>
          </w:p>
          <w:p w14:paraId="5CF73352">
            <w:pPr>
              <w:jc w:val="left"/>
              <w:rPr>
                <w:rFonts w:ascii="宋体" w:hAnsi="宋体"/>
                <w:szCs w:val="44"/>
              </w:rPr>
            </w:pPr>
          </w:p>
          <w:p w14:paraId="68D2561A">
            <w:pPr>
              <w:jc w:val="center"/>
              <w:rPr>
                <w:rFonts w:ascii="仿宋_GB2312" w:hAnsi="宋体" w:eastAsia="仿宋_GB2312"/>
                <w:szCs w:val="21"/>
              </w:rPr>
            </w:pPr>
          </w:p>
        </w:tc>
      </w:tr>
    </w:tbl>
    <w:p w14:paraId="1CED0260">
      <w:pPr>
        <w:rPr>
          <w:rFonts w:ascii="宋体" w:hAnsi="宋体"/>
          <w:szCs w:val="44"/>
        </w:rPr>
      </w:pPr>
      <w:r>
        <w:rPr>
          <w:rFonts w:ascii="宋体" w:hAnsi="宋体"/>
          <w:szCs w:val="44"/>
        </w:rPr>
        <w:t xml:space="preserve">        </w:t>
      </w:r>
      <w:r>
        <w:rPr>
          <w:rFonts w:hint="eastAsia" w:ascii="宋体" w:hAnsi="宋体"/>
          <w:szCs w:val="44"/>
        </w:rPr>
        <w:t xml:space="preserve">                        </w:t>
      </w:r>
      <w:r>
        <w:rPr>
          <w:rFonts w:ascii="宋体" w:hAnsi="宋体"/>
          <w:szCs w:val="44"/>
        </w:rPr>
        <w:t xml:space="preserve">                      </w:t>
      </w:r>
      <w:r>
        <w:rPr>
          <w:rFonts w:hint="eastAsia" w:ascii="宋体" w:hAnsi="宋体"/>
          <w:szCs w:val="44"/>
        </w:rPr>
        <w:t>日期：    年    月    日</w:t>
      </w:r>
    </w:p>
    <w:p w14:paraId="35C1D8F0"/>
    <w:p w14:paraId="381AAF6B">
      <w:r>
        <w:br w:type="page"/>
      </w:r>
    </w:p>
    <w:p w14:paraId="75143D27">
      <w:pPr>
        <w:pStyle w:val="25"/>
      </w:pPr>
      <w:bookmarkStart w:id="689" w:name="_Toc165804456"/>
      <w:bookmarkStart w:id="690" w:name="_Toc256000139"/>
      <w:r>
        <w:rPr>
          <w:rFonts w:hint="eastAsia"/>
        </w:rPr>
        <w:t>附表A-</w:t>
      </w:r>
      <w:r>
        <w:t>10</w:t>
      </w:r>
      <w:r>
        <w:rPr>
          <w:rFonts w:hint="eastAsia"/>
        </w:rPr>
        <w:t>：经济标评分记录表</w:t>
      </w:r>
      <w:bookmarkEnd w:id="689"/>
      <w:bookmarkEnd w:id="690"/>
    </w:p>
    <w:p w14:paraId="778F29EC">
      <w:pPr>
        <w:spacing w:after="240" w:afterLines="100"/>
        <w:jc w:val="center"/>
        <w:rPr>
          <w:rFonts w:ascii="黑体" w:hAnsi="宋体" w:eastAsia="黑体"/>
          <w:sz w:val="36"/>
          <w:szCs w:val="36"/>
        </w:rPr>
      </w:pPr>
    </w:p>
    <w:p w14:paraId="5C6082B2">
      <w:pPr>
        <w:adjustRightInd w:val="0"/>
        <w:snapToGrid w:val="0"/>
        <w:spacing w:before="240" w:beforeLines="100" w:after="240" w:afterLines="100" w:line="440" w:lineRule="exact"/>
        <w:jc w:val="center"/>
        <w:rPr>
          <w:rFonts w:ascii="黑体" w:hAnsi="黑体" w:eastAsia="黑体"/>
          <w:sz w:val="36"/>
          <w:szCs w:val="36"/>
        </w:rPr>
      </w:pPr>
      <w:bookmarkStart w:id="691" w:name="_Hlk150330919"/>
      <w:r>
        <w:rPr>
          <w:rFonts w:hint="eastAsia" w:ascii="黑体" w:hAnsi="黑体" w:eastAsia="黑体"/>
          <w:sz w:val="36"/>
          <w:szCs w:val="36"/>
        </w:rPr>
        <w:t>经济标评分记录表</w:t>
      </w:r>
    </w:p>
    <w:p w14:paraId="587A1131">
      <w:pPr>
        <w:rPr>
          <w:rFonts w:ascii="宋体" w:hAnsi="宋体"/>
          <w:szCs w:val="44"/>
        </w:rPr>
      </w:pPr>
      <w:r>
        <w:rPr>
          <w:rFonts w:hint="eastAsia" w:ascii="宋体" w:hAnsi="宋体"/>
          <w:szCs w:val="44"/>
        </w:rPr>
        <w:t>标段名称：</w:t>
      </w:r>
    </w:p>
    <w:p w14:paraId="7D6CDC8B">
      <w:r>
        <w:rPr>
          <w:rFonts w:hint="eastAsia"/>
          <w:szCs w:val="44"/>
        </w:rPr>
        <w:t xml:space="preserve">标段唯一标识码： </w:t>
      </w:r>
      <w:r>
        <w:rPr>
          <w:szCs w:val="44"/>
        </w:rPr>
        <w:t xml:space="preserve">                                              </w:t>
      </w:r>
      <w:r>
        <w:rPr>
          <w:rFonts w:hint="eastAsia"/>
        </w:rPr>
        <w:t>单位：人民币元</w:t>
      </w:r>
    </w:p>
    <w:tbl>
      <w:tblPr>
        <w:tblStyle w:val="1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716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5E13094A">
            <w:pPr>
              <w:jc w:val="center"/>
              <w:rPr>
                <w:b/>
                <w:bCs/>
              </w:rPr>
            </w:pPr>
            <w:r>
              <w:rPr>
                <w:rFonts w:hint="eastAsia"/>
                <w:b/>
                <w:bCs/>
              </w:rPr>
              <w:t>序号</w:t>
            </w:r>
          </w:p>
        </w:tc>
        <w:tc>
          <w:tcPr>
            <w:tcW w:w="1331" w:type="dxa"/>
            <w:vMerge w:val="restart"/>
            <w:vAlign w:val="center"/>
          </w:tcPr>
          <w:p w14:paraId="49E92987">
            <w:pPr>
              <w:jc w:val="center"/>
              <w:rPr>
                <w:b/>
                <w:bCs/>
              </w:rPr>
            </w:pPr>
            <w:r>
              <w:rPr>
                <w:rFonts w:hint="eastAsia"/>
                <w:b/>
                <w:bCs/>
              </w:rPr>
              <w:t>投标人名称</w:t>
            </w:r>
          </w:p>
        </w:tc>
        <w:tc>
          <w:tcPr>
            <w:tcW w:w="6592" w:type="dxa"/>
            <w:gridSpan w:val="7"/>
            <w:vAlign w:val="center"/>
          </w:tcPr>
          <w:p w14:paraId="4A88132A">
            <w:pPr>
              <w:jc w:val="center"/>
              <w:rPr>
                <w:b/>
                <w:bCs/>
              </w:rPr>
            </w:pPr>
            <w:r>
              <w:rPr>
                <w:rFonts w:hint="eastAsia"/>
                <w:b/>
                <w:bCs/>
              </w:rPr>
              <w:t>评审项目</w:t>
            </w:r>
          </w:p>
        </w:tc>
      </w:tr>
      <w:tr w14:paraId="10F9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31C27351">
            <w:pPr>
              <w:jc w:val="center"/>
              <w:rPr>
                <w:b/>
                <w:bCs/>
              </w:rPr>
            </w:pPr>
          </w:p>
        </w:tc>
        <w:tc>
          <w:tcPr>
            <w:tcW w:w="1331" w:type="dxa"/>
            <w:vMerge w:val="continue"/>
            <w:vAlign w:val="center"/>
          </w:tcPr>
          <w:p w14:paraId="0DC509C1">
            <w:pPr>
              <w:jc w:val="center"/>
              <w:rPr>
                <w:b/>
                <w:bCs/>
              </w:rPr>
            </w:pPr>
          </w:p>
        </w:tc>
        <w:tc>
          <w:tcPr>
            <w:tcW w:w="701" w:type="dxa"/>
            <w:vAlign w:val="center"/>
          </w:tcPr>
          <w:p w14:paraId="248865AC">
            <w:pPr>
              <w:jc w:val="center"/>
              <w:rPr>
                <w:b/>
                <w:bCs/>
              </w:rPr>
            </w:pPr>
            <w:r>
              <w:rPr>
                <w:rFonts w:hint="eastAsia"/>
                <w:b/>
                <w:bCs/>
              </w:rPr>
              <w:t>投标报价</w:t>
            </w:r>
          </w:p>
        </w:tc>
        <w:tc>
          <w:tcPr>
            <w:tcW w:w="997" w:type="dxa"/>
            <w:vAlign w:val="center"/>
          </w:tcPr>
          <w:p w14:paraId="2CEEA05C">
            <w:pPr>
              <w:jc w:val="center"/>
              <w:rPr>
                <w:b/>
                <w:bCs/>
              </w:rPr>
            </w:pPr>
            <w:r>
              <w:rPr>
                <w:rFonts w:hint="eastAsia" w:ascii="宋体" w:hAnsi="宋体" w:cs="Arial"/>
                <w:b/>
                <w:bCs/>
                <w:szCs w:val="21"/>
              </w:rPr>
              <w:t>修正后投标报价（如有）</w:t>
            </w:r>
          </w:p>
        </w:tc>
        <w:tc>
          <w:tcPr>
            <w:tcW w:w="738" w:type="dxa"/>
            <w:vAlign w:val="center"/>
          </w:tcPr>
          <w:p w14:paraId="5F3F282F">
            <w:pPr>
              <w:jc w:val="center"/>
              <w:rPr>
                <w:b/>
                <w:bCs/>
              </w:rPr>
            </w:pPr>
            <w:r>
              <w:rPr>
                <w:rFonts w:hint="eastAsia" w:ascii="宋体" w:hAnsi="宋体" w:cs="Arial"/>
                <w:b/>
                <w:bCs/>
                <w:szCs w:val="21"/>
              </w:rPr>
              <w:t>评标价</w:t>
            </w:r>
          </w:p>
        </w:tc>
        <w:tc>
          <w:tcPr>
            <w:tcW w:w="946" w:type="dxa"/>
            <w:vAlign w:val="center"/>
          </w:tcPr>
          <w:p w14:paraId="2F373AE4">
            <w:pPr>
              <w:jc w:val="center"/>
              <w:rPr>
                <w:b/>
                <w:bCs/>
              </w:rPr>
            </w:pPr>
            <w:r>
              <w:rPr>
                <w:rFonts w:hint="eastAsia"/>
                <w:b/>
                <w:bCs/>
              </w:rPr>
              <w:t>评标基准价</w:t>
            </w:r>
          </w:p>
        </w:tc>
        <w:tc>
          <w:tcPr>
            <w:tcW w:w="841" w:type="dxa"/>
            <w:vAlign w:val="center"/>
          </w:tcPr>
          <w:p w14:paraId="49E61A92">
            <w:pPr>
              <w:jc w:val="center"/>
              <w:rPr>
                <w:b/>
                <w:bCs/>
              </w:rPr>
            </w:pPr>
            <w:r>
              <w:rPr>
                <w:rFonts w:hint="eastAsia"/>
                <w:b/>
                <w:bCs/>
              </w:rPr>
              <w:t>偏差率</w:t>
            </w:r>
          </w:p>
        </w:tc>
        <w:tc>
          <w:tcPr>
            <w:tcW w:w="841" w:type="dxa"/>
            <w:vAlign w:val="center"/>
          </w:tcPr>
          <w:p w14:paraId="73A560F4">
            <w:pPr>
              <w:jc w:val="center"/>
              <w:rPr>
                <w:b/>
                <w:bCs/>
              </w:rPr>
            </w:pPr>
            <w:r>
              <w:rPr>
                <w:rFonts w:hint="eastAsia"/>
                <w:b/>
                <w:bCs/>
              </w:rPr>
              <w:t>计算投标报价得分</w:t>
            </w:r>
          </w:p>
        </w:tc>
        <w:tc>
          <w:tcPr>
            <w:tcW w:w="1528" w:type="dxa"/>
            <w:vAlign w:val="center"/>
          </w:tcPr>
          <w:p w14:paraId="41A5AD0E">
            <w:pPr>
              <w:jc w:val="center"/>
              <w:rPr>
                <w:rFonts w:ascii="宋体" w:hAnsi="宋体"/>
                <w:b/>
                <w:bCs/>
                <w:szCs w:val="44"/>
              </w:rPr>
            </w:pPr>
            <w:r>
              <w:rPr>
                <w:rFonts w:hint="eastAsia"/>
                <w:b/>
                <w:bCs/>
              </w:rPr>
              <w:t>投标报价最终得分</w:t>
            </w:r>
          </w:p>
          <w:p w14:paraId="55BBA415">
            <w:pPr>
              <w:jc w:val="center"/>
              <w:rPr>
                <w:b/>
                <w:bCs/>
              </w:rPr>
            </w:pPr>
            <w:r>
              <w:rPr>
                <w:rFonts w:hint="eastAsia" w:ascii="宋体" w:hAnsi="宋体"/>
                <w:b/>
                <w:bCs/>
                <w:szCs w:val="44"/>
              </w:rPr>
              <w:t>（满分  分</w:t>
            </w:r>
            <w:r>
              <w:rPr>
                <w:rFonts w:ascii="宋体" w:hAnsi="宋体"/>
                <w:b/>
                <w:bCs/>
                <w:szCs w:val="44"/>
              </w:rPr>
              <w:t>）</w:t>
            </w:r>
          </w:p>
        </w:tc>
      </w:tr>
      <w:tr w14:paraId="785F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3588611B">
            <w:pPr>
              <w:jc w:val="center"/>
            </w:pPr>
            <w:r>
              <w:rPr>
                <w:rFonts w:hint="eastAsia"/>
              </w:rPr>
              <w:t>1</w:t>
            </w:r>
          </w:p>
        </w:tc>
        <w:tc>
          <w:tcPr>
            <w:tcW w:w="1331" w:type="dxa"/>
            <w:vAlign w:val="center"/>
          </w:tcPr>
          <w:p w14:paraId="4B377530">
            <w:pPr>
              <w:jc w:val="center"/>
            </w:pPr>
          </w:p>
        </w:tc>
        <w:tc>
          <w:tcPr>
            <w:tcW w:w="701" w:type="dxa"/>
            <w:vAlign w:val="center"/>
          </w:tcPr>
          <w:p w14:paraId="7BA14AE2">
            <w:pPr>
              <w:jc w:val="center"/>
            </w:pPr>
          </w:p>
        </w:tc>
        <w:tc>
          <w:tcPr>
            <w:tcW w:w="997" w:type="dxa"/>
            <w:vAlign w:val="center"/>
          </w:tcPr>
          <w:p w14:paraId="0D9D5222">
            <w:pPr>
              <w:jc w:val="center"/>
            </w:pPr>
          </w:p>
        </w:tc>
        <w:tc>
          <w:tcPr>
            <w:tcW w:w="738" w:type="dxa"/>
            <w:vAlign w:val="center"/>
          </w:tcPr>
          <w:p w14:paraId="58E4AFDC">
            <w:pPr>
              <w:jc w:val="center"/>
            </w:pPr>
          </w:p>
        </w:tc>
        <w:tc>
          <w:tcPr>
            <w:tcW w:w="946" w:type="dxa"/>
            <w:vMerge w:val="restart"/>
            <w:vAlign w:val="center"/>
          </w:tcPr>
          <w:p w14:paraId="19A52FB5">
            <w:pPr>
              <w:jc w:val="center"/>
            </w:pPr>
          </w:p>
        </w:tc>
        <w:tc>
          <w:tcPr>
            <w:tcW w:w="841" w:type="dxa"/>
            <w:vAlign w:val="center"/>
          </w:tcPr>
          <w:p w14:paraId="5195BB83">
            <w:pPr>
              <w:jc w:val="center"/>
            </w:pPr>
          </w:p>
        </w:tc>
        <w:tc>
          <w:tcPr>
            <w:tcW w:w="841" w:type="dxa"/>
            <w:vAlign w:val="center"/>
          </w:tcPr>
          <w:p w14:paraId="75D11BEF">
            <w:pPr>
              <w:jc w:val="center"/>
            </w:pPr>
          </w:p>
        </w:tc>
        <w:tc>
          <w:tcPr>
            <w:tcW w:w="1528" w:type="dxa"/>
            <w:vAlign w:val="center"/>
          </w:tcPr>
          <w:p w14:paraId="7324611B">
            <w:pPr>
              <w:jc w:val="center"/>
            </w:pPr>
          </w:p>
        </w:tc>
      </w:tr>
      <w:tr w14:paraId="6B62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0D3BC0C7">
            <w:pPr>
              <w:spacing w:after="120" w:afterLines="50"/>
              <w:jc w:val="center"/>
              <w:rPr>
                <w:rFonts w:ascii="宋体" w:hAnsi="宋体" w:cs="Arial"/>
                <w:szCs w:val="21"/>
              </w:rPr>
            </w:pPr>
            <w:r>
              <w:rPr>
                <w:rFonts w:hint="eastAsia" w:ascii="宋体" w:hAnsi="宋体" w:cs="Arial"/>
                <w:szCs w:val="21"/>
              </w:rPr>
              <w:t>2</w:t>
            </w:r>
          </w:p>
        </w:tc>
        <w:tc>
          <w:tcPr>
            <w:tcW w:w="1331" w:type="dxa"/>
            <w:vAlign w:val="center"/>
          </w:tcPr>
          <w:p w14:paraId="738F7462">
            <w:pPr>
              <w:spacing w:after="120" w:afterLines="50"/>
              <w:jc w:val="center"/>
              <w:rPr>
                <w:rFonts w:ascii="宋体" w:hAnsi="宋体" w:cs="Arial"/>
                <w:szCs w:val="21"/>
              </w:rPr>
            </w:pPr>
          </w:p>
        </w:tc>
        <w:tc>
          <w:tcPr>
            <w:tcW w:w="701" w:type="dxa"/>
            <w:vAlign w:val="center"/>
          </w:tcPr>
          <w:p w14:paraId="4B274616">
            <w:pPr>
              <w:jc w:val="center"/>
            </w:pPr>
          </w:p>
        </w:tc>
        <w:tc>
          <w:tcPr>
            <w:tcW w:w="997" w:type="dxa"/>
            <w:vAlign w:val="center"/>
          </w:tcPr>
          <w:p w14:paraId="3C338E96">
            <w:pPr>
              <w:jc w:val="center"/>
            </w:pPr>
          </w:p>
        </w:tc>
        <w:tc>
          <w:tcPr>
            <w:tcW w:w="738" w:type="dxa"/>
            <w:vAlign w:val="center"/>
          </w:tcPr>
          <w:p w14:paraId="61671D27">
            <w:pPr>
              <w:jc w:val="center"/>
            </w:pPr>
          </w:p>
        </w:tc>
        <w:tc>
          <w:tcPr>
            <w:tcW w:w="946" w:type="dxa"/>
            <w:vMerge w:val="continue"/>
            <w:vAlign w:val="center"/>
          </w:tcPr>
          <w:p w14:paraId="295F25E3">
            <w:pPr>
              <w:jc w:val="center"/>
            </w:pPr>
          </w:p>
        </w:tc>
        <w:tc>
          <w:tcPr>
            <w:tcW w:w="841" w:type="dxa"/>
            <w:vAlign w:val="center"/>
          </w:tcPr>
          <w:p w14:paraId="35605958">
            <w:pPr>
              <w:jc w:val="center"/>
            </w:pPr>
          </w:p>
        </w:tc>
        <w:tc>
          <w:tcPr>
            <w:tcW w:w="841" w:type="dxa"/>
            <w:vAlign w:val="center"/>
          </w:tcPr>
          <w:p w14:paraId="64C7701E">
            <w:pPr>
              <w:jc w:val="center"/>
            </w:pPr>
          </w:p>
        </w:tc>
        <w:tc>
          <w:tcPr>
            <w:tcW w:w="1528" w:type="dxa"/>
            <w:vAlign w:val="center"/>
          </w:tcPr>
          <w:p w14:paraId="36ECFE8F">
            <w:pPr>
              <w:jc w:val="center"/>
            </w:pPr>
          </w:p>
        </w:tc>
      </w:tr>
      <w:tr w14:paraId="7D82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2F1C8AC2">
            <w:pPr>
              <w:jc w:val="center"/>
            </w:pPr>
            <w:r>
              <w:rPr>
                <w:rFonts w:hint="eastAsia"/>
              </w:rPr>
              <w:t>3</w:t>
            </w:r>
          </w:p>
        </w:tc>
        <w:tc>
          <w:tcPr>
            <w:tcW w:w="1331" w:type="dxa"/>
            <w:vAlign w:val="center"/>
          </w:tcPr>
          <w:p w14:paraId="52850448">
            <w:pPr>
              <w:jc w:val="center"/>
            </w:pPr>
          </w:p>
        </w:tc>
        <w:tc>
          <w:tcPr>
            <w:tcW w:w="701" w:type="dxa"/>
            <w:vAlign w:val="center"/>
          </w:tcPr>
          <w:p w14:paraId="3AC1F421">
            <w:pPr>
              <w:jc w:val="center"/>
            </w:pPr>
          </w:p>
        </w:tc>
        <w:tc>
          <w:tcPr>
            <w:tcW w:w="997" w:type="dxa"/>
            <w:vAlign w:val="center"/>
          </w:tcPr>
          <w:p w14:paraId="282A7684">
            <w:pPr>
              <w:jc w:val="center"/>
            </w:pPr>
          </w:p>
        </w:tc>
        <w:tc>
          <w:tcPr>
            <w:tcW w:w="738" w:type="dxa"/>
            <w:vAlign w:val="center"/>
          </w:tcPr>
          <w:p w14:paraId="2F1A714B">
            <w:pPr>
              <w:jc w:val="center"/>
            </w:pPr>
          </w:p>
        </w:tc>
        <w:tc>
          <w:tcPr>
            <w:tcW w:w="946" w:type="dxa"/>
            <w:vMerge w:val="continue"/>
            <w:vAlign w:val="center"/>
          </w:tcPr>
          <w:p w14:paraId="4D936AD9">
            <w:pPr>
              <w:jc w:val="center"/>
            </w:pPr>
          </w:p>
        </w:tc>
        <w:tc>
          <w:tcPr>
            <w:tcW w:w="841" w:type="dxa"/>
            <w:vAlign w:val="center"/>
          </w:tcPr>
          <w:p w14:paraId="3F08C1F1">
            <w:pPr>
              <w:jc w:val="center"/>
            </w:pPr>
          </w:p>
        </w:tc>
        <w:tc>
          <w:tcPr>
            <w:tcW w:w="841" w:type="dxa"/>
            <w:vAlign w:val="center"/>
          </w:tcPr>
          <w:p w14:paraId="2483C72F">
            <w:pPr>
              <w:jc w:val="center"/>
            </w:pPr>
          </w:p>
        </w:tc>
        <w:tc>
          <w:tcPr>
            <w:tcW w:w="1528" w:type="dxa"/>
            <w:vAlign w:val="center"/>
          </w:tcPr>
          <w:p w14:paraId="0424D7F8">
            <w:pPr>
              <w:jc w:val="center"/>
            </w:pPr>
          </w:p>
        </w:tc>
      </w:tr>
      <w:tr w14:paraId="6D76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577" w:type="dxa"/>
            <w:vAlign w:val="center"/>
          </w:tcPr>
          <w:p w14:paraId="2BF883D5">
            <w:pPr>
              <w:jc w:val="center"/>
              <w:rPr>
                <w:rFonts w:ascii="宋体" w:hAnsi="宋体" w:cs="Arial"/>
                <w:szCs w:val="21"/>
              </w:rPr>
            </w:pPr>
            <w:r>
              <w:rPr>
                <w:rFonts w:hint="eastAsia" w:ascii="宋体" w:hAnsi="宋体" w:cs="Arial"/>
                <w:szCs w:val="21"/>
              </w:rPr>
              <w:t>4</w:t>
            </w:r>
          </w:p>
        </w:tc>
        <w:tc>
          <w:tcPr>
            <w:tcW w:w="1331" w:type="dxa"/>
            <w:vAlign w:val="center"/>
          </w:tcPr>
          <w:p w14:paraId="53C34254">
            <w:pPr>
              <w:jc w:val="center"/>
              <w:rPr>
                <w:rFonts w:ascii="宋体" w:hAnsi="宋体" w:cs="Arial"/>
                <w:szCs w:val="21"/>
              </w:rPr>
            </w:pPr>
          </w:p>
        </w:tc>
        <w:tc>
          <w:tcPr>
            <w:tcW w:w="701" w:type="dxa"/>
            <w:vAlign w:val="center"/>
          </w:tcPr>
          <w:p w14:paraId="4757F496">
            <w:pPr>
              <w:jc w:val="center"/>
            </w:pPr>
          </w:p>
        </w:tc>
        <w:tc>
          <w:tcPr>
            <w:tcW w:w="997" w:type="dxa"/>
            <w:vAlign w:val="center"/>
          </w:tcPr>
          <w:p w14:paraId="5F22611A">
            <w:pPr>
              <w:jc w:val="center"/>
            </w:pPr>
          </w:p>
        </w:tc>
        <w:tc>
          <w:tcPr>
            <w:tcW w:w="738" w:type="dxa"/>
            <w:vAlign w:val="center"/>
          </w:tcPr>
          <w:p w14:paraId="56941447">
            <w:pPr>
              <w:jc w:val="center"/>
            </w:pPr>
          </w:p>
        </w:tc>
        <w:tc>
          <w:tcPr>
            <w:tcW w:w="946" w:type="dxa"/>
            <w:vMerge w:val="continue"/>
            <w:vAlign w:val="center"/>
          </w:tcPr>
          <w:p w14:paraId="2A5121CF">
            <w:pPr>
              <w:jc w:val="center"/>
            </w:pPr>
          </w:p>
        </w:tc>
        <w:tc>
          <w:tcPr>
            <w:tcW w:w="841" w:type="dxa"/>
            <w:vAlign w:val="center"/>
          </w:tcPr>
          <w:p w14:paraId="20522B44">
            <w:pPr>
              <w:jc w:val="center"/>
            </w:pPr>
          </w:p>
        </w:tc>
        <w:tc>
          <w:tcPr>
            <w:tcW w:w="841" w:type="dxa"/>
            <w:vAlign w:val="center"/>
          </w:tcPr>
          <w:p w14:paraId="4C515D6E">
            <w:pPr>
              <w:jc w:val="center"/>
            </w:pPr>
          </w:p>
        </w:tc>
        <w:tc>
          <w:tcPr>
            <w:tcW w:w="1528" w:type="dxa"/>
            <w:vAlign w:val="center"/>
          </w:tcPr>
          <w:p w14:paraId="0AE1A405">
            <w:pPr>
              <w:jc w:val="center"/>
            </w:pPr>
          </w:p>
        </w:tc>
      </w:tr>
      <w:tr w14:paraId="36D4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6638A1AB">
            <w:pPr>
              <w:jc w:val="center"/>
            </w:pPr>
            <w:r>
              <w:rPr>
                <w:rFonts w:hint="eastAsia"/>
              </w:rPr>
              <w:t>5</w:t>
            </w:r>
          </w:p>
        </w:tc>
        <w:tc>
          <w:tcPr>
            <w:tcW w:w="1331" w:type="dxa"/>
            <w:vAlign w:val="center"/>
          </w:tcPr>
          <w:p w14:paraId="222D00A6">
            <w:pPr>
              <w:jc w:val="center"/>
            </w:pPr>
          </w:p>
        </w:tc>
        <w:tc>
          <w:tcPr>
            <w:tcW w:w="701" w:type="dxa"/>
            <w:vAlign w:val="center"/>
          </w:tcPr>
          <w:p w14:paraId="09D7305C">
            <w:pPr>
              <w:jc w:val="center"/>
            </w:pPr>
          </w:p>
        </w:tc>
        <w:tc>
          <w:tcPr>
            <w:tcW w:w="997" w:type="dxa"/>
            <w:vAlign w:val="center"/>
          </w:tcPr>
          <w:p w14:paraId="7A401D34">
            <w:pPr>
              <w:jc w:val="center"/>
            </w:pPr>
          </w:p>
        </w:tc>
        <w:tc>
          <w:tcPr>
            <w:tcW w:w="738" w:type="dxa"/>
            <w:vAlign w:val="center"/>
          </w:tcPr>
          <w:p w14:paraId="3CFB8584">
            <w:pPr>
              <w:jc w:val="center"/>
            </w:pPr>
          </w:p>
        </w:tc>
        <w:tc>
          <w:tcPr>
            <w:tcW w:w="946" w:type="dxa"/>
            <w:vMerge w:val="continue"/>
            <w:vAlign w:val="center"/>
          </w:tcPr>
          <w:p w14:paraId="5D67D650">
            <w:pPr>
              <w:jc w:val="center"/>
            </w:pPr>
          </w:p>
        </w:tc>
        <w:tc>
          <w:tcPr>
            <w:tcW w:w="841" w:type="dxa"/>
            <w:vAlign w:val="center"/>
          </w:tcPr>
          <w:p w14:paraId="0864DE37">
            <w:pPr>
              <w:jc w:val="center"/>
            </w:pPr>
          </w:p>
        </w:tc>
        <w:tc>
          <w:tcPr>
            <w:tcW w:w="841" w:type="dxa"/>
            <w:vAlign w:val="center"/>
          </w:tcPr>
          <w:p w14:paraId="677F9B13">
            <w:pPr>
              <w:jc w:val="center"/>
            </w:pPr>
          </w:p>
        </w:tc>
        <w:tc>
          <w:tcPr>
            <w:tcW w:w="1528" w:type="dxa"/>
            <w:vAlign w:val="center"/>
          </w:tcPr>
          <w:p w14:paraId="24C9D602">
            <w:pPr>
              <w:jc w:val="center"/>
            </w:pPr>
          </w:p>
        </w:tc>
      </w:tr>
      <w:tr w14:paraId="7530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7F42DBBD">
            <w:pPr>
              <w:jc w:val="center"/>
            </w:pPr>
            <w:r>
              <w:rPr>
                <w:rFonts w:hint="eastAsia"/>
              </w:rPr>
              <w:t>6</w:t>
            </w:r>
          </w:p>
        </w:tc>
        <w:tc>
          <w:tcPr>
            <w:tcW w:w="1331" w:type="dxa"/>
            <w:vAlign w:val="center"/>
          </w:tcPr>
          <w:p w14:paraId="70041A7C">
            <w:pPr>
              <w:jc w:val="center"/>
            </w:pPr>
          </w:p>
        </w:tc>
        <w:tc>
          <w:tcPr>
            <w:tcW w:w="701" w:type="dxa"/>
            <w:vAlign w:val="center"/>
          </w:tcPr>
          <w:p w14:paraId="74B1E1C2">
            <w:pPr>
              <w:jc w:val="center"/>
            </w:pPr>
          </w:p>
        </w:tc>
        <w:tc>
          <w:tcPr>
            <w:tcW w:w="997" w:type="dxa"/>
            <w:vAlign w:val="center"/>
          </w:tcPr>
          <w:p w14:paraId="16187280">
            <w:pPr>
              <w:jc w:val="center"/>
            </w:pPr>
          </w:p>
        </w:tc>
        <w:tc>
          <w:tcPr>
            <w:tcW w:w="738" w:type="dxa"/>
            <w:vAlign w:val="center"/>
          </w:tcPr>
          <w:p w14:paraId="33636F2F">
            <w:pPr>
              <w:jc w:val="center"/>
            </w:pPr>
          </w:p>
        </w:tc>
        <w:tc>
          <w:tcPr>
            <w:tcW w:w="946" w:type="dxa"/>
            <w:vMerge w:val="continue"/>
            <w:vAlign w:val="center"/>
          </w:tcPr>
          <w:p w14:paraId="5D4C600F">
            <w:pPr>
              <w:jc w:val="center"/>
            </w:pPr>
          </w:p>
        </w:tc>
        <w:tc>
          <w:tcPr>
            <w:tcW w:w="841" w:type="dxa"/>
            <w:vAlign w:val="center"/>
          </w:tcPr>
          <w:p w14:paraId="6701BFC1">
            <w:pPr>
              <w:jc w:val="center"/>
            </w:pPr>
          </w:p>
        </w:tc>
        <w:tc>
          <w:tcPr>
            <w:tcW w:w="841" w:type="dxa"/>
            <w:vAlign w:val="center"/>
          </w:tcPr>
          <w:p w14:paraId="44AF921B">
            <w:pPr>
              <w:jc w:val="center"/>
            </w:pPr>
          </w:p>
        </w:tc>
        <w:tc>
          <w:tcPr>
            <w:tcW w:w="1528" w:type="dxa"/>
            <w:vAlign w:val="center"/>
          </w:tcPr>
          <w:p w14:paraId="2E82D50A">
            <w:pPr>
              <w:jc w:val="center"/>
            </w:pPr>
          </w:p>
        </w:tc>
      </w:tr>
      <w:tr w14:paraId="6D46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0820719E">
            <w:pPr>
              <w:jc w:val="center"/>
            </w:pPr>
            <w:r>
              <w:rPr>
                <w:rFonts w:hint="eastAsia" w:ascii="宋体" w:hAnsi="宋体"/>
                <w:szCs w:val="44"/>
              </w:rPr>
              <w:t>…</w:t>
            </w:r>
          </w:p>
        </w:tc>
        <w:tc>
          <w:tcPr>
            <w:tcW w:w="1331" w:type="dxa"/>
            <w:vAlign w:val="center"/>
          </w:tcPr>
          <w:p w14:paraId="216C1FD4">
            <w:pPr>
              <w:jc w:val="center"/>
            </w:pPr>
          </w:p>
        </w:tc>
        <w:tc>
          <w:tcPr>
            <w:tcW w:w="701" w:type="dxa"/>
            <w:vAlign w:val="center"/>
          </w:tcPr>
          <w:p w14:paraId="482A5B2C">
            <w:pPr>
              <w:jc w:val="center"/>
            </w:pPr>
          </w:p>
        </w:tc>
        <w:tc>
          <w:tcPr>
            <w:tcW w:w="997" w:type="dxa"/>
            <w:vAlign w:val="center"/>
          </w:tcPr>
          <w:p w14:paraId="57A9F7A6">
            <w:pPr>
              <w:jc w:val="center"/>
            </w:pPr>
          </w:p>
        </w:tc>
        <w:tc>
          <w:tcPr>
            <w:tcW w:w="738" w:type="dxa"/>
            <w:vAlign w:val="center"/>
          </w:tcPr>
          <w:p w14:paraId="2AF3D7E7">
            <w:pPr>
              <w:jc w:val="center"/>
            </w:pPr>
          </w:p>
        </w:tc>
        <w:tc>
          <w:tcPr>
            <w:tcW w:w="946" w:type="dxa"/>
            <w:vMerge w:val="continue"/>
            <w:vAlign w:val="center"/>
          </w:tcPr>
          <w:p w14:paraId="2E0AB6FE">
            <w:pPr>
              <w:jc w:val="center"/>
            </w:pPr>
          </w:p>
        </w:tc>
        <w:tc>
          <w:tcPr>
            <w:tcW w:w="841" w:type="dxa"/>
            <w:vAlign w:val="center"/>
          </w:tcPr>
          <w:p w14:paraId="343A51E6">
            <w:pPr>
              <w:jc w:val="center"/>
            </w:pPr>
          </w:p>
        </w:tc>
        <w:tc>
          <w:tcPr>
            <w:tcW w:w="841" w:type="dxa"/>
            <w:vAlign w:val="center"/>
          </w:tcPr>
          <w:p w14:paraId="04B44D8A">
            <w:pPr>
              <w:jc w:val="center"/>
            </w:pPr>
          </w:p>
        </w:tc>
        <w:tc>
          <w:tcPr>
            <w:tcW w:w="1528" w:type="dxa"/>
            <w:vAlign w:val="center"/>
          </w:tcPr>
          <w:p w14:paraId="4FE3FA06">
            <w:pPr>
              <w:jc w:val="center"/>
            </w:pPr>
          </w:p>
        </w:tc>
      </w:tr>
      <w:tr w14:paraId="2749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1BD50F17"/>
          <w:p w14:paraId="32E23303">
            <w:pPr>
              <w:jc w:val="left"/>
              <w:rPr>
                <w:rFonts w:ascii="宋体" w:hAnsi="宋体"/>
                <w:szCs w:val="44"/>
              </w:rPr>
            </w:pPr>
            <w:r>
              <w:rPr>
                <w:rFonts w:hint="eastAsia" w:ascii="宋体" w:hAnsi="宋体"/>
                <w:szCs w:val="44"/>
              </w:rPr>
              <w:t xml:space="preserve">经济标评委签名： </w:t>
            </w:r>
          </w:p>
          <w:p w14:paraId="53696F87">
            <w:pPr>
              <w:jc w:val="center"/>
              <w:rPr>
                <w:rFonts w:ascii="宋体" w:hAnsi="宋体"/>
                <w:szCs w:val="44"/>
              </w:rPr>
            </w:pPr>
          </w:p>
          <w:p w14:paraId="2656EC02">
            <w:pPr>
              <w:jc w:val="center"/>
              <w:rPr>
                <w:rFonts w:ascii="宋体" w:hAnsi="宋体"/>
                <w:szCs w:val="44"/>
              </w:rPr>
            </w:pPr>
          </w:p>
          <w:p w14:paraId="2DD1140E">
            <w:pPr>
              <w:jc w:val="center"/>
              <w:rPr>
                <w:rFonts w:ascii="宋体" w:hAnsi="宋体"/>
                <w:szCs w:val="44"/>
              </w:rPr>
            </w:pPr>
          </w:p>
          <w:p w14:paraId="33FF6DA5">
            <w:pPr>
              <w:jc w:val="center"/>
              <w:rPr>
                <w:rFonts w:ascii="宋体" w:hAnsi="宋体"/>
                <w:szCs w:val="44"/>
              </w:rPr>
            </w:pPr>
          </w:p>
          <w:p w14:paraId="4029E937">
            <w:pPr>
              <w:jc w:val="center"/>
            </w:pPr>
          </w:p>
        </w:tc>
      </w:tr>
    </w:tbl>
    <w:p w14:paraId="77AD26A7">
      <w:pPr>
        <w:rPr>
          <w:rFonts w:ascii="宋体" w:hAnsi="宋体"/>
          <w:szCs w:val="44"/>
        </w:rPr>
        <w:sectPr>
          <w:pgSz w:w="11906" w:h="16838"/>
          <w:pgMar w:top="1440" w:right="1797" w:bottom="1440" w:left="1797" w:header="851" w:footer="851" w:gutter="0"/>
          <w:cols w:space="720" w:num="1"/>
          <w:docGrid w:linePitch="312" w:charSpace="0"/>
        </w:sectPr>
      </w:pPr>
      <w:r>
        <w:rPr>
          <w:rFonts w:hint="eastAsia" w:ascii="宋体" w:hAnsi="宋体"/>
          <w:szCs w:val="44"/>
        </w:rPr>
        <w:t xml:space="preserve">                </w:t>
      </w:r>
      <w:r>
        <w:rPr>
          <w:rFonts w:ascii="宋体" w:hAnsi="宋体"/>
          <w:szCs w:val="44"/>
        </w:rPr>
        <w:t xml:space="preserve">                                 </w:t>
      </w:r>
      <w:r>
        <w:rPr>
          <w:rFonts w:hint="eastAsia" w:ascii="宋体" w:hAnsi="宋体"/>
          <w:szCs w:val="44"/>
        </w:rPr>
        <w:t xml:space="preserve"> 日期：    年    月    日</w:t>
      </w:r>
    </w:p>
    <w:bookmarkEnd w:id="691"/>
    <w:p w14:paraId="0245DDBC">
      <w:pPr>
        <w:pStyle w:val="25"/>
      </w:pPr>
      <w:bookmarkStart w:id="692" w:name="_Toc165804457"/>
      <w:bookmarkStart w:id="693" w:name="_Toc256000140"/>
      <w:r>
        <w:rPr>
          <w:rFonts w:hint="eastAsia"/>
        </w:rPr>
        <w:t>附表A-</w:t>
      </w:r>
      <w:r>
        <w:t>11</w:t>
      </w:r>
      <w:r>
        <w:rPr>
          <w:rFonts w:hint="eastAsia"/>
        </w:rPr>
        <w:t>：技术标评审记录表（评分）</w:t>
      </w:r>
      <w:bookmarkEnd w:id="692"/>
      <w:bookmarkEnd w:id="693"/>
    </w:p>
    <w:p w14:paraId="01F31679">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w:t>
      </w:r>
    </w:p>
    <w:p w14:paraId="5C1AF789">
      <w:pPr>
        <w:rPr>
          <w:rFonts w:ascii="宋体" w:hAnsi="宋体"/>
          <w:szCs w:val="44"/>
        </w:rPr>
      </w:pPr>
      <w:bookmarkStart w:id="694" w:name="_Hlk150332918"/>
      <w:r>
        <w:rPr>
          <w:rFonts w:hint="eastAsia" w:ascii="宋体" w:hAnsi="宋体"/>
          <w:szCs w:val="44"/>
        </w:rPr>
        <w:t>标段名称：</w:t>
      </w:r>
    </w:p>
    <w:p w14:paraId="4C184F41">
      <w:pPr>
        <w:rPr>
          <w:szCs w:val="44"/>
        </w:rPr>
      </w:pPr>
      <w:r>
        <w:rPr>
          <w:rFonts w:hint="eastAsia"/>
          <w:szCs w:val="44"/>
        </w:rPr>
        <w:t>标段唯一标识码：</w:t>
      </w:r>
    </w:p>
    <w:tbl>
      <w:tblPr>
        <w:tblStyle w:val="17"/>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69ED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10652D7B">
            <w:pPr>
              <w:jc w:val="center"/>
              <w:rPr>
                <w:rFonts w:ascii="宋体" w:hAnsi="宋体"/>
                <w:b/>
                <w:bCs/>
                <w:szCs w:val="44"/>
              </w:rPr>
            </w:pPr>
            <w:r>
              <w:rPr>
                <w:rFonts w:hint="eastAsia" w:ascii="宋体" w:hAnsi="宋体"/>
                <w:b/>
                <w:bCs/>
                <w:szCs w:val="44"/>
              </w:rPr>
              <w:t>序号</w:t>
            </w:r>
          </w:p>
        </w:tc>
        <w:tc>
          <w:tcPr>
            <w:tcW w:w="1790" w:type="dxa"/>
            <w:vMerge w:val="restart"/>
            <w:vAlign w:val="center"/>
          </w:tcPr>
          <w:p w14:paraId="48EE33D9">
            <w:pPr>
              <w:jc w:val="center"/>
              <w:rPr>
                <w:rFonts w:ascii="宋体" w:hAnsi="宋体"/>
                <w:b/>
                <w:bCs/>
                <w:szCs w:val="44"/>
              </w:rPr>
            </w:pPr>
            <w:r>
              <w:rPr>
                <w:rFonts w:hint="eastAsia" w:ascii="宋体" w:hAnsi="宋体"/>
                <w:b/>
                <w:bCs/>
                <w:szCs w:val="44"/>
              </w:rPr>
              <w:t>投标人名称</w:t>
            </w:r>
          </w:p>
        </w:tc>
        <w:tc>
          <w:tcPr>
            <w:tcW w:w="9401" w:type="dxa"/>
            <w:gridSpan w:val="7"/>
            <w:vAlign w:val="center"/>
          </w:tcPr>
          <w:p w14:paraId="4C85C7F6">
            <w:pPr>
              <w:jc w:val="center"/>
              <w:rPr>
                <w:rFonts w:ascii="宋体" w:hAnsi="宋体"/>
                <w:b/>
                <w:bCs/>
                <w:szCs w:val="44"/>
              </w:rPr>
            </w:pPr>
            <w:r>
              <w:rPr>
                <w:rFonts w:hint="eastAsia" w:ascii="宋体" w:hAnsi="宋体"/>
                <w:b/>
                <w:bCs/>
                <w:szCs w:val="44"/>
              </w:rPr>
              <w:t>评委姓名及得分</w:t>
            </w:r>
          </w:p>
        </w:tc>
        <w:tc>
          <w:tcPr>
            <w:tcW w:w="1774" w:type="dxa"/>
            <w:vMerge w:val="restart"/>
            <w:vAlign w:val="center"/>
          </w:tcPr>
          <w:p w14:paraId="4781C8A1">
            <w:pPr>
              <w:jc w:val="center"/>
              <w:rPr>
                <w:rFonts w:ascii="宋体" w:hAnsi="宋体"/>
                <w:b/>
                <w:bCs/>
                <w:szCs w:val="44"/>
              </w:rPr>
            </w:pPr>
            <w:r>
              <w:rPr>
                <w:rFonts w:hint="eastAsia"/>
                <w:b/>
                <w:bCs/>
              </w:rPr>
              <w:t>技术标</w:t>
            </w:r>
            <w:r>
              <w:rPr>
                <w:rFonts w:hint="eastAsia" w:ascii="宋体" w:hAnsi="宋体"/>
                <w:b/>
                <w:bCs/>
                <w:szCs w:val="44"/>
              </w:rPr>
              <w:t>最终得分</w:t>
            </w:r>
          </w:p>
        </w:tc>
      </w:tr>
      <w:tr w14:paraId="456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4EE9A620">
            <w:pPr>
              <w:jc w:val="center"/>
              <w:rPr>
                <w:rFonts w:ascii="宋体" w:hAnsi="宋体"/>
                <w:b/>
                <w:bCs/>
                <w:szCs w:val="44"/>
              </w:rPr>
            </w:pPr>
          </w:p>
        </w:tc>
        <w:tc>
          <w:tcPr>
            <w:tcW w:w="1790" w:type="dxa"/>
            <w:vMerge w:val="continue"/>
          </w:tcPr>
          <w:p w14:paraId="32164597">
            <w:pPr>
              <w:jc w:val="center"/>
              <w:rPr>
                <w:rFonts w:ascii="宋体" w:hAnsi="宋体"/>
                <w:b/>
                <w:bCs/>
                <w:szCs w:val="44"/>
              </w:rPr>
            </w:pPr>
          </w:p>
        </w:tc>
        <w:tc>
          <w:tcPr>
            <w:tcW w:w="1341" w:type="dxa"/>
            <w:vAlign w:val="center"/>
          </w:tcPr>
          <w:p w14:paraId="7C0A3657">
            <w:pPr>
              <w:jc w:val="center"/>
              <w:rPr>
                <w:rFonts w:ascii="宋体" w:hAnsi="宋体"/>
                <w:b/>
                <w:bCs/>
                <w:szCs w:val="44"/>
              </w:rPr>
            </w:pPr>
            <w:r>
              <w:rPr>
                <w:rFonts w:hint="eastAsia" w:ascii="宋体" w:hAnsi="宋体"/>
                <w:b/>
                <w:bCs/>
                <w:szCs w:val="44"/>
              </w:rPr>
              <w:t>评委1</w:t>
            </w:r>
          </w:p>
        </w:tc>
        <w:tc>
          <w:tcPr>
            <w:tcW w:w="1342" w:type="dxa"/>
            <w:vAlign w:val="center"/>
          </w:tcPr>
          <w:p w14:paraId="1599D635">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42" w:type="dxa"/>
            <w:vAlign w:val="center"/>
          </w:tcPr>
          <w:p w14:paraId="7B0A7132">
            <w:pPr>
              <w:jc w:val="center"/>
              <w:rPr>
                <w:rFonts w:ascii="宋体" w:hAnsi="宋体"/>
                <w:b/>
                <w:bCs/>
                <w:szCs w:val="44"/>
              </w:rPr>
            </w:pPr>
            <w:r>
              <w:rPr>
                <w:rFonts w:ascii="宋体" w:hAnsi="宋体"/>
                <w:b/>
                <w:bCs/>
                <w:szCs w:val="44"/>
              </w:rPr>
              <w:t>……</w:t>
            </w:r>
          </w:p>
        </w:tc>
        <w:tc>
          <w:tcPr>
            <w:tcW w:w="1341" w:type="dxa"/>
            <w:vAlign w:val="center"/>
          </w:tcPr>
          <w:p w14:paraId="51D539F0">
            <w:pPr>
              <w:jc w:val="center"/>
              <w:rPr>
                <w:rFonts w:ascii="宋体" w:hAnsi="宋体"/>
                <w:b/>
                <w:bCs/>
                <w:szCs w:val="44"/>
              </w:rPr>
            </w:pPr>
          </w:p>
        </w:tc>
        <w:tc>
          <w:tcPr>
            <w:tcW w:w="1342" w:type="dxa"/>
            <w:vAlign w:val="center"/>
          </w:tcPr>
          <w:p w14:paraId="0B7B2405">
            <w:pPr>
              <w:jc w:val="center"/>
              <w:rPr>
                <w:rFonts w:ascii="宋体" w:hAnsi="宋体"/>
                <w:b/>
                <w:bCs/>
                <w:szCs w:val="44"/>
              </w:rPr>
            </w:pPr>
          </w:p>
        </w:tc>
        <w:tc>
          <w:tcPr>
            <w:tcW w:w="1342" w:type="dxa"/>
            <w:vAlign w:val="center"/>
          </w:tcPr>
          <w:p w14:paraId="5A18A8A9">
            <w:pPr>
              <w:jc w:val="center"/>
              <w:rPr>
                <w:rFonts w:ascii="宋体" w:hAnsi="宋体"/>
                <w:b/>
                <w:bCs/>
                <w:szCs w:val="44"/>
              </w:rPr>
            </w:pPr>
          </w:p>
        </w:tc>
        <w:tc>
          <w:tcPr>
            <w:tcW w:w="1351" w:type="dxa"/>
            <w:vAlign w:val="center"/>
          </w:tcPr>
          <w:p w14:paraId="3CCC6DE0">
            <w:pPr>
              <w:jc w:val="center"/>
              <w:rPr>
                <w:rFonts w:ascii="宋体" w:hAnsi="宋体"/>
                <w:b/>
                <w:bCs/>
                <w:szCs w:val="44"/>
              </w:rPr>
            </w:pPr>
          </w:p>
        </w:tc>
        <w:tc>
          <w:tcPr>
            <w:tcW w:w="1774" w:type="dxa"/>
            <w:vMerge w:val="continue"/>
            <w:vAlign w:val="center"/>
          </w:tcPr>
          <w:p w14:paraId="5226F8DD">
            <w:pPr>
              <w:jc w:val="center"/>
              <w:rPr>
                <w:rFonts w:ascii="宋体" w:hAnsi="宋体"/>
                <w:b/>
                <w:bCs/>
                <w:szCs w:val="44"/>
              </w:rPr>
            </w:pPr>
          </w:p>
        </w:tc>
      </w:tr>
      <w:tr w14:paraId="4BC1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22FD5DF">
            <w:pPr>
              <w:jc w:val="center"/>
              <w:rPr>
                <w:rFonts w:ascii="宋体" w:hAnsi="宋体"/>
                <w:szCs w:val="44"/>
              </w:rPr>
            </w:pPr>
            <w:r>
              <w:rPr>
                <w:rFonts w:hint="eastAsia" w:ascii="宋体" w:hAnsi="宋体"/>
                <w:szCs w:val="44"/>
              </w:rPr>
              <w:t>1</w:t>
            </w:r>
          </w:p>
        </w:tc>
        <w:tc>
          <w:tcPr>
            <w:tcW w:w="1790" w:type="dxa"/>
            <w:vAlign w:val="center"/>
          </w:tcPr>
          <w:p w14:paraId="160A8E6D">
            <w:pPr>
              <w:jc w:val="center"/>
              <w:rPr>
                <w:rFonts w:ascii="宋体" w:hAnsi="宋体"/>
                <w:szCs w:val="21"/>
              </w:rPr>
            </w:pPr>
          </w:p>
        </w:tc>
        <w:tc>
          <w:tcPr>
            <w:tcW w:w="1341" w:type="dxa"/>
            <w:vAlign w:val="center"/>
          </w:tcPr>
          <w:p w14:paraId="5CF33A96">
            <w:pPr>
              <w:rPr>
                <w:rFonts w:ascii="宋体" w:hAnsi="宋体"/>
                <w:szCs w:val="21"/>
              </w:rPr>
            </w:pPr>
            <w:r>
              <w:rPr>
                <w:rFonts w:hint="eastAsia" w:ascii="宋体" w:hAnsi="宋体"/>
                <w:szCs w:val="21"/>
              </w:rPr>
              <w:t xml:space="preserve"> </w:t>
            </w:r>
            <w:r>
              <w:rPr>
                <w:rFonts w:ascii="宋体" w:hAnsi="宋体"/>
                <w:szCs w:val="21"/>
              </w:rPr>
              <w:t xml:space="preserve">   </w:t>
            </w:r>
          </w:p>
        </w:tc>
        <w:tc>
          <w:tcPr>
            <w:tcW w:w="1342" w:type="dxa"/>
            <w:vAlign w:val="center"/>
          </w:tcPr>
          <w:p w14:paraId="48257C14">
            <w:pPr>
              <w:jc w:val="center"/>
              <w:rPr>
                <w:rFonts w:ascii="宋体" w:hAnsi="宋体"/>
                <w:szCs w:val="44"/>
              </w:rPr>
            </w:pPr>
          </w:p>
        </w:tc>
        <w:tc>
          <w:tcPr>
            <w:tcW w:w="1342" w:type="dxa"/>
            <w:vAlign w:val="center"/>
          </w:tcPr>
          <w:p w14:paraId="336CED4B">
            <w:pPr>
              <w:jc w:val="center"/>
              <w:rPr>
                <w:rFonts w:ascii="宋体" w:hAnsi="宋体"/>
                <w:szCs w:val="44"/>
              </w:rPr>
            </w:pPr>
          </w:p>
        </w:tc>
        <w:tc>
          <w:tcPr>
            <w:tcW w:w="1341" w:type="dxa"/>
            <w:vAlign w:val="center"/>
          </w:tcPr>
          <w:p w14:paraId="11F84142">
            <w:pPr>
              <w:jc w:val="center"/>
              <w:rPr>
                <w:rFonts w:ascii="宋体" w:hAnsi="宋体"/>
                <w:szCs w:val="44"/>
              </w:rPr>
            </w:pPr>
          </w:p>
        </w:tc>
        <w:tc>
          <w:tcPr>
            <w:tcW w:w="1342" w:type="dxa"/>
            <w:vAlign w:val="center"/>
          </w:tcPr>
          <w:p w14:paraId="01236A30">
            <w:pPr>
              <w:jc w:val="center"/>
              <w:rPr>
                <w:rFonts w:ascii="宋体" w:hAnsi="宋体"/>
                <w:szCs w:val="44"/>
              </w:rPr>
            </w:pPr>
          </w:p>
        </w:tc>
        <w:tc>
          <w:tcPr>
            <w:tcW w:w="1342" w:type="dxa"/>
            <w:vAlign w:val="center"/>
          </w:tcPr>
          <w:p w14:paraId="55E6D131">
            <w:pPr>
              <w:jc w:val="center"/>
              <w:rPr>
                <w:rFonts w:ascii="宋体" w:hAnsi="宋体"/>
                <w:szCs w:val="44"/>
              </w:rPr>
            </w:pPr>
          </w:p>
        </w:tc>
        <w:tc>
          <w:tcPr>
            <w:tcW w:w="1351" w:type="dxa"/>
            <w:vAlign w:val="center"/>
          </w:tcPr>
          <w:p w14:paraId="4B353977">
            <w:pPr>
              <w:jc w:val="center"/>
              <w:rPr>
                <w:rFonts w:ascii="宋体" w:hAnsi="宋体"/>
                <w:szCs w:val="44"/>
              </w:rPr>
            </w:pPr>
          </w:p>
        </w:tc>
        <w:tc>
          <w:tcPr>
            <w:tcW w:w="1774" w:type="dxa"/>
            <w:vAlign w:val="center"/>
          </w:tcPr>
          <w:p w14:paraId="1259AB64">
            <w:pPr>
              <w:jc w:val="center"/>
              <w:rPr>
                <w:rFonts w:ascii="宋体" w:hAnsi="宋体"/>
                <w:szCs w:val="44"/>
              </w:rPr>
            </w:pPr>
          </w:p>
        </w:tc>
      </w:tr>
      <w:tr w14:paraId="2E73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28A7DEC">
            <w:pPr>
              <w:jc w:val="center"/>
              <w:rPr>
                <w:rFonts w:ascii="宋体" w:hAnsi="宋体"/>
                <w:szCs w:val="44"/>
              </w:rPr>
            </w:pPr>
            <w:r>
              <w:rPr>
                <w:rFonts w:hint="eastAsia" w:ascii="宋体" w:hAnsi="宋体"/>
                <w:szCs w:val="44"/>
              </w:rPr>
              <w:t>2</w:t>
            </w:r>
          </w:p>
        </w:tc>
        <w:tc>
          <w:tcPr>
            <w:tcW w:w="1790" w:type="dxa"/>
            <w:vAlign w:val="center"/>
          </w:tcPr>
          <w:p w14:paraId="3FCE3B75">
            <w:pPr>
              <w:jc w:val="center"/>
              <w:rPr>
                <w:rFonts w:ascii="宋体" w:hAnsi="宋体"/>
                <w:szCs w:val="44"/>
              </w:rPr>
            </w:pPr>
          </w:p>
        </w:tc>
        <w:tc>
          <w:tcPr>
            <w:tcW w:w="1341" w:type="dxa"/>
            <w:vAlign w:val="center"/>
          </w:tcPr>
          <w:p w14:paraId="5D4B04AE">
            <w:pPr>
              <w:jc w:val="center"/>
            </w:pPr>
          </w:p>
        </w:tc>
        <w:tc>
          <w:tcPr>
            <w:tcW w:w="1342" w:type="dxa"/>
            <w:vAlign w:val="center"/>
          </w:tcPr>
          <w:p w14:paraId="0859FCE6">
            <w:pPr>
              <w:jc w:val="center"/>
              <w:rPr>
                <w:rFonts w:ascii="宋体" w:hAnsi="宋体"/>
                <w:szCs w:val="44"/>
              </w:rPr>
            </w:pPr>
          </w:p>
        </w:tc>
        <w:tc>
          <w:tcPr>
            <w:tcW w:w="1342" w:type="dxa"/>
            <w:vAlign w:val="center"/>
          </w:tcPr>
          <w:p w14:paraId="6B0731DD">
            <w:pPr>
              <w:jc w:val="center"/>
              <w:rPr>
                <w:rFonts w:ascii="宋体" w:hAnsi="宋体"/>
                <w:szCs w:val="44"/>
              </w:rPr>
            </w:pPr>
          </w:p>
        </w:tc>
        <w:tc>
          <w:tcPr>
            <w:tcW w:w="1341" w:type="dxa"/>
            <w:vAlign w:val="center"/>
          </w:tcPr>
          <w:p w14:paraId="694939C6">
            <w:pPr>
              <w:jc w:val="center"/>
              <w:rPr>
                <w:rFonts w:ascii="宋体" w:hAnsi="宋体"/>
                <w:szCs w:val="44"/>
              </w:rPr>
            </w:pPr>
          </w:p>
        </w:tc>
        <w:tc>
          <w:tcPr>
            <w:tcW w:w="1342" w:type="dxa"/>
            <w:vAlign w:val="center"/>
          </w:tcPr>
          <w:p w14:paraId="7B08948E">
            <w:pPr>
              <w:jc w:val="center"/>
              <w:rPr>
                <w:rFonts w:ascii="宋体" w:hAnsi="宋体"/>
                <w:szCs w:val="44"/>
              </w:rPr>
            </w:pPr>
          </w:p>
        </w:tc>
        <w:tc>
          <w:tcPr>
            <w:tcW w:w="1342" w:type="dxa"/>
            <w:vAlign w:val="center"/>
          </w:tcPr>
          <w:p w14:paraId="58C0111B">
            <w:pPr>
              <w:jc w:val="center"/>
              <w:rPr>
                <w:rFonts w:ascii="宋体" w:hAnsi="宋体"/>
                <w:szCs w:val="44"/>
              </w:rPr>
            </w:pPr>
          </w:p>
        </w:tc>
        <w:tc>
          <w:tcPr>
            <w:tcW w:w="1351" w:type="dxa"/>
            <w:vAlign w:val="center"/>
          </w:tcPr>
          <w:p w14:paraId="69B5390F">
            <w:pPr>
              <w:jc w:val="center"/>
              <w:rPr>
                <w:rFonts w:ascii="宋体" w:hAnsi="宋体"/>
                <w:szCs w:val="44"/>
              </w:rPr>
            </w:pPr>
          </w:p>
        </w:tc>
        <w:tc>
          <w:tcPr>
            <w:tcW w:w="1774" w:type="dxa"/>
            <w:vAlign w:val="center"/>
          </w:tcPr>
          <w:p w14:paraId="5B378608">
            <w:pPr>
              <w:jc w:val="center"/>
              <w:rPr>
                <w:rFonts w:ascii="宋体" w:hAnsi="宋体"/>
                <w:szCs w:val="44"/>
              </w:rPr>
            </w:pPr>
          </w:p>
        </w:tc>
      </w:tr>
      <w:tr w14:paraId="29C9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1E123D5">
            <w:pPr>
              <w:jc w:val="center"/>
              <w:rPr>
                <w:rFonts w:ascii="宋体" w:hAnsi="宋体"/>
                <w:szCs w:val="44"/>
              </w:rPr>
            </w:pPr>
            <w:r>
              <w:rPr>
                <w:rFonts w:hint="eastAsia" w:ascii="宋体" w:hAnsi="宋体"/>
                <w:szCs w:val="44"/>
              </w:rPr>
              <w:t>3</w:t>
            </w:r>
          </w:p>
        </w:tc>
        <w:tc>
          <w:tcPr>
            <w:tcW w:w="1790" w:type="dxa"/>
            <w:vAlign w:val="center"/>
          </w:tcPr>
          <w:p w14:paraId="73698D7D">
            <w:pPr>
              <w:jc w:val="center"/>
              <w:rPr>
                <w:rFonts w:ascii="宋体" w:hAnsi="宋体"/>
                <w:szCs w:val="44"/>
              </w:rPr>
            </w:pPr>
          </w:p>
        </w:tc>
        <w:tc>
          <w:tcPr>
            <w:tcW w:w="1341" w:type="dxa"/>
            <w:vAlign w:val="center"/>
          </w:tcPr>
          <w:p w14:paraId="07C5A02B">
            <w:pPr>
              <w:jc w:val="center"/>
            </w:pPr>
          </w:p>
        </w:tc>
        <w:tc>
          <w:tcPr>
            <w:tcW w:w="1342" w:type="dxa"/>
            <w:vAlign w:val="center"/>
          </w:tcPr>
          <w:p w14:paraId="7B324F13">
            <w:pPr>
              <w:jc w:val="center"/>
              <w:rPr>
                <w:rFonts w:ascii="宋体" w:hAnsi="宋体"/>
                <w:szCs w:val="44"/>
              </w:rPr>
            </w:pPr>
          </w:p>
        </w:tc>
        <w:tc>
          <w:tcPr>
            <w:tcW w:w="1342" w:type="dxa"/>
            <w:vAlign w:val="center"/>
          </w:tcPr>
          <w:p w14:paraId="6EB5FF84">
            <w:pPr>
              <w:jc w:val="center"/>
              <w:rPr>
                <w:rFonts w:ascii="宋体" w:hAnsi="宋体"/>
                <w:szCs w:val="44"/>
              </w:rPr>
            </w:pPr>
          </w:p>
        </w:tc>
        <w:tc>
          <w:tcPr>
            <w:tcW w:w="1341" w:type="dxa"/>
            <w:vAlign w:val="center"/>
          </w:tcPr>
          <w:p w14:paraId="32D1EBA1">
            <w:pPr>
              <w:jc w:val="center"/>
              <w:rPr>
                <w:rFonts w:ascii="宋体" w:hAnsi="宋体"/>
                <w:szCs w:val="44"/>
              </w:rPr>
            </w:pPr>
          </w:p>
        </w:tc>
        <w:tc>
          <w:tcPr>
            <w:tcW w:w="1342" w:type="dxa"/>
            <w:vAlign w:val="center"/>
          </w:tcPr>
          <w:p w14:paraId="4718D164">
            <w:pPr>
              <w:jc w:val="center"/>
              <w:rPr>
                <w:rFonts w:ascii="宋体" w:hAnsi="宋体"/>
                <w:szCs w:val="44"/>
              </w:rPr>
            </w:pPr>
          </w:p>
        </w:tc>
        <w:tc>
          <w:tcPr>
            <w:tcW w:w="1342" w:type="dxa"/>
            <w:vAlign w:val="center"/>
          </w:tcPr>
          <w:p w14:paraId="6255A668">
            <w:pPr>
              <w:jc w:val="center"/>
              <w:rPr>
                <w:rFonts w:ascii="宋体" w:hAnsi="宋体"/>
                <w:szCs w:val="44"/>
              </w:rPr>
            </w:pPr>
          </w:p>
        </w:tc>
        <w:tc>
          <w:tcPr>
            <w:tcW w:w="1351" w:type="dxa"/>
            <w:vAlign w:val="center"/>
          </w:tcPr>
          <w:p w14:paraId="718576BC">
            <w:pPr>
              <w:jc w:val="center"/>
              <w:rPr>
                <w:rFonts w:ascii="宋体" w:hAnsi="宋体"/>
                <w:szCs w:val="44"/>
              </w:rPr>
            </w:pPr>
          </w:p>
        </w:tc>
        <w:tc>
          <w:tcPr>
            <w:tcW w:w="1774" w:type="dxa"/>
            <w:vAlign w:val="center"/>
          </w:tcPr>
          <w:p w14:paraId="63C6202C">
            <w:pPr>
              <w:jc w:val="center"/>
              <w:rPr>
                <w:rFonts w:ascii="宋体" w:hAnsi="宋体"/>
                <w:szCs w:val="44"/>
              </w:rPr>
            </w:pPr>
          </w:p>
        </w:tc>
      </w:tr>
      <w:tr w14:paraId="771A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F97F86F">
            <w:pPr>
              <w:jc w:val="center"/>
              <w:rPr>
                <w:rFonts w:ascii="宋体" w:hAnsi="宋体"/>
                <w:szCs w:val="44"/>
              </w:rPr>
            </w:pPr>
            <w:r>
              <w:rPr>
                <w:rFonts w:hint="eastAsia" w:ascii="宋体" w:hAnsi="宋体"/>
                <w:szCs w:val="44"/>
              </w:rPr>
              <w:t>4</w:t>
            </w:r>
          </w:p>
        </w:tc>
        <w:tc>
          <w:tcPr>
            <w:tcW w:w="1790" w:type="dxa"/>
            <w:vAlign w:val="center"/>
          </w:tcPr>
          <w:p w14:paraId="7C8BFF2D">
            <w:pPr>
              <w:jc w:val="center"/>
              <w:rPr>
                <w:rFonts w:ascii="宋体" w:hAnsi="宋体"/>
                <w:szCs w:val="44"/>
              </w:rPr>
            </w:pPr>
          </w:p>
        </w:tc>
        <w:tc>
          <w:tcPr>
            <w:tcW w:w="1341" w:type="dxa"/>
            <w:vAlign w:val="center"/>
          </w:tcPr>
          <w:p w14:paraId="41B4CEC9">
            <w:pPr>
              <w:jc w:val="center"/>
            </w:pPr>
          </w:p>
        </w:tc>
        <w:tc>
          <w:tcPr>
            <w:tcW w:w="1342" w:type="dxa"/>
            <w:vAlign w:val="center"/>
          </w:tcPr>
          <w:p w14:paraId="479F2E49">
            <w:pPr>
              <w:jc w:val="center"/>
              <w:rPr>
                <w:rFonts w:ascii="宋体" w:hAnsi="宋体"/>
                <w:szCs w:val="44"/>
              </w:rPr>
            </w:pPr>
          </w:p>
        </w:tc>
        <w:tc>
          <w:tcPr>
            <w:tcW w:w="1342" w:type="dxa"/>
            <w:vAlign w:val="center"/>
          </w:tcPr>
          <w:p w14:paraId="7C597B74">
            <w:pPr>
              <w:jc w:val="center"/>
              <w:rPr>
                <w:rFonts w:ascii="宋体" w:hAnsi="宋体"/>
                <w:szCs w:val="44"/>
              </w:rPr>
            </w:pPr>
          </w:p>
        </w:tc>
        <w:tc>
          <w:tcPr>
            <w:tcW w:w="1341" w:type="dxa"/>
            <w:vAlign w:val="center"/>
          </w:tcPr>
          <w:p w14:paraId="211FECFB">
            <w:pPr>
              <w:jc w:val="center"/>
              <w:rPr>
                <w:rFonts w:ascii="宋体" w:hAnsi="宋体"/>
                <w:szCs w:val="44"/>
              </w:rPr>
            </w:pPr>
          </w:p>
        </w:tc>
        <w:tc>
          <w:tcPr>
            <w:tcW w:w="1342" w:type="dxa"/>
            <w:vAlign w:val="center"/>
          </w:tcPr>
          <w:p w14:paraId="5DD7F3F0">
            <w:pPr>
              <w:jc w:val="center"/>
              <w:rPr>
                <w:rFonts w:ascii="宋体" w:hAnsi="宋体"/>
                <w:szCs w:val="44"/>
              </w:rPr>
            </w:pPr>
          </w:p>
        </w:tc>
        <w:tc>
          <w:tcPr>
            <w:tcW w:w="1342" w:type="dxa"/>
            <w:vAlign w:val="center"/>
          </w:tcPr>
          <w:p w14:paraId="0A38266B">
            <w:pPr>
              <w:jc w:val="center"/>
              <w:rPr>
                <w:rFonts w:ascii="宋体" w:hAnsi="宋体"/>
                <w:szCs w:val="44"/>
              </w:rPr>
            </w:pPr>
          </w:p>
        </w:tc>
        <w:tc>
          <w:tcPr>
            <w:tcW w:w="1351" w:type="dxa"/>
            <w:vAlign w:val="center"/>
          </w:tcPr>
          <w:p w14:paraId="632A1677">
            <w:pPr>
              <w:jc w:val="center"/>
              <w:rPr>
                <w:rFonts w:ascii="宋体" w:hAnsi="宋体"/>
                <w:szCs w:val="44"/>
              </w:rPr>
            </w:pPr>
          </w:p>
        </w:tc>
        <w:tc>
          <w:tcPr>
            <w:tcW w:w="1774" w:type="dxa"/>
            <w:vAlign w:val="center"/>
          </w:tcPr>
          <w:p w14:paraId="09252A9C">
            <w:pPr>
              <w:jc w:val="center"/>
              <w:rPr>
                <w:rFonts w:ascii="宋体" w:hAnsi="宋体"/>
                <w:szCs w:val="44"/>
              </w:rPr>
            </w:pPr>
          </w:p>
        </w:tc>
      </w:tr>
      <w:tr w14:paraId="3A7A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BF604E7">
            <w:pPr>
              <w:jc w:val="center"/>
              <w:rPr>
                <w:rFonts w:ascii="宋体" w:hAnsi="宋体"/>
                <w:szCs w:val="44"/>
              </w:rPr>
            </w:pPr>
            <w:r>
              <w:rPr>
                <w:rFonts w:hint="eastAsia" w:ascii="宋体" w:hAnsi="宋体"/>
                <w:szCs w:val="44"/>
              </w:rPr>
              <w:t>5</w:t>
            </w:r>
          </w:p>
        </w:tc>
        <w:tc>
          <w:tcPr>
            <w:tcW w:w="1790" w:type="dxa"/>
            <w:vAlign w:val="center"/>
          </w:tcPr>
          <w:p w14:paraId="6564B151">
            <w:pPr>
              <w:jc w:val="center"/>
              <w:rPr>
                <w:rFonts w:ascii="宋体" w:hAnsi="宋体"/>
                <w:szCs w:val="44"/>
              </w:rPr>
            </w:pPr>
          </w:p>
        </w:tc>
        <w:tc>
          <w:tcPr>
            <w:tcW w:w="1341" w:type="dxa"/>
            <w:vAlign w:val="center"/>
          </w:tcPr>
          <w:p w14:paraId="016EA7E0">
            <w:pPr>
              <w:jc w:val="center"/>
            </w:pPr>
          </w:p>
        </w:tc>
        <w:tc>
          <w:tcPr>
            <w:tcW w:w="1342" w:type="dxa"/>
            <w:vAlign w:val="center"/>
          </w:tcPr>
          <w:p w14:paraId="6D78AF81">
            <w:pPr>
              <w:jc w:val="center"/>
              <w:rPr>
                <w:rFonts w:ascii="宋体" w:hAnsi="宋体"/>
                <w:szCs w:val="44"/>
              </w:rPr>
            </w:pPr>
          </w:p>
        </w:tc>
        <w:tc>
          <w:tcPr>
            <w:tcW w:w="1342" w:type="dxa"/>
            <w:vAlign w:val="center"/>
          </w:tcPr>
          <w:p w14:paraId="7D161AAB">
            <w:pPr>
              <w:jc w:val="center"/>
              <w:rPr>
                <w:rFonts w:ascii="宋体" w:hAnsi="宋体"/>
                <w:szCs w:val="44"/>
              </w:rPr>
            </w:pPr>
          </w:p>
        </w:tc>
        <w:tc>
          <w:tcPr>
            <w:tcW w:w="1341" w:type="dxa"/>
            <w:vAlign w:val="center"/>
          </w:tcPr>
          <w:p w14:paraId="0C3732A9">
            <w:pPr>
              <w:jc w:val="center"/>
              <w:rPr>
                <w:rFonts w:ascii="宋体" w:hAnsi="宋体"/>
                <w:szCs w:val="44"/>
              </w:rPr>
            </w:pPr>
          </w:p>
        </w:tc>
        <w:tc>
          <w:tcPr>
            <w:tcW w:w="1342" w:type="dxa"/>
            <w:vAlign w:val="center"/>
          </w:tcPr>
          <w:p w14:paraId="57A5C785">
            <w:pPr>
              <w:jc w:val="center"/>
              <w:rPr>
                <w:rFonts w:ascii="宋体" w:hAnsi="宋体"/>
                <w:szCs w:val="44"/>
              </w:rPr>
            </w:pPr>
          </w:p>
        </w:tc>
        <w:tc>
          <w:tcPr>
            <w:tcW w:w="1342" w:type="dxa"/>
            <w:vAlign w:val="center"/>
          </w:tcPr>
          <w:p w14:paraId="31B7E857">
            <w:pPr>
              <w:jc w:val="center"/>
              <w:rPr>
                <w:rFonts w:ascii="宋体" w:hAnsi="宋体"/>
                <w:szCs w:val="44"/>
              </w:rPr>
            </w:pPr>
          </w:p>
        </w:tc>
        <w:tc>
          <w:tcPr>
            <w:tcW w:w="1351" w:type="dxa"/>
            <w:vAlign w:val="center"/>
          </w:tcPr>
          <w:p w14:paraId="15E714B9">
            <w:pPr>
              <w:jc w:val="center"/>
              <w:rPr>
                <w:rFonts w:ascii="宋体" w:hAnsi="宋体"/>
                <w:szCs w:val="44"/>
              </w:rPr>
            </w:pPr>
          </w:p>
        </w:tc>
        <w:tc>
          <w:tcPr>
            <w:tcW w:w="1774" w:type="dxa"/>
            <w:vAlign w:val="center"/>
          </w:tcPr>
          <w:p w14:paraId="3AB25E45">
            <w:pPr>
              <w:jc w:val="center"/>
              <w:rPr>
                <w:rFonts w:ascii="宋体" w:hAnsi="宋体"/>
                <w:szCs w:val="44"/>
              </w:rPr>
            </w:pPr>
          </w:p>
        </w:tc>
      </w:tr>
      <w:tr w14:paraId="4D54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D8F0A7B">
            <w:pPr>
              <w:jc w:val="center"/>
              <w:rPr>
                <w:rFonts w:ascii="宋体" w:hAnsi="宋体"/>
                <w:szCs w:val="44"/>
              </w:rPr>
            </w:pPr>
            <w:r>
              <w:rPr>
                <w:rFonts w:hint="eastAsia" w:ascii="宋体" w:hAnsi="宋体"/>
                <w:szCs w:val="44"/>
              </w:rPr>
              <w:t>6</w:t>
            </w:r>
          </w:p>
        </w:tc>
        <w:tc>
          <w:tcPr>
            <w:tcW w:w="1790" w:type="dxa"/>
            <w:vAlign w:val="center"/>
          </w:tcPr>
          <w:p w14:paraId="0BDCD473">
            <w:pPr>
              <w:jc w:val="center"/>
              <w:rPr>
                <w:rFonts w:ascii="宋体" w:hAnsi="宋体"/>
                <w:szCs w:val="44"/>
              </w:rPr>
            </w:pPr>
          </w:p>
        </w:tc>
        <w:tc>
          <w:tcPr>
            <w:tcW w:w="1341" w:type="dxa"/>
            <w:vAlign w:val="center"/>
          </w:tcPr>
          <w:p w14:paraId="20C78992">
            <w:pPr>
              <w:jc w:val="center"/>
            </w:pPr>
          </w:p>
        </w:tc>
        <w:tc>
          <w:tcPr>
            <w:tcW w:w="1342" w:type="dxa"/>
            <w:vAlign w:val="center"/>
          </w:tcPr>
          <w:p w14:paraId="2F6CE9C3">
            <w:pPr>
              <w:jc w:val="center"/>
              <w:rPr>
                <w:rFonts w:ascii="宋体" w:hAnsi="宋体"/>
                <w:szCs w:val="44"/>
              </w:rPr>
            </w:pPr>
          </w:p>
        </w:tc>
        <w:tc>
          <w:tcPr>
            <w:tcW w:w="1342" w:type="dxa"/>
            <w:vAlign w:val="center"/>
          </w:tcPr>
          <w:p w14:paraId="290D313B">
            <w:pPr>
              <w:jc w:val="center"/>
              <w:rPr>
                <w:rFonts w:ascii="宋体" w:hAnsi="宋体"/>
                <w:szCs w:val="44"/>
              </w:rPr>
            </w:pPr>
          </w:p>
        </w:tc>
        <w:tc>
          <w:tcPr>
            <w:tcW w:w="1341" w:type="dxa"/>
            <w:vAlign w:val="center"/>
          </w:tcPr>
          <w:p w14:paraId="2A0FFDA2">
            <w:pPr>
              <w:jc w:val="center"/>
              <w:rPr>
                <w:rFonts w:ascii="宋体" w:hAnsi="宋体"/>
                <w:szCs w:val="44"/>
              </w:rPr>
            </w:pPr>
          </w:p>
        </w:tc>
        <w:tc>
          <w:tcPr>
            <w:tcW w:w="1342" w:type="dxa"/>
            <w:vAlign w:val="center"/>
          </w:tcPr>
          <w:p w14:paraId="39297B33">
            <w:pPr>
              <w:jc w:val="center"/>
              <w:rPr>
                <w:rFonts w:ascii="宋体" w:hAnsi="宋体"/>
                <w:szCs w:val="44"/>
              </w:rPr>
            </w:pPr>
          </w:p>
        </w:tc>
        <w:tc>
          <w:tcPr>
            <w:tcW w:w="1342" w:type="dxa"/>
            <w:vAlign w:val="center"/>
          </w:tcPr>
          <w:p w14:paraId="3EE4471D">
            <w:pPr>
              <w:jc w:val="center"/>
              <w:rPr>
                <w:rFonts w:ascii="宋体" w:hAnsi="宋体"/>
                <w:szCs w:val="44"/>
              </w:rPr>
            </w:pPr>
          </w:p>
        </w:tc>
        <w:tc>
          <w:tcPr>
            <w:tcW w:w="1351" w:type="dxa"/>
            <w:vAlign w:val="center"/>
          </w:tcPr>
          <w:p w14:paraId="51046713">
            <w:pPr>
              <w:jc w:val="center"/>
              <w:rPr>
                <w:rFonts w:ascii="宋体" w:hAnsi="宋体"/>
                <w:szCs w:val="44"/>
              </w:rPr>
            </w:pPr>
          </w:p>
        </w:tc>
        <w:tc>
          <w:tcPr>
            <w:tcW w:w="1774" w:type="dxa"/>
            <w:vAlign w:val="center"/>
          </w:tcPr>
          <w:p w14:paraId="2E773EE9">
            <w:pPr>
              <w:jc w:val="center"/>
              <w:rPr>
                <w:rFonts w:ascii="宋体" w:hAnsi="宋体"/>
                <w:szCs w:val="44"/>
              </w:rPr>
            </w:pPr>
          </w:p>
        </w:tc>
      </w:tr>
      <w:tr w14:paraId="2CB9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22D8327">
            <w:pPr>
              <w:jc w:val="center"/>
              <w:rPr>
                <w:rFonts w:ascii="宋体" w:hAnsi="宋体"/>
                <w:szCs w:val="44"/>
              </w:rPr>
            </w:pPr>
            <w:r>
              <w:rPr>
                <w:rFonts w:hint="eastAsia" w:ascii="宋体" w:hAnsi="宋体"/>
                <w:szCs w:val="44"/>
              </w:rPr>
              <w:t>…</w:t>
            </w:r>
            <w:r>
              <w:rPr>
                <w:rFonts w:ascii="宋体" w:hAnsi="宋体"/>
                <w:szCs w:val="44"/>
              </w:rPr>
              <w:t>…</w:t>
            </w:r>
          </w:p>
        </w:tc>
        <w:tc>
          <w:tcPr>
            <w:tcW w:w="1790" w:type="dxa"/>
            <w:vAlign w:val="center"/>
          </w:tcPr>
          <w:p w14:paraId="34E4E567">
            <w:pPr>
              <w:rPr>
                <w:rFonts w:ascii="宋体" w:hAnsi="宋体"/>
                <w:szCs w:val="21"/>
              </w:rPr>
            </w:pPr>
          </w:p>
        </w:tc>
        <w:tc>
          <w:tcPr>
            <w:tcW w:w="1341" w:type="dxa"/>
            <w:vAlign w:val="center"/>
          </w:tcPr>
          <w:p w14:paraId="5DD795DF">
            <w:pPr>
              <w:jc w:val="center"/>
            </w:pPr>
          </w:p>
        </w:tc>
        <w:tc>
          <w:tcPr>
            <w:tcW w:w="1342" w:type="dxa"/>
            <w:vAlign w:val="center"/>
          </w:tcPr>
          <w:p w14:paraId="107BBF5C">
            <w:pPr>
              <w:jc w:val="center"/>
              <w:rPr>
                <w:rFonts w:ascii="宋体" w:hAnsi="宋体"/>
                <w:szCs w:val="44"/>
              </w:rPr>
            </w:pPr>
          </w:p>
        </w:tc>
        <w:tc>
          <w:tcPr>
            <w:tcW w:w="1342" w:type="dxa"/>
            <w:vAlign w:val="center"/>
          </w:tcPr>
          <w:p w14:paraId="340A9A4A">
            <w:pPr>
              <w:jc w:val="center"/>
              <w:rPr>
                <w:rFonts w:ascii="宋体" w:hAnsi="宋体"/>
                <w:szCs w:val="44"/>
              </w:rPr>
            </w:pPr>
          </w:p>
        </w:tc>
        <w:tc>
          <w:tcPr>
            <w:tcW w:w="1341" w:type="dxa"/>
            <w:vAlign w:val="center"/>
          </w:tcPr>
          <w:p w14:paraId="4804A01D">
            <w:pPr>
              <w:jc w:val="center"/>
              <w:rPr>
                <w:rFonts w:ascii="宋体" w:hAnsi="宋体"/>
                <w:szCs w:val="44"/>
              </w:rPr>
            </w:pPr>
          </w:p>
        </w:tc>
        <w:tc>
          <w:tcPr>
            <w:tcW w:w="1342" w:type="dxa"/>
            <w:vAlign w:val="center"/>
          </w:tcPr>
          <w:p w14:paraId="3CE2FB30">
            <w:pPr>
              <w:jc w:val="center"/>
              <w:rPr>
                <w:rFonts w:ascii="宋体" w:hAnsi="宋体"/>
                <w:szCs w:val="44"/>
              </w:rPr>
            </w:pPr>
          </w:p>
        </w:tc>
        <w:tc>
          <w:tcPr>
            <w:tcW w:w="1342" w:type="dxa"/>
            <w:vAlign w:val="center"/>
          </w:tcPr>
          <w:p w14:paraId="35FE811F">
            <w:pPr>
              <w:jc w:val="center"/>
              <w:rPr>
                <w:rFonts w:ascii="宋体" w:hAnsi="宋体"/>
                <w:szCs w:val="44"/>
              </w:rPr>
            </w:pPr>
          </w:p>
        </w:tc>
        <w:tc>
          <w:tcPr>
            <w:tcW w:w="1351" w:type="dxa"/>
            <w:vAlign w:val="center"/>
          </w:tcPr>
          <w:p w14:paraId="3E90E7EB">
            <w:pPr>
              <w:jc w:val="center"/>
              <w:rPr>
                <w:rFonts w:ascii="宋体" w:hAnsi="宋体"/>
                <w:szCs w:val="44"/>
              </w:rPr>
            </w:pPr>
          </w:p>
        </w:tc>
        <w:tc>
          <w:tcPr>
            <w:tcW w:w="1774" w:type="dxa"/>
            <w:vAlign w:val="center"/>
          </w:tcPr>
          <w:p w14:paraId="687DAB59">
            <w:pPr>
              <w:jc w:val="center"/>
              <w:rPr>
                <w:rFonts w:ascii="宋体" w:hAnsi="宋体"/>
                <w:szCs w:val="44"/>
              </w:rPr>
            </w:pPr>
          </w:p>
        </w:tc>
      </w:tr>
      <w:tr w14:paraId="1451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1ABB0E29">
            <w:pPr>
              <w:jc w:val="left"/>
              <w:rPr>
                <w:rFonts w:ascii="宋体" w:hAnsi="宋体"/>
                <w:szCs w:val="44"/>
              </w:rPr>
            </w:pPr>
            <w:r>
              <w:rPr>
                <w:rFonts w:hint="eastAsia" w:ascii="宋体" w:hAnsi="宋体"/>
                <w:szCs w:val="44"/>
              </w:rPr>
              <w:t>技术标评委签名：</w:t>
            </w:r>
          </w:p>
          <w:p w14:paraId="59968F84">
            <w:pPr>
              <w:jc w:val="center"/>
              <w:rPr>
                <w:rFonts w:ascii="宋体" w:hAnsi="宋体"/>
                <w:szCs w:val="44"/>
              </w:rPr>
            </w:pPr>
          </w:p>
          <w:p w14:paraId="4D92290E">
            <w:pPr>
              <w:jc w:val="center"/>
              <w:rPr>
                <w:rFonts w:ascii="宋体" w:hAnsi="宋体"/>
                <w:szCs w:val="44"/>
              </w:rPr>
            </w:pPr>
          </w:p>
          <w:p w14:paraId="7C2F567B">
            <w:pPr>
              <w:jc w:val="center"/>
              <w:rPr>
                <w:rFonts w:ascii="宋体" w:hAnsi="宋体"/>
                <w:szCs w:val="44"/>
              </w:rPr>
            </w:pPr>
          </w:p>
        </w:tc>
      </w:tr>
    </w:tbl>
    <w:p w14:paraId="09C25F8B">
      <w:pPr>
        <w:ind w:right="420"/>
        <w:jc w:val="right"/>
      </w:pPr>
      <w:r>
        <w:rPr>
          <w:rFonts w:hint="eastAsia"/>
        </w:rPr>
        <w:t xml:space="preserve">日期：    年   </w:t>
      </w:r>
      <w:r>
        <w:t xml:space="preserve"> </w:t>
      </w:r>
      <w:r>
        <w:rPr>
          <w:rFonts w:hint="eastAsia"/>
        </w:rPr>
        <w:t xml:space="preserve"> 月 </w:t>
      </w:r>
      <w:r>
        <w:t xml:space="preserve">  </w:t>
      </w:r>
      <w:r>
        <w:rPr>
          <w:rFonts w:hint="eastAsia"/>
        </w:rPr>
        <w:t xml:space="preserve"> 日</w:t>
      </w:r>
    </w:p>
    <w:bookmarkEnd w:id="694"/>
    <w:p w14:paraId="40796673">
      <w:r>
        <w:br w:type="page"/>
      </w:r>
    </w:p>
    <w:p w14:paraId="2FC1CF1D">
      <w:pPr>
        <w:pStyle w:val="25"/>
      </w:pPr>
      <w:bookmarkStart w:id="695" w:name="_Toc165804458"/>
      <w:bookmarkStart w:id="696" w:name="_Toc256000141"/>
      <w:r>
        <w:rPr>
          <w:rFonts w:hint="eastAsia"/>
        </w:rPr>
        <w:t>附表A-</w:t>
      </w:r>
      <w:r>
        <w:t>12</w:t>
      </w:r>
      <w:r>
        <w:rPr>
          <w:rFonts w:hint="eastAsia"/>
        </w:rPr>
        <w:t>：技术标评审记录表（个人）</w:t>
      </w:r>
      <w:bookmarkEnd w:id="695"/>
      <w:bookmarkEnd w:id="696"/>
    </w:p>
    <w:p w14:paraId="1C5EF97B">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技术标评审记录表（个人）</w:t>
      </w:r>
    </w:p>
    <w:p w14:paraId="1AAF48AD">
      <w:pPr>
        <w:rPr>
          <w:rFonts w:ascii="宋体" w:hAnsi="宋体"/>
          <w:szCs w:val="44"/>
        </w:rPr>
      </w:pPr>
      <w:bookmarkStart w:id="697" w:name="_Hlk150332959"/>
      <w:r>
        <w:rPr>
          <w:rFonts w:hint="eastAsia" w:ascii="宋体" w:hAnsi="宋体"/>
          <w:szCs w:val="44"/>
        </w:rPr>
        <w:t>标段名称：</w:t>
      </w:r>
    </w:p>
    <w:p w14:paraId="35001302">
      <w:pPr>
        <w:rPr>
          <w:szCs w:val="44"/>
        </w:rPr>
      </w:pPr>
      <w:r>
        <w:rPr>
          <w:rFonts w:hint="eastAsia"/>
          <w:szCs w:val="44"/>
        </w:rPr>
        <w:t>标段唯一标识码：</w:t>
      </w:r>
    </w:p>
    <w:tbl>
      <w:tblPr>
        <w:tblStyle w:val="17"/>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7893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2193205C">
            <w:pPr>
              <w:jc w:val="center"/>
              <w:rPr>
                <w:rFonts w:ascii="宋体" w:hAnsi="宋体"/>
                <w:b/>
                <w:bCs/>
                <w:szCs w:val="21"/>
              </w:rPr>
            </w:pPr>
            <w:r>
              <w:rPr>
                <w:rFonts w:hint="eastAsia" w:ascii="宋体" w:hAnsi="宋体"/>
                <w:b/>
                <w:bCs/>
                <w:szCs w:val="21"/>
              </w:rPr>
              <w:t>序号</w:t>
            </w:r>
          </w:p>
        </w:tc>
        <w:tc>
          <w:tcPr>
            <w:tcW w:w="2204" w:type="dxa"/>
            <w:vMerge w:val="restart"/>
            <w:vAlign w:val="center"/>
          </w:tcPr>
          <w:p w14:paraId="16756EAE">
            <w:pPr>
              <w:jc w:val="center"/>
              <w:rPr>
                <w:rFonts w:ascii="宋体" w:hAnsi="宋体"/>
                <w:b/>
                <w:bCs/>
                <w:szCs w:val="21"/>
              </w:rPr>
            </w:pPr>
            <w:r>
              <w:rPr>
                <w:rFonts w:hint="eastAsia" w:ascii="宋体" w:hAnsi="宋体"/>
                <w:b/>
                <w:bCs/>
                <w:szCs w:val="21"/>
              </w:rPr>
              <w:t>投标人名称</w:t>
            </w:r>
          </w:p>
        </w:tc>
        <w:tc>
          <w:tcPr>
            <w:tcW w:w="9920" w:type="dxa"/>
            <w:gridSpan w:val="18"/>
          </w:tcPr>
          <w:p w14:paraId="1928F3EF">
            <w:pPr>
              <w:jc w:val="center"/>
              <w:rPr>
                <w:rFonts w:ascii="宋体" w:hAnsi="宋体"/>
                <w:b/>
                <w:bCs/>
                <w:szCs w:val="21"/>
              </w:rPr>
            </w:pPr>
            <w:r>
              <w:rPr>
                <w:rFonts w:hint="eastAsia" w:ascii="宋体" w:hAnsi="宋体"/>
                <w:b/>
                <w:bCs/>
                <w:szCs w:val="21"/>
              </w:rPr>
              <w:t>评审因素及评审得分</w:t>
            </w:r>
          </w:p>
        </w:tc>
        <w:tc>
          <w:tcPr>
            <w:tcW w:w="1198" w:type="dxa"/>
            <w:vMerge w:val="restart"/>
            <w:vAlign w:val="center"/>
          </w:tcPr>
          <w:p w14:paraId="042EAB94">
            <w:pPr>
              <w:jc w:val="center"/>
              <w:rPr>
                <w:rFonts w:ascii="宋体" w:hAnsi="宋体"/>
                <w:b/>
                <w:bCs/>
                <w:szCs w:val="21"/>
              </w:rPr>
            </w:pPr>
            <w:r>
              <w:rPr>
                <w:rFonts w:hint="eastAsia" w:ascii="宋体" w:hAnsi="宋体"/>
                <w:b/>
                <w:bCs/>
                <w:szCs w:val="44"/>
              </w:rPr>
              <w:t>得分</w:t>
            </w:r>
          </w:p>
        </w:tc>
      </w:tr>
      <w:tr w14:paraId="03D7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4E94D987">
            <w:pPr>
              <w:jc w:val="center"/>
              <w:rPr>
                <w:rFonts w:ascii="宋体" w:hAnsi="宋体"/>
                <w:b/>
                <w:bCs/>
                <w:szCs w:val="21"/>
              </w:rPr>
            </w:pPr>
          </w:p>
        </w:tc>
        <w:tc>
          <w:tcPr>
            <w:tcW w:w="2204" w:type="dxa"/>
            <w:vMerge w:val="continue"/>
          </w:tcPr>
          <w:p w14:paraId="65228334">
            <w:pPr>
              <w:jc w:val="center"/>
              <w:rPr>
                <w:rFonts w:ascii="宋体" w:hAnsi="宋体"/>
                <w:b/>
                <w:bCs/>
                <w:szCs w:val="21"/>
              </w:rPr>
            </w:pPr>
          </w:p>
        </w:tc>
        <w:tc>
          <w:tcPr>
            <w:tcW w:w="1111" w:type="dxa"/>
            <w:gridSpan w:val="2"/>
            <w:vAlign w:val="center"/>
          </w:tcPr>
          <w:p w14:paraId="2D10DEB3">
            <w:pPr>
              <w:jc w:val="center"/>
              <w:rPr>
                <w:rFonts w:ascii="宋体" w:hAnsi="宋体"/>
                <w:b/>
                <w:bCs/>
                <w:szCs w:val="21"/>
              </w:rPr>
            </w:pPr>
          </w:p>
        </w:tc>
        <w:tc>
          <w:tcPr>
            <w:tcW w:w="1112" w:type="dxa"/>
            <w:gridSpan w:val="2"/>
            <w:vAlign w:val="center"/>
          </w:tcPr>
          <w:p w14:paraId="4C41C7A8">
            <w:pPr>
              <w:jc w:val="center"/>
              <w:rPr>
                <w:rFonts w:ascii="宋体" w:hAnsi="宋体"/>
                <w:b/>
                <w:bCs/>
                <w:szCs w:val="21"/>
              </w:rPr>
            </w:pPr>
          </w:p>
        </w:tc>
        <w:tc>
          <w:tcPr>
            <w:tcW w:w="1112" w:type="dxa"/>
            <w:gridSpan w:val="2"/>
            <w:vAlign w:val="center"/>
          </w:tcPr>
          <w:p w14:paraId="2496F798">
            <w:pPr>
              <w:jc w:val="center"/>
              <w:rPr>
                <w:rFonts w:ascii="宋体" w:hAnsi="宋体"/>
                <w:b/>
                <w:bCs/>
                <w:szCs w:val="21"/>
              </w:rPr>
            </w:pPr>
          </w:p>
        </w:tc>
        <w:tc>
          <w:tcPr>
            <w:tcW w:w="1112" w:type="dxa"/>
            <w:gridSpan w:val="2"/>
            <w:vAlign w:val="center"/>
          </w:tcPr>
          <w:p w14:paraId="7BE8122D">
            <w:pPr>
              <w:jc w:val="center"/>
              <w:rPr>
                <w:rFonts w:ascii="宋体" w:hAnsi="宋体"/>
                <w:b/>
                <w:bCs/>
                <w:szCs w:val="21"/>
              </w:rPr>
            </w:pPr>
          </w:p>
        </w:tc>
        <w:tc>
          <w:tcPr>
            <w:tcW w:w="1112" w:type="dxa"/>
            <w:gridSpan w:val="2"/>
            <w:vAlign w:val="center"/>
          </w:tcPr>
          <w:p w14:paraId="6A99B594">
            <w:pPr>
              <w:jc w:val="center"/>
              <w:rPr>
                <w:rFonts w:ascii="宋体" w:hAnsi="宋体"/>
                <w:b/>
                <w:bCs/>
                <w:szCs w:val="21"/>
              </w:rPr>
            </w:pPr>
          </w:p>
        </w:tc>
        <w:tc>
          <w:tcPr>
            <w:tcW w:w="1111" w:type="dxa"/>
            <w:gridSpan w:val="2"/>
            <w:vAlign w:val="center"/>
          </w:tcPr>
          <w:p w14:paraId="1CCE9D5B">
            <w:pPr>
              <w:jc w:val="center"/>
              <w:rPr>
                <w:rFonts w:ascii="宋体" w:hAnsi="宋体"/>
                <w:b/>
                <w:bCs/>
                <w:szCs w:val="21"/>
              </w:rPr>
            </w:pPr>
          </w:p>
        </w:tc>
        <w:tc>
          <w:tcPr>
            <w:tcW w:w="1112" w:type="dxa"/>
            <w:gridSpan w:val="2"/>
            <w:vAlign w:val="center"/>
          </w:tcPr>
          <w:p w14:paraId="7AB7A759">
            <w:pPr>
              <w:jc w:val="center"/>
              <w:rPr>
                <w:rFonts w:ascii="宋体" w:hAnsi="宋体"/>
                <w:b/>
                <w:bCs/>
                <w:szCs w:val="21"/>
              </w:rPr>
            </w:pPr>
          </w:p>
        </w:tc>
        <w:tc>
          <w:tcPr>
            <w:tcW w:w="1112" w:type="dxa"/>
            <w:gridSpan w:val="2"/>
            <w:vAlign w:val="center"/>
          </w:tcPr>
          <w:p w14:paraId="72498D5B">
            <w:pPr>
              <w:jc w:val="center"/>
              <w:rPr>
                <w:rFonts w:ascii="宋体" w:hAnsi="宋体"/>
                <w:b/>
                <w:bCs/>
                <w:szCs w:val="21"/>
              </w:rPr>
            </w:pPr>
          </w:p>
        </w:tc>
        <w:tc>
          <w:tcPr>
            <w:tcW w:w="1026" w:type="dxa"/>
            <w:gridSpan w:val="2"/>
            <w:vAlign w:val="center"/>
          </w:tcPr>
          <w:p w14:paraId="011F287C">
            <w:pPr>
              <w:jc w:val="center"/>
              <w:rPr>
                <w:rFonts w:ascii="宋体" w:hAnsi="宋体"/>
                <w:b/>
                <w:bCs/>
                <w:szCs w:val="21"/>
              </w:rPr>
            </w:pPr>
          </w:p>
        </w:tc>
        <w:tc>
          <w:tcPr>
            <w:tcW w:w="1198" w:type="dxa"/>
            <w:vMerge w:val="continue"/>
            <w:vAlign w:val="center"/>
          </w:tcPr>
          <w:p w14:paraId="098F3191">
            <w:pPr>
              <w:jc w:val="center"/>
              <w:rPr>
                <w:rFonts w:ascii="宋体" w:hAnsi="宋体"/>
                <w:b/>
                <w:bCs/>
                <w:szCs w:val="21"/>
              </w:rPr>
            </w:pPr>
          </w:p>
        </w:tc>
      </w:tr>
      <w:tr w14:paraId="1655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3" w:type="dxa"/>
            <w:vMerge w:val="continue"/>
            <w:vAlign w:val="center"/>
          </w:tcPr>
          <w:p w14:paraId="45615560">
            <w:pPr>
              <w:jc w:val="center"/>
              <w:rPr>
                <w:rFonts w:ascii="宋体" w:hAnsi="宋体"/>
                <w:b/>
                <w:bCs/>
                <w:szCs w:val="21"/>
              </w:rPr>
            </w:pPr>
          </w:p>
        </w:tc>
        <w:tc>
          <w:tcPr>
            <w:tcW w:w="2204" w:type="dxa"/>
            <w:vMerge w:val="continue"/>
          </w:tcPr>
          <w:p w14:paraId="48FC7CF4">
            <w:pPr>
              <w:jc w:val="center"/>
              <w:rPr>
                <w:rFonts w:ascii="宋体" w:hAnsi="宋体"/>
                <w:b/>
                <w:bCs/>
                <w:szCs w:val="21"/>
              </w:rPr>
            </w:pPr>
          </w:p>
        </w:tc>
        <w:tc>
          <w:tcPr>
            <w:tcW w:w="555" w:type="dxa"/>
            <w:vAlign w:val="center"/>
          </w:tcPr>
          <w:p w14:paraId="1DCECE07">
            <w:pPr>
              <w:jc w:val="center"/>
              <w:rPr>
                <w:rFonts w:ascii="宋体" w:hAnsi="宋体"/>
                <w:b/>
                <w:bCs/>
                <w:szCs w:val="21"/>
              </w:rPr>
            </w:pPr>
            <w:r>
              <w:rPr>
                <w:rFonts w:hint="eastAsia" w:ascii="宋体" w:hAnsi="宋体"/>
                <w:b/>
                <w:bCs/>
                <w:szCs w:val="21"/>
              </w:rPr>
              <w:t>暗标编号</w:t>
            </w:r>
          </w:p>
        </w:tc>
        <w:tc>
          <w:tcPr>
            <w:tcW w:w="556" w:type="dxa"/>
            <w:vAlign w:val="center"/>
          </w:tcPr>
          <w:p w14:paraId="317E0B95">
            <w:pPr>
              <w:jc w:val="center"/>
              <w:rPr>
                <w:rFonts w:ascii="宋体" w:hAnsi="宋体"/>
                <w:b/>
                <w:bCs/>
                <w:szCs w:val="21"/>
              </w:rPr>
            </w:pPr>
            <w:r>
              <w:rPr>
                <w:rFonts w:hint="eastAsia" w:ascii="宋体" w:hAnsi="宋体"/>
                <w:b/>
                <w:bCs/>
                <w:szCs w:val="21"/>
              </w:rPr>
              <w:t>得分</w:t>
            </w:r>
          </w:p>
        </w:tc>
        <w:tc>
          <w:tcPr>
            <w:tcW w:w="556" w:type="dxa"/>
            <w:vAlign w:val="center"/>
          </w:tcPr>
          <w:p w14:paraId="02AD4B24">
            <w:pPr>
              <w:jc w:val="center"/>
              <w:rPr>
                <w:rFonts w:ascii="宋体" w:hAnsi="宋体"/>
                <w:b/>
                <w:bCs/>
                <w:szCs w:val="21"/>
              </w:rPr>
            </w:pPr>
            <w:r>
              <w:rPr>
                <w:rFonts w:hint="eastAsia" w:ascii="宋体" w:hAnsi="宋体"/>
                <w:b/>
                <w:bCs/>
                <w:szCs w:val="21"/>
              </w:rPr>
              <w:t>暗标编号</w:t>
            </w:r>
          </w:p>
        </w:tc>
        <w:tc>
          <w:tcPr>
            <w:tcW w:w="556" w:type="dxa"/>
            <w:vAlign w:val="center"/>
          </w:tcPr>
          <w:p w14:paraId="32F34A92">
            <w:pPr>
              <w:jc w:val="center"/>
              <w:rPr>
                <w:rFonts w:ascii="宋体" w:hAnsi="宋体"/>
                <w:b/>
                <w:bCs/>
                <w:szCs w:val="21"/>
              </w:rPr>
            </w:pPr>
            <w:r>
              <w:rPr>
                <w:rFonts w:hint="eastAsia" w:ascii="宋体" w:hAnsi="宋体"/>
                <w:b/>
                <w:bCs/>
                <w:szCs w:val="21"/>
              </w:rPr>
              <w:t>得分</w:t>
            </w:r>
          </w:p>
        </w:tc>
        <w:tc>
          <w:tcPr>
            <w:tcW w:w="556" w:type="dxa"/>
            <w:vAlign w:val="center"/>
          </w:tcPr>
          <w:p w14:paraId="38D9A6FE">
            <w:pPr>
              <w:jc w:val="center"/>
              <w:rPr>
                <w:rFonts w:ascii="宋体" w:hAnsi="宋体"/>
                <w:b/>
                <w:bCs/>
                <w:szCs w:val="21"/>
              </w:rPr>
            </w:pPr>
            <w:r>
              <w:rPr>
                <w:rFonts w:hint="eastAsia" w:ascii="宋体" w:hAnsi="宋体"/>
                <w:b/>
                <w:bCs/>
                <w:szCs w:val="21"/>
              </w:rPr>
              <w:t>暗标编号</w:t>
            </w:r>
          </w:p>
        </w:tc>
        <w:tc>
          <w:tcPr>
            <w:tcW w:w="556" w:type="dxa"/>
            <w:vAlign w:val="center"/>
          </w:tcPr>
          <w:p w14:paraId="47E2008D">
            <w:pPr>
              <w:jc w:val="center"/>
              <w:rPr>
                <w:rFonts w:ascii="宋体" w:hAnsi="宋体"/>
                <w:b/>
                <w:bCs/>
                <w:szCs w:val="21"/>
              </w:rPr>
            </w:pPr>
            <w:r>
              <w:rPr>
                <w:rFonts w:hint="eastAsia" w:ascii="宋体" w:hAnsi="宋体"/>
                <w:b/>
                <w:bCs/>
                <w:szCs w:val="21"/>
              </w:rPr>
              <w:t>得分</w:t>
            </w:r>
          </w:p>
        </w:tc>
        <w:tc>
          <w:tcPr>
            <w:tcW w:w="556" w:type="dxa"/>
            <w:vAlign w:val="center"/>
          </w:tcPr>
          <w:p w14:paraId="7EA26A80">
            <w:pPr>
              <w:jc w:val="center"/>
              <w:rPr>
                <w:rFonts w:ascii="宋体" w:hAnsi="宋体"/>
                <w:b/>
                <w:bCs/>
                <w:szCs w:val="21"/>
              </w:rPr>
            </w:pPr>
            <w:r>
              <w:rPr>
                <w:rFonts w:hint="eastAsia" w:ascii="宋体" w:hAnsi="宋体"/>
                <w:b/>
                <w:bCs/>
                <w:szCs w:val="21"/>
              </w:rPr>
              <w:t>暗标编号</w:t>
            </w:r>
          </w:p>
        </w:tc>
        <w:tc>
          <w:tcPr>
            <w:tcW w:w="556" w:type="dxa"/>
            <w:vAlign w:val="center"/>
          </w:tcPr>
          <w:p w14:paraId="72CAEB29">
            <w:pPr>
              <w:jc w:val="center"/>
              <w:rPr>
                <w:rFonts w:ascii="宋体" w:hAnsi="宋体"/>
                <w:b/>
                <w:bCs/>
                <w:szCs w:val="21"/>
              </w:rPr>
            </w:pPr>
            <w:r>
              <w:rPr>
                <w:rFonts w:hint="eastAsia" w:ascii="宋体" w:hAnsi="宋体"/>
                <w:b/>
                <w:bCs/>
                <w:szCs w:val="21"/>
              </w:rPr>
              <w:t>得分</w:t>
            </w:r>
          </w:p>
        </w:tc>
        <w:tc>
          <w:tcPr>
            <w:tcW w:w="556" w:type="dxa"/>
            <w:vAlign w:val="center"/>
          </w:tcPr>
          <w:p w14:paraId="14B0784D">
            <w:pPr>
              <w:jc w:val="center"/>
              <w:rPr>
                <w:rFonts w:ascii="宋体" w:hAnsi="宋体"/>
                <w:b/>
                <w:bCs/>
                <w:szCs w:val="21"/>
              </w:rPr>
            </w:pPr>
            <w:r>
              <w:rPr>
                <w:rFonts w:hint="eastAsia" w:ascii="宋体" w:hAnsi="宋体"/>
                <w:b/>
                <w:bCs/>
                <w:szCs w:val="21"/>
              </w:rPr>
              <w:t>暗标编号</w:t>
            </w:r>
          </w:p>
        </w:tc>
        <w:tc>
          <w:tcPr>
            <w:tcW w:w="556" w:type="dxa"/>
            <w:vAlign w:val="center"/>
          </w:tcPr>
          <w:p w14:paraId="6CAC8DFB">
            <w:pPr>
              <w:jc w:val="center"/>
              <w:rPr>
                <w:rFonts w:ascii="宋体" w:hAnsi="宋体"/>
                <w:b/>
                <w:bCs/>
                <w:szCs w:val="21"/>
              </w:rPr>
            </w:pPr>
            <w:r>
              <w:rPr>
                <w:rFonts w:hint="eastAsia" w:ascii="宋体" w:hAnsi="宋体"/>
                <w:b/>
                <w:bCs/>
                <w:szCs w:val="21"/>
              </w:rPr>
              <w:t>得分</w:t>
            </w:r>
          </w:p>
        </w:tc>
        <w:tc>
          <w:tcPr>
            <w:tcW w:w="555" w:type="dxa"/>
            <w:vAlign w:val="center"/>
          </w:tcPr>
          <w:p w14:paraId="23B80A10">
            <w:pPr>
              <w:jc w:val="center"/>
              <w:rPr>
                <w:rFonts w:ascii="宋体" w:hAnsi="宋体"/>
                <w:b/>
                <w:bCs/>
                <w:szCs w:val="21"/>
              </w:rPr>
            </w:pPr>
            <w:r>
              <w:rPr>
                <w:rFonts w:hint="eastAsia" w:ascii="宋体" w:hAnsi="宋体"/>
                <w:b/>
                <w:bCs/>
                <w:szCs w:val="21"/>
              </w:rPr>
              <w:t>暗标编号</w:t>
            </w:r>
          </w:p>
        </w:tc>
        <w:tc>
          <w:tcPr>
            <w:tcW w:w="556" w:type="dxa"/>
            <w:vAlign w:val="center"/>
          </w:tcPr>
          <w:p w14:paraId="57A50A4C">
            <w:pPr>
              <w:jc w:val="center"/>
              <w:rPr>
                <w:rFonts w:ascii="宋体" w:hAnsi="宋体"/>
                <w:b/>
                <w:bCs/>
                <w:szCs w:val="21"/>
              </w:rPr>
            </w:pPr>
            <w:r>
              <w:rPr>
                <w:rFonts w:hint="eastAsia" w:ascii="宋体" w:hAnsi="宋体"/>
                <w:b/>
                <w:bCs/>
                <w:szCs w:val="21"/>
              </w:rPr>
              <w:t>得分</w:t>
            </w:r>
          </w:p>
        </w:tc>
        <w:tc>
          <w:tcPr>
            <w:tcW w:w="556" w:type="dxa"/>
            <w:vAlign w:val="center"/>
          </w:tcPr>
          <w:p w14:paraId="7A4A1E03">
            <w:pPr>
              <w:jc w:val="center"/>
              <w:rPr>
                <w:rFonts w:ascii="宋体" w:hAnsi="宋体"/>
                <w:b/>
                <w:bCs/>
                <w:szCs w:val="21"/>
              </w:rPr>
            </w:pPr>
            <w:r>
              <w:rPr>
                <w:rFonts w:hint="eastAsia" w:ascii="宋体" w:hAnsi="宋体"/>
                <w:b/>
                <w:bCs/>
                <w:szCs w:val="21"/>
              </w:rPr>
              <w:t>暗标编号</w:t>
            </w:r>
          </w:p>
        </w:tc>
        <w:tc>
          <w:tcPr>
            <w:tcW w:w="556" w:type="dxa"/>
            <w:vAlign w:val="center"/>
          </w:tcPr>
          <w:p w14:paraId="1B043488">
            <w:pPr>
              <w:jc w:val="center"/>
              <w:rPr>
                <w:rFonts w:ascii="宋体" w:hAnsi="宋体"/>
                <w:b/>
                <w:bCs/>
                <w:szCs w:val="21"/>
              </w:rPr>
            </w:pPr>
            <w:r>
              <w:rPr>
                <w:rFonts w:hint="eastAsia" w:ascii="宋体" w:hAnsi="宋体"/>
                <w:b/>
                <w:bCs/>
                <w:szCs w:val="21"/>
              </w:rPr>
              <w:t>得分</w:t>
            </w:r>
          </w:p>
        </w:tc>
        <w:tc>
          <w:tcPr>
            <w:tcW w:w="556" w:type="dxa"/>
            <w:vAlign w:val="center"/>
          </w:tcPr>
          <w:p w14:paraId="74B91CB8">
            <w:pPr>
              <w:jc w:val="center"/>
              <w:rPr>
                <w:rFonts w:ascii="宋体" w:hAnsi="宋体"/>
                <w:b/>
                <w:bCs/>
                <w:szCs w:val="21"/>
              </w:rPr>
            </w:pPr>
            <w:r>
              <w:rPr>
                <w:rFonts w:hint="eastAsia" w:ascii="宋体" w:hAnsi="宋体"/>
                <w:b/>
                <w:bCs/>
                <w:szCs w:val="21"/>
              </w:rPr>
              <w:t>暗标编号</w:t>
            </w:r>
          </w:p>
        </w:tc>
        <w:tc>
          <w:tcPr>
            <w:tcW w:w="556" w:type="dxa"/>
            <w:vAlign w:val="center"/>
          </w:tcPr>
          <w:p w14:paraId="44FDE8C7">
            <w:pPr>
              <w:jc w:val="center"/>
              <w:rPr>
                <w:rFonts w:ascii="宋体" w:hAnsi="宋体"/>
                <w:b/>
                <w:bCs/>
                <w:szCs w:val="21"/>
              </w:rPr>
            </w:pPr>
            <w:r>
              <w:rPr>
                <w:rFonts w:hint="eastAsia" w:ascii="宋体" w:hAnsi="宋体"/>
                <w:b/>
                <w:bCs/>
                <w:szCs w:val="21"/>
              </w:rPr>
              <w:t>得分</w:t>
            </w:r>
          </w:p>
        </w:tc>
        <w:tc>
          <w:tcPr>
            <w:tcW w:w="556" w:type="dxa"/>
            <w:vAlign w:val="center"/>
          </w:tcPr>
          <w:p w14:paraId="5D049A4C">
            <w:pPr>
              <w:jc w:val="center"/>
              <w:rPr>
                <w:rFonts w:ascii="宋体" w:hAnsi="宋体"/>
                <w:b/>
                <w:bCs/>
                <w:szCs w:val="21"/>
              </w:rPr>
            </w:pPr>
            <w:r>
              <w:rPr>
                <w:rFonts w:hint="eastAsia" w:ascii="宋体" w:hAnsi="宋体"/>
                <w:b/>
                <w:bCs/>
                <w:szCs w:val="21"/>
              </w:rPr>
              <w:t>暗标编号</w:t>
            </w:r>
          </w:p>
        </w:tc>
        <w:tc>
          <w:tcPr>
            <w:tcW w:w="470" w:type="dxa"/>
            <w:vAlign w:val="center"/>
          </w:tcPr>
          <w:p w14:paraId="273F6E68">
            <w:pPr>
              <w:jc w:val="center"/>
              <w:rPr>
                <w:rFonts w:ascii="宋体" w:hAnsi="宋体"/>
                <w:b/>
                <w:bCs/>
                <w:szCs w:val="21"/>
              </w:rPr>
            </w:pPr>
            <w:r>
              <w:rPr>
                <w:rFonts w:hint="eastAsia" w:ascii="宋体" w:hAnsi="宋体"/>
                <w:b/>
                <w:bCs/>
                <w:szCs w:val="21"/>
              </w:rPr>
              <w:t>得分</w:t>
            </w:r>
          </w:p>
        </w:tc>
        <w:tc>
          <w:tcPr>
            <w:tcW w:w="1198" w:type="dxa"/>
            <w:vMerge w:val="continue"/>
            <w:vAlign w:val="center"/>
          </w:tcPr>
          <w:p w14:paraId="187BAE01">
            <w:pPr>
              <w:jc w:val="center"/>
              <w:rPr>
                <w:rFonts w:ascii="宋体" w:hAnsi="宋体"/>
                <w:b/>
                <w:bCs/>
                <w:szCs w:val="21"/>
              </w:rPr>
            </w:pPr>
          </w:p>
        </w:tc>
      </w:tr>
      <w:tr w14:paraId="5288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31153E4">
            <w:pPr>
              <w:jc w:val="center"/>
              <w:rPr>
                <w:rFonts w:ascii="宋体" w:hAnsi="宋体"/>
                <w:szCs w:val="21"/>
              </w:rPr>
            </w:pPr>
            <w:r>
              <w:rPr>
                <w:rFonts w:hint="eastAsia" w:ascii="宋体" w:hAnsi="宋体"/>
                <w:szCs w:val="21"/>
              </w:rPr>
              <w:t>1</w:t>
            </w:r>
          </w:p>
        </w:tc>
        <w:tc>
          <w:tcPr>
            <w:tcW w:w="2204" w:type="dxa"/>
            <w:vAlign w:val="center"/>
          </w:tcPr>
          <w:p w14:paraId="21417B6E">
            <w:pPr>
              <w:jc w:val="center"/>
              <w:rPr>
                <w:rFonts w:ascii="宋体" w:hAnsi="宋体"/>
                <w:szCs w:val="21"/>
              </w:rPr>
            </w:pPr>
          </w:p>
        </w:tc>
        <w:tc>
          <w:tcPr>
            <w:tcW w:w="555" w:type="dxa"/>
            <w:vAlign w:val="center"/>
          </w:tcPr>
          <w:p w14:paraId="328A7D53">
            <w:pPr>
              <w:jc w:val="center"/>
              <w:rPr>
                <w:rFonts w:ascii="宋体" w:hAnsi="宋体"/>
                <w:szCs w:val="21"/>
              </w:rPr>
            </w:pPr>
          </w:p>
        </w:tc>
        <w:tc>
          <w:tcPr>
            <w:tcW w:w="556" w:type="dxa"/>
            <w:vAlign w:val="center"/>
          </w:tcPr>
          <w:p w14:paraId="452C4A0B">
            <w:pPr>
              <w:jc w:val="center"/>
              <w:rPr>
                <w:rFonts w:ascii="宋体" w:hAnsi="宋体"/>
                <w:szCs w:val="21"/>
              </w:rPr>
            </w:pPr>
          </w:p>
        </w:tc>
        <w:tc>
          <w:tcPr>
            <w:tcW w:w="556" w:type="dxa"/>
            <w:vAlign w:val="center"/>
          </w:tcPr>
          <w:p w14:paraId="6E3A21D9">
            <w:pPr>
              <w:jc w:val="center"/>
              <w:rPr>
                <w:rFonts w:ascii="宋体" w:hAnsi="宋体"/>
                <w:szCs w:val="21"/>
              </w:rPr>
            </w:pPr>
          </w:p>
        </w:tc>
        <w:tc>
          <w:tcPr>
            <w:tcW w:w="556" w:type="dxa"/>
            <w:vAlign w:val="center"/>
          </w:tcPr>
          <w:p w14:paraId="7F4A9E07">
            <w:pPr>
              <w:jc w:val="center"/>
              <w:rPr>
                <w:rFonts w:ascii="宋体" w:hAnsi="宋体"/>
                <w:szCs w:val="21"/>
              </w:rPr>
            </w:pPr>
          </w:p>
        </w:tc>
        <w:tc>
          <w:tcPr>
            <w:tcW w:w="556" w:type="dxa"/>
            <w:vAlign w:val="center"/>
          </w:tcPr>
          <w:p w14:paraId="7F83B9FD">
            <w:pPr>
              <w:jc w:val="center"/>
              <w:rPr>
                <w:rFonts w:ascii="宋体" w:hAnsi="宋体"/>
                <w:szCs w:val="21"/>
              </w:rPr>
            </w:pPr>
          </w:p>
        </w:tc>
        <w:tc>
          <w:tcPr>
            <w:tcW w:w="556" w:type="dxa"/>
            <w:vAlign w:val="center"/>
          </w:tcPr>
          <w:p w14:paraId="7F29B73A">
            <w:pPr>
              <w:jc w:val="center"/>
              <w:rPr>
                <w:rFonts w:ascii="宋体" w:hAnsi="宋体"/>
                <w:szCs w:val="21"/>
              </w:rPr>
            </w:pPr>
          </w:p>
        </w:tc>
        <w:tc>
          <w:tcPr>
            <w:tcW w:w="556" w:type="dxa"/>
            <w:vAlign w:val="center"/>
          </w:tcPr>
          <w:p w14:paraId="7B979CC9">
            <w:pPr>
              <w:jc w:val="center"/>
              <w:rPr>
                <w:rFonts w:ascii="宋体" w:hAnsi="宋体"/>
                <w:szCs w:val="21"/>
              </w:rPr>
            </w:pPr>
          </w:p>
        </w:tc>
        <w:tc>
          <w:tcPr>
            <w:tcW w:w="556" w:type="dxa"/>
            <w:vAlign w:val="center"/>
          </w:tcPr>
          <w:p w14:paraId="5D7C40D8">
            <w:pPr>
              <w:jc w:val="center"/>
              <w:rPr>
                <w:rFonts w:ascii="宋体" w:hAnsi="宋体"/>
                <w:szCs w:val="21"/>
              </w:rPr>
            </w:pPr>
          </w:p>
        </w:tc>
        <w:tc>
          <w:tcPr>
            <w:tcW w:w="556" w:type="dxa"/>
            <w:vAlign w:val="center"/>
          </w:tcPr>
          <w:p w14:paraId="44114FBD">
            <w:pPr>
              <w:jc w:val="center"/>
              <w:rPr>
                <w:rFonts w:ascii="宋体" w:hAnsi="宋体"/>
                <w:szCs w:val="21"/>
              </w:rPr>
            </w:pPr>
          </w:p>
        </w:tc>
        <w:tc>
          <w:tcPr>
            <w:tcW w:w="556" w:type="dxa"/>
            <w:vAlign w:val="center"/>
          </w:tcPr>
          <w:p w14:paraId="7A6BE09B">
            <w:pPr>
              <w:jc w:val="center"/>
              <w:rPr>
                <w:rFonts w:ascii="宋体" w:hAnsi="宋体"/>
                <w:szCs w:val="21"/>
              </w:rPr>
            </w:pPr>
          </w:p>
        </w:tc>
        <w:tc>
          <w:tcPr>
            <w:tcW w:w="555" w:type="dxa"/>
            <w:vAlign w:val="center"/>
          </w:tcPr>
          <w:p w14:paraId="2F268A4C">
            <w:pPr>
              <w:jc w:val="center"/>
              <w:rPr>
                <w:rFonts w:ascii="宋体" w:hAnsi="宋体"/>
                <w:szCs w:val="21"/>
              </w:rPr>
            </w:pPr>
          </w:p>
        </w:tc>
        <w:tc>
          <w:tcPr>
            <w:tcW w:w="556" w:type="dxa"/>
            <w:vAlign w:val="center"/>
          </w:tcPr>
          <w:p w14:paraId="7BB6BA81">
            <w:pPr>
              <w:jc w:val="center"/>
              <w:rPr>
                <w:rFonts w:ascii="宋体" w:hAnsi="宋体"/>
                <w:szCs w:val="21"/>
              </w:rPr>
            </w:pPr>
          </w:p>
        </w:tc>
        <w:tc>
          <w:tcPr>
            <w:tcW w:w="556" w:type="dxa"/>
            <w:vAlign w:val="center"/>
          </w:tcPr>
          <w:p w14:paraId="358DF1E9">
            <w:pPr>
              <w:jc w:val="center"/>
              <w:rPr>
                <w:rFonts w:ascii="宋体" w:hAnsi="宋体"/>
                <w:szCs w:val="21"/>
              </w:rPr>
            </w:pPr>
          </w:p>
        </w:tc>
        <w:tc>
          <w:tcPr>
            <w:tcW w:w="556" w:type="dxa"/>
            <w:vAlign w:val="center"/>
          </w:tcPr>
          <w:p w14:paraId="77489D9F">
            <w:pPr>
              <w:jc w:val="center"/>
              <w:rPr>
                <w:rFonts w:ascii="宋体" w:hAnsi="宋体"/>
                <w:szCs w:val="21"/>
              </w:rPr>
            </w:pPr>
          </w:p>
        </w:tc>
        <w:tc>
          <w:tcPr>
            <w:tcW w:w="556" w:type="dxa"/>
          </w:tcPr>
          <w:p w14:paraId="0D62EC42">
            <w:pPr>
              <w:jc w:val="center"/>
              <w:rPr>
                <w:rFonts w:ascii="宋体" w:hAnsi="宋体"/>
                <w:szCs w:val="21"/>
              </w:rPr>
            </w:pPr>
          </w:p>
        </w:tc>
        <w:tc>
          <w:tcPr>
            <w:tcW w:w="556" w:type="dxa"/>
          </w:tcPr>
          <w:p w14:paraId="09345B42">
            <w:pPr>
              <w:jc w:val="center"/>
              <w:rPr>
                <w:rFonts w:ascii="宋体" w:hAnsi="宋体"/>
                <w:szCs w:val="21"/>
              </w:rPr>
            </w:pPr>
          </w:p>
        </w:tc>
        <w:tc>
          <w:tcPr>
            <w:tcW w:w="556" w:type="dxa"/>
            <w:vAlign w:val="center"/>
          </w:tcPr>
          <w:p w14:paraId="0525EAAD">
            <w:pPr>
              <w:jc w:val="center"/>
              <w:rPr>
                <w:rFonts w:ascii="宋体" w:hAnsi="宋体"/>
                <w:szCs w:val="21"/>
              </w:rPr>
            </w:pPr>
          </w:p>
        </w:tc>
        <w:tc>
          <w:tcPr>
            <w:tcW w:w="470" w:type="dxa"/>
            <w:vAlign w:val="center"/>
          </w:tcPr>
          <w:p w14:paraId="59108175">
            <w:pPr>
              <w:jc w:val="center"/>
              <w:rPr>
                <w:rFonts w:ascii="宋体" w:hAnsi="宋体"/>
                <w:szCs w:val="21"/>
              </w:rPr>
            </w:pPr>
          </w:p>
        </w:tc>
        <w:tc>
          <w:tcPr>
            <w:tcW w:w="1198" w:type="dxa"/>
            <w:vAlign w:val="center"/>
          </w:tcPr>
          <w:p w14:paraId="6AC74C1C">
            <w:pPr>
              <w:jc w:val="center"/>
              <w:rPr>
                <w:rFonts w:ascii="宋体" w:hAnsi="宋体"/>
                <w:szCs w:val="21"/>
              </w:rPr>
            </w:pPr>
          </w:p>
        </w:tc>
      </w:tr>
      <w:tr w14:paraId="1539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0009059E">
            <w:pPr>
              <w:jc w:val="center"/>
              <w:rPr>
                <w:rFonts w:ascii="宋体" w:hAnsi="宋体"/>
                <w:szCs w:val="21"/>
              </w:rPr>
            </w:pPr>
            <w:r>
              <w:rPr>
                <w:rFonts w:hint="eastAsia" w:ascii="宋体" w:hAnsi="宋体"/>
                <w:szCs w:val="21"/>
              </w:rPr>
              <w:t>2</w:t>
            </w:r>
          </w:p>
        </w:tc>
        <w:tc>
          <w:tcPr>
            <w:tcW w:w="2204" w:type="dxa"/>
            <w:vAlign w:val="center"/>
          </w:tcPr>
          <w:p w14:paraId="7A681C67">
            <w:pPr>
              <w:jc w:val="center"/>
              <w:rPr>
                <w:rFonts w:ascii="宋体" w:hAnsi="宋体"/>
                <w:szCs w:val="21"/>
              </w:rPr>
            </w:pPr>
          </w:p>
        </w:tc>
        <w:tc>
          <w:tcPr>
            <w:tcW w:w="555" w:type="dxa"/>
            <w:vAlign w:val="center"/>
          </w:tcPr>
          <w:p w14:paraId="0D4ACC49">
            <w:pPr>
              <w:jc w:val="center"/>
              <w:rPr>
                <w:rFonts w:ascii="宋体" w:hAnsi="宋体"/>
                <w:szCs w:val="21"/>
              </w:rPr>
            </w:pPr>
          </w:p>
        </w:tc>
        <w:tc>
          <w:tcPr>
            <w:tcW w:w="556" w:type="dxa"/>
            <w:vAlign w:val="center"/>
          </w:tcPr>
          <w:p w14:paraId="41D69806">
            <w:pPr>
              <w:jc w:val="center"/>
              <w:rPr>
                <w:rFonts w:ascii="宋体" w:hAnsi="宋体"/>
                <w:szCs w:val="21"/>
              </w:rPr>
            </w:pPr>
          </w:p>
        </w:tc>
        <w:tc>
          <w:tcPr>
            <w:tcW w:w="556" w:type="dxa"/>
            <w:vAlign w:val="center"/>
          </w:tcPr>
          <w:p w14:paraId="2AAED1FE">
            <w:pPr>
              <w:jc w:val="center"/>
              <w:rPr>
                <w:rFonts w:ascii="宋体" w:hAnsi="宋体"/>
                <w:szCs w:val="21"/>
              </w:rPr>
            </w:pPr>
          </w:p>
        </w:tc>
        <w:tc>
          <w:tcPr>
            <w:tcW w:w="556" w:type="dxa"/>
            <w:vAlign w:val="center"/>
          </w:tcPr>
          <w:p w14:paraId="15886DAF">
            <w:pPr>
              <w:jc w:val="center"/>
              <w:rPr>
                <w:rFonts w:ascii="宋体" w:hAnsi="宋体"/>
                <w:szCs w:val="21"/>
              </w:rPr>
            </w:pPr>
          </w:p>
        </w:tc>
        <w:tc>
          <w:tcPr>
            <w:tcW w:w="556" w:type="dxa"/>
            <w:vAlign w:val="center"/>
          </w:tcPr>
          <w:p w14:paraId="7713931A">
            <w:pPr>
              <w:jc w:val="center"/>
              <w:rPr>
                <w:rFonts w:ascii="宋体" w:hAnsi="宋体"/>
                <w:szCs w:val="21"/>
              </w:rPr>
            </w:pPr>
          </w:p>
        </w:tc>
        <w:tc>
          <w:tcPr>
            <w:tcW w:w="556" w:type="dxa"/>
            <w:vAlign w:val="center"/>
          </w:tcPr>
          <w:p w14:paraId="59806EF8">
            <w:pPr>
              <w:jc w:val="center"/>
              <w:rPr>
                <w:rFonts w:ascii="宋体" w:hAnsi="宋体"/>
                <w:szCs w:val="21"/>
              </w:rPr>
            </w:pPr>
          </w:p>
        </w:tc>
        <w:tc>
          <w:tcPr>
            <w:tcW w:w="556" w:type="dxa"/>
            <w:vAlign w:val="center"/>
          </w:tcPr>
          <w:p w14:paraId="5347B5C2">
            <w:pPr>
              <w:jc w:val="center"/>
              <w:rPr>
                <w:rFonts w:ascii="宋体" w:hAnsi="宋体"/>
                <w:szCs w:val="21"/>
              </w:rPr>
            </w:pPr>
          </w:p>
        </w:tc>
        <w:tc>
          <w:tcPr>
            <w:tcW w:w="556" w:type="dxa"/>
            <w:vAlign w:val="center"/>
          </w:tcPr>
          <w:p w14:paraId="34069F72">
            <w:pPr>
              <w:jc w:val="center"/>
              <w:rPr>
                <w:rFonts w:ascii="宋体" w:hAnsi="宋体"/>
                <w:szCs w:val="21"/>
              </w:rPr>
            </w:pPr>
          </w:p>
        </w:tc>
        <w:tc>
          <w:tcPr>
            <w:tcW w:w="556" w:type="dxa"/>
            <w:vAlign w:val="center"/>
          </w:tcPr>
          <w:p w14:paraId="7ECF3B14">
            <w:pPr>
              <w:jc w:val="center"/>
              <w:rPr>
                <w:rFonts w:ascii="宋体" w:hAnsi="宋体"/>
                <w:szCs w:val="21"/>
              </w:rPr>
            </w:pPr>
          </w:p>
        </w:tc>
        <w:tc>
          <w:tcPr>
            <w:tcW w:w="556" w:type="dxa"/>
            <w:vAlign w:val="center"/>
          </w:tcPr>
          <w:p w14:paraId="095004CC">
            <w:pPr>
              <w:jc w:val="center"/>
              <w:rPr>
                <w:rFonts w:ascii="宋体" w:hAnsi="宋体"/>
                <w:szCs w:val="21"/>
              </w:rPr>
            </w:pPr>
          </w:p>
        </w:tc>
        <w:tc>
          <w:tcPr>
            <w:tcW w:w="555" w:type="dxa"/>
            <w:vAlign w:val="center"/>
          </w:tcPr>
          <w:p w14:paraId="6111C6F1">
            <w:pPr>
              <w:jc w:val="center"/>
              <w:rPr>
                <w:rFonts w:ascii="宋体" w:hAnsi="宋体"/>
                <w:szCs w:val="21"/>
              </w:rPr>
            </w:pPr>
          </w:p>
        </w:tc>
        <w:tc>
          <w:tcPr>
            <w:tcW w:w="556" w:type="dxa"/>
            <w:vAlign w:val="center"/>
          </w:tcPr>
          <w:p w14:paraId="3786C303">
            <w:pPr>
              <w:jc w:val="center"/>
              <w:rPr>
                <w:rFonts w:ascii="宋体" w:hAnsi="宋体"/>
                <w:szCs w:val="21"/>
              </w:rPr>
            </w:pPr>
          </w:p>
        </w:tc>
        <w:tc>
          <w:tcPr>
            <w:tcW w:w="556" w:type="dxa"/>
            <w:vAlign w:val="center"/>
          </w:tcPr>
          <w:p w14:paraId="33A743DE">
            <w:pPr>
              <w:jc w:val="center"/>
              <w:rPr>
                <w:rFonts w:ascii="宋体" w:hAnsi="宋体"/>
                <w:szCs w:val="21"/>
              </w:rPr>
            </w:pPr>
          </w:p>
        </w:tc>
        <w:tc>
          <w:tcPr>
            <w:tcW w:w="556" w:type="dxa"/>
            <w:vAlign w:val="center"/>
          </w:tcPr>
          <w:p w14:paraId="78D3130D">
            <w:pPr>
              <w:jc w:val="center"/>
              <w:rPr>
                <w:rFonts w:ascii="宋体" w:hAnsi="宋体"/>
                <w:szCs w:val="21"/>
              </w:rPr>
            </w:pPr>
          </w:p>
        </w:tc>
        <w:tc>
          <w:tcPr>
            <w:tcW w:w="556" w:type="dxa"/>
          </w:tcPr>
          <w:p w14:paraId="2AC5DD60">
            <w:pPr>
              <w:jc w:val="center"/>
              <w:rPr>
                <w:rFonts w:ascii="宋体" w:hAnsi="宋体"/>
                <w:szCs w:val="21"/>
              </w:rPr>
            </w:pPr>
          </w:p>
        </w:tc>
        <w:tc>
          <w:tcPr>
            <w:tcW w:w="556" w:type="dxa"/>
          </w:tcPr>
          <w:p w14:paraId="7B2E80D2">
            <w:pPr>
              <w:jc w:val="center"/>
              <w:rPr>
                <w:rFonts w:ascii="宋体" w:hAnsi="宋体"/>
                <w:szCs w:val="21"/>
              </w:rPr>
            </w:pPr>
          </w:p>
        </w:tc>
        <w:tc>
          <w:tcPr>
            <w:tcW w:w="556" w:type="dxa"/>
            <w:vAlign w:val="center"/>
          </w:tcPr>
          <w:p w14:paraId="5BF1D3F6">
            <w:pPr>
              <w:jc w:val="center"/>
              <w:rPr>
                <w:rFonts w:ascii="宋体" w:hAnsi="宋体"/>
                <w:szCs w:val="21"/>
              </w:rPr>
            </w:pPr>
          </w:p>
        </w:tc>
        <w:tc>
          <w:tcPr>
            <w:tcW w:w="470" w:type="dxa"/>
            <w:vAlign w:val="center"/>
          </w:tcPr>
          <w:p w14:paraId="0CDA1EEC">
            <w:pPr>
              <w:jc w:val="center"/>
              <w:rPr>
                <w:rFonts w:ascii="宋体" w:hAnsi="宋体"/>
                <w:szCs w:val="21"/>
              </w:rPr>
            </w:pPr>
          </w:p>
        </w:tc>
        <w:tc>
          <w:tcPr>
            <w:tcW w:w="1198" w:type="dxa"/>
            <w:vAlign w:val="center"/>
          </w:tcPr>
          <w:p w14:paraId="40354E00">
            <w:pPr>
              <w:jc w:val="center"/>
              <w:rPr>
                <w:rFonts w:ascii="宋体" w:hAnsi="宋体"/>
                <w:szCs w:val="21"/>
              </w:rPr>
            </w:pPr>
          </w:p>
        </w:tc>
      </w:tr>
      <w:tr w14:paraId="0D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69EDA7A">
            <w:pPr>
              <w:jc w:val="center"/>
              <w:rPr>
                <w:rFonts w:ascii="宋体" w:hAnsi="宋体"/>
                <w:szCs w:val="21"/>
              </w:rPr>
            </w:pPr>
            <w:r>
              <w:rPr>
                <w:rFonts w:hint="eastAsia" w:ascii="宋体" w:hAnsi="宋体"/>
                <w:szCs w:val="21"/>
              </w:rPr>
              <w:t>3</w:t>
            </w:r>
          </w:p>
        </w:tc>
        <w:tc>
          <w:tcPr>
            <w:tcW w:w="2204" w:type="dxa"/>
            <w:vAlign w:val="center"/>
          </w:tcPr>
          <w:p w14:paraId="00A39F69">
            <w:pPr>
              <w:jc w:val="center"/>
              <w:rPr>
                <w:rFonts w:ascii="宋体" w:hAnsi="宋体"/>
                <w:szCs w:val="21"/>
              </w:rPr>
            </w:pPr>
          </w:p>
        </w:tc>
        <w:tc>
          <w:tcPr>
            <w:tcW w:w="555" w:type="dxa"/>
            <w:vAlign w:val="center"/>
          </w:tcPr>
          <w:p w14:paraId="69022B02">
            <w:pPr>
              <w:jc w:val="center"/>
              <w:rPr>
                <w:rFonts w:ascii="宋体" w:hAnsi="宋体"/>
                <w:szCs w:val="21"/>
              </w:rPr>
            </w:pPr>
          </w:p>
        </w:tc>
        <w:tc>
          <w:tcPr>
            <w:tcW w:w="556" w:type="dxa"/>
            <w:vAlign w:val="center"/>
          </w:tcPr>
          <w:p w14:paraId="08553F3C">
            <w:pPr>
              <w:jc w:val="center"/>
              <w:rPr>
                <w:rFonts w:ascii="宋体" w:hAnsi="宋体"/>
                <w:szCs w:val="21"/>
              </w:rPr>
            </w:pPr>
          </w:p>
        </w:tc>
        <w:tc>
          <w:tcPr>
            <w:tcW w:w="556" w:type="dxa"/>
            <w:vAlign w:val="center"/>
          </w:tcPr>
          <w:p w14:paraId="0CE2FD73">
            <w:pPr>
              <w:jc w:val="center"/>
              <w:rPr>
                <w:rFonts w:ascii="宋体" w:hAnsi="宋体"/>
                <w:szCs w:val="21"/>
              </w:rPr>
            </w:pPr>
          </w:p>
        </w:tc>
        <w:tc>
          <w:tcPr>
            <w:tcW w:w="556" w:type="dxa"/>
            <w:vAlign w:val="center"/>
          </w:tcPr>
          <w:p w14:paraId="22CDEB80">
            <w:pPr>
              <w:jc w:val="center"/>
              <w:rPr>
                <w:rFonts w:ascii="宋体" w:hAnsi="宋体"/>
                <w:szCs w:val="21"/>
              </w:rPr>
            </w:pPr>
          </w:p>
        </w:tc>
        <w:tc>
          <w:tcPr>
            <w:tcW w:w="556" w:type="dxa"/>
            <w:vAlign w:val="center"/>
          </w:tcPr>
          <w:p w14:paraId="3F851042">
            <w:pPr>
              <w:jc w:val="center"/>
              <w:rPr>
                <w:rFonts w:ascii="宋体" w:hAnsi="宋体"/>
                <w:szCs w:val="21"/>
              </w:rPr>
            </w:pPr>
          </w:p>
        </w:tc>
        <w:tc>
          <w:tcPr>
            <w:tcW w:w="556" w:type="dxa"/>
            <w:vAlign w:val="center"/>
          </w:tcPr>
          <w:p w14:paraId="36A44269">
            <w:pPr>
              <w:jc w:val="center"/>
              <w:rPr>
                <w:rFonts w:ascii="宋体" w:hAnsi="宋体"/>
                <w:szCs w:val="21"/>
              </w:rPr>
            </w:pPr>
          </w:p>
        </w:tc>
        <w:tc>
          <w:tcPr>
            <w:tcW w:w="556" w:type="dxa"/>
            <w:vAlign w:val="center"/>
          </w:tcPr>
          <w:p w14:paraId="011A6EBB">
            <w:pPr>
              <w:jc w:val="center"/>
              <w:rPr>
                <w:rFonts w:ascii="宋体" w:hAnsi="宋体"/>
                <w:szCs w:val="21"/>
              </w:rPr>
            </w:pPr>
          </w:p>
        </w:tc>
        <w:tc>
          <w:tcPr>
            <w:tcW w:w="556" w:type="dxa"/>
            <w:vAlign w:val="center"/>
          </w:tcPr>
          <w:p w14:paraId="79E2F085">
            <w:pPr>
              <w:jc w:val="center"/>
              <w:rPr>
                <w:rFonts w:ascii="宋体" w:hAnsi="宋体"/>
                <w:szCs w:val="21"/>
              </w:rPr>
            </w:pPr>
          </w:p>
        </w:tc>
        <w:tc>
          <w:tcPr>
            <w:tcW w:w="556" w:type="dxa"/>
            <w:vAlign w:val="center"/>
          </w:tcPr>
          <w:p w14:paraId="61C05FFB">
            <w:pPr>
              <w:jc w:val="center"/>
              <w:rPr>
                <w:rFonts w:ascii="宋体" w:hAnsi="宋体"/>
                <w:szCs w:val="21"/>
              </w:rPr>
            </w:pPr>
          </w:p>
        </w:tc>
        <w:tc>
          <w:tcPr>
            <w:tcW w:w="556" w:type="dxa"/>
            <w:vAlign w:val="center"/>
          </w:tcPr>
          <w:p w14:paraId="7C620A64">
            <w:pPr>
              <w:jc w:val="center"/>
              <w:rPr>
                <w:rFonts w:ascii="宋体" w:hAnsi="宋体"/>
                <w:szCs w:val="21"/>
              </w:rPr>
            </w:pPr>
          </w:p>
        </w:tc>
        <w:tc>
          <w:tcPr>
            <w:tcW w:w="555" w:type="dxa"/>
            <w:vAlign w:val="center"/>
          </w:tcPr>
          <w:p w14:paraId="08D08DCD">
            <w:pPr>
              <w:jc w:val="center"/>
              <w:rPr>
                <w:rFonts w:ascii="宋体" w:hAnsi="宋体"/>
                <w:szCs w:val="21"/>
              </w:rPr>
            </w:pPr>
          </w:p>
        </w:tc>
        <w:tc>
          <w:tcPr>
            <w:tcW w:w="556" w:type="dxa"/>
            <w:vAlign w:val="center"/>
          </w:tcPr>
          <w:p w14:paraId="199D0E35">
            <w:pPr>
              <w:jc w:val="center"/>
              <w:rPr>
                <w:rFonts w:ascii="宋体" w:hAnsi="宋体"/>
                <w:szCs w:val="21"/>
              </w:rPr>
            </w:pPr>
          </w:p>
        </w:tc>
        <w:tc>
          <w:tcPr>
            <w:tcW w:w="556" w:type="dxa"/>
            <w:vAlign w:val="center"/>
          </w:tcPr>
          <w:p w14:paraId="2AA50D1A">
            <w:pPr>
              <w:jc w:val="center"/>
              <w:rPr>
                <w:rFonts w:ascii="宋体" w:hAnsi="宋体"/>
                <w:szCs w:val="21"/>
              </w:rPr>
            </w:pPr>
          </w:p>
        </w:tc>
        <w:tc>
          <w:tcPr>
            <w:tcW w:w="556" w:type="dxa"/>
            <w:vAlign w:val="center"/>
          </w:tcPr>
          <w:p w14:paraId="4A1D01FF">
            <w:pPr>
              <w:jc w:val="center"/>
              <w:rPr>
                <w:rFonts w:ascii="宋体" w:hAnsi="宋体"/>
                <w:szCs w:val="21"/>
              </w:rPr>
            </w:pPr>
          </w:p>
        </w:tc>
        <w:tc>
          <w:tcPr>
            <w:tcW w:w="556" w:type="dxa"/>
          </w:tcPr>
          <w:p w14:paraId="1C017422">
            <w:pPr>
              <w:jc w:val="center"/>
              <w:rPr>
                <w:rFonts w:ascii="宋体" w:hAnsi="宋体"/>
                <w:szCs w:val="21"/>
              </w:rPr>
            </w:pPr>
          </w:p>
        </w:tc>
        <w:tc>
          <w:tcPr>
            <w:tcW w:w="556" w:type="dxa"/>
          </w:tcPr>
          <w:p w14:paraId="1D7F01BA">
            <w:pPr>
              <w:jc w:val="center"/>
              <w:rPr>
                <w:rFonts w:ascii="宋体" w:hAnsi="宋体"/>
                <w:szCs w:val="21"/>
              </w:rPr>
            </w:pPr>
          </w:p>
        </w:tc>
        <w:tc>
          <w:tcPr>
            <w:tcW w:w="556" w:type="dxa"/>
            <w:vAlign w:val="center"/>
          </w:tcPr>
          <w:p w14:paraId="38D8CFB6">
            <w:pPr>
              <w:jc w:val="center"/>
              <w:rPr>
                <w:rFonts w:ascii="宋体" w:hAnsi="宋体"/>
                <w:szCs w:val="21"/>
              </w:rPr>
            </w:pPr>
          </w:p>
        </w:tc>
        <w:tc>
          <w:tcPr>
            <w:tcW w:w="470" w:type="dxa"/>
            <w:vAlign w:val="center"/>
          </w:tcPr>
          <w:p w14:paraId="401F0A06">
            <w:pPr>
              <w:jc w:val="center"/>
              <w:rPr>
                <w:rFonts w:ascii="宋体" w:hAnsi="宋体"/>
                <w:szCs w:val="21"/>
              </w:rPr>
            </w:pPr>
          </w:p>
        </w:tc>
        <w:tc>
          <w:tcPr>
            <w:tcW w:w="1198" w:type="dxa"/>
            <w:vAlign w:val="center"/>
          </w:tcPr>
          <w:p w14:paraId="6A3506F6">
            <w:pPr>
              <w:jc w:val="center"/>
              <w:rPr>
                <w:rFonts w:ascii="宋体" w:hAnsi="宋体"/>
                <w:szCs w:val="21"/>
              </w:rPr>
            </w:pPr>
          </w:p>
        </w:tc>
      </w:tr>
      <w:tr w14:paraId="29D7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C06B1C1">
            <w:pPr>
              <w:jc w:val="center"/>
              <w:rPr>
                <w:rFonts w:ascii="宋体" w:hAnsi="宋体"/>
                <w:szCs w:val="21"/>
              </w:rPr>
            </w:pPr>
            <w:r>
              <w:rPr>
                <w:rFonts w:hint="eastAsia" w:ascii="宋体" w:hAnsi="宋体"/>
                <w:szCs w:val="21"/>
              </w:rPr>
              <w:t>4</w:t>
            </w:r>
          </w:p>
        </w:tc>
        <w:tc>
          <w:tcPr>
            <w:tcW w:w="2204" w:type="dxa"/>
            <w:vAlign w:val="center"/>
          </w:tcPr>
          <w:p w14:paraId="73F86CDE">
            <w:pPr>
              <w:jc w:val="center"/>
              <w:rPr>
                <w:rFonts w:ascii="宋体" w:hAnsi="宋体"/>
                <w:szCs w:val="21"/>
              </w:rPr>
            </w:pPr>
          </w:p>
        </w:tc>
        <w:tc>
          <w:tcPr>
            <w:tcW w:w="555" w:type="dxa"/>
            <w:vAlign w:val="center"/>
          </w:tcPr>
          <w:p w14:paraId="72294EAE">
            <w:pPr>
              <w:jc w:val="center"/>
              <w:rPr>
                <w:rFonts w:ascii="宋体" w:hAnsi="宋体"/>
                <w:szCs w:val="21"/>
              </w:rPr>
            </w:pPr>
          </w:p>
        </w:tc>
        <w:tc>
          <w:tcPr>
            <w:tcW w:w="556" w:type="dxa"/>
            <w:vAlign w:val="center"/>
          </w:tcPr>
          <w:p w14:paraId="6BBCCD25">
            <w:pPr>
              <w:jc w:val="center"/>
              <w:rPr>
                <w:rFonts w:ascii="宋体" w:hAnsi="宋体"/>
                <w:szCs w:val="21"/>
              </w:rPr>
            </w:pPr>
          </w:p>
        </w:tc>
        <w:tc>
          <w:tcPr>
            <w:tcW w:w="556" w:type="dxa"/>
            <w:vAlign w:val="center"/>
          </w:tcPr>
          <w:p w14:paraId="5EC01B1C">
            <w:pPr>
              <w:jc w:val="center"/>
              <w:rPr>
                <w:rFonts w:ascii="宋体" w:hAnsi="宋体"/>
                <w:szCs w:val="21"/>
              </w:rPr>
            </w:pPr>
          </w:p>
        </w:tc>
        <w:tc>
          <w:tcPr>
            <w:tcW w:w="556" w:type="dxa"/>
            <w:vAlign w:val="center"/>
          </w:tcPr>
          <w:p w14:paraId="5B7CBD9C">
            <w:pPr>
              <w:jc w:val="center"/>
              <w:rPr>
                <w:rFonts w:ascii="宋体" w:hAnsi="宋体"/>
                <w:szCs w:val="21"/>
              </w:rPr>
            </w:pPr>
          </w:p>
        </w:tc>
        <w:tc>
          <w:tcPr>
            <w:tcW w:w="556" w:type="dxa"/>
            <w:vAlign w:val="center"/>
          </w:tcPr>
          <w:p w14:paraId="42ECD9C8">
            <w:pPr>
              <w:jc w:val="center"/>
              <w:rPr>
                <w:rFonts w:ascii="宋体" w:hAnsi="宋体"/>
                <w:szCs w:val="21"/>
              </w:rPr>
            </w:pPr>
          </w:p>
        </w:tc>
        <w:tc>
          <w:tcPr>
            <w:tcW w:w="556" w:type="dxa"/>
            <w:vAlign w:val="center"/>
          </w:tcPr>
          <w:p w14:paraId="22C9A70B">
            <w:pPr>
              <w:jc w:val="center"/>
              <w:rPr>
                <w:rFonts w:ascii="宋体" w:hAnsi="宋体"/>
                <w:szCs w:val="21"/>
              </w:rPr>
            </w:pPr>
          </w:p>
        </w:tc>
        <w:tc>
          <w:tcPr>
            <w:tcW w:w="556" w:type="dxa"/>
            <w:vAlign w:val="center"/>
          </w:tcPr>
          <w:p w14:paraId="52DFB008">
            <w:pPr>
              <w:jc w:val="center"/>
              <w:rPr>
                <w:rFonts w:ascii="宋体" w:hAnsi="宋体"/>
                <w:szCs w:val="21"/>
              </w:rPr>
            </w:pPr>
          </w:p>
        </w:tc>
        <w:tc>
          <w:tcPr>
            <w:tcW w:w="556" w:type="dxa"/>
            <w:vAlign w:val="center"/>
          </w:tcPr>
          <w:p w14:paraId="32F7CC84">
            <w:pPr>
              <w:jc w:val="center"/>
              <w:rPr>
                <w:rFonts w:ascii="宋体" w:hAnsi="宋体"/>
                <w:szCs w:val="21"/>
              </w:rPr>
            </w:pPr>
          </w:p>
        </w:tc>
        <w:tc>
          <w:tcPr>
            <w:tcW w:w="556" w:type="dxa"/>
            <w:vAlign w:val="center"/>
          </w:tcPr>
          <w:p w14:paraId="1E2398B3">
            <w:pPr>
              <w:jc w:val="center"/>
              <w:rPr>
                <w:rFonts w:ascii="宋体" w:hAnsi="宋体"/>
                <w:szCs w:val="21"/>
              </w:rPr>
            </w:pPr>
          </w:p>
        </w:tc>
        <w:tc>
          <w:tcPr>
            <w:tcW w:w="556" w:type="dxa"/>
            <w:vAlign w:val="center"/>
          </w:tcPr>
          <w:p w14:paraId="1C09C57F">
            <w:pPr>
              <w:jc w:val="center"/>
              <w:rPr>
                <w:rFonts w:ascii="宋体" w:hAnsi="宋体"/>
                <w:szCs w:val="21"/>
              </w:rPr>
            </w:pPr>
          </w:p>
        </w:tc>
        <w:tc>
          <w:tcPr>
            <w:tcW w:w="555" w:type="dxa"/>
            <w:vAlign w:val="center"/>
          </w:tcPr>
          <w:p w14:paraId="0B7EB38D">
            <w:pPr>
              <w:jc w:val="center"/>
              <w:rPr>
                <w:rFonts w:ascii="宋体" w:hAnsi="宋体"/>
                <w:szCs w:val="21"/>
              </w:rPr>
            </w:pPr>
          </w:p>
        </w:tc>
        <w:tc>
          <w:tcPr>
            <w:tcW w:w="556" w:type="dxa"/>
            <w:vAlign w:val="center"/>
          </w:tcPr>
          <w:p w14:paraId="2358AD26">
            <w:pPr>
              <w:jc w:val="center"/>
              <w:rPr>
                <w:rFonts w:ascii="宋体" w:hAnsi="宋体"/>
                <w:szCs w:val="21"/>
              </w:rPr>
            </w:pPr>
          </w:p>
        </w:tc>
        <w:tc>
          <w:tcPr>
            <w:tcW w:w="556" w:type="dxa"/>
            <w:vAlign w:val="center"/>
          </w:tcPr>
          <w:p w14:paraId="59CC3E84">
            <w:pPr>
              <w:jc w:val="center"/>
              <w:rPr>
                <w:rFonts w:ascii="宋体" w:hAnsi="宋体"/>
                <w:szCs w:val="21"/>
              </w:rPr>
            </w:pPr>
          </w:p>
        </w:tc>
        <w:tc>
          <w:tcPr>
            <w:tcW w:w="556" w:type="dxa"/>
            <w:vAlign w:val="center"/>
          </w:tcPr>
          <w:p w14:paraId="0311FC21">
            <w:pPr>
              <w:jc w:val="center"/>
              <w:rPr>
                <w:rFonts w:ascii="宋体" w:hAnsi="宋体"/>
                <w:szCs w:val="21"/>
              </w:rPr>
            </w:pPr>
          </w:p>
        </w:tc>
        <w:tc>
          <w:tcPr>
            <w:tcW w:w="556" w:type="dxa"/>
          </w:tcPr>
          <w:p w14:paraId="40467165">
            <w:pPr>
              <w:jc w:val="center"/>
              <w:rPr>
                <w:rFonts w:ascii="宋体" w:hAnsi="宋体"/>
                <w:szCs w:val="21"/>
              </w:rPr>
            </w:pPr>
          </w:p>
        </w:tc>
        <w:tc>
          <w:tcPr>
            <w:tcW w:w="556" w:type="dxa"/>
          </w:tcPr>
          <w:p w14:paraId="102389B9">
            <w:pPr>
              <w:jc w:val="center"/>
              <w:rPr>
                <w:rFonts w:ascii="宋体" w:hAnsi="宋体"/>
                <w:szCs w:val="21"/>
              </w:rPr>
            </w:pPr>
          </w:p>
        </w:tc>
        <w:tc>
          <w:tcPr>
            <w:tcW w:w="556" w:type="dxa"/>
            <w:vAlign w:val="center"/>
          </w:tcPr>
          <w:p w14:paraId="0A1BC3FB">
            <w:pPr>
              <w:jc w:val="center"/>
              <w:rPr>
                <w:rFonts w:ascii="宋体" w:hAnsi="宋体"/>
                <w:szCs w:val="21"/>
              </w:rPr>
            </w:pPr>
          </w:p>
        </w:tc>
        <w:tc>
          <w:tcPr>
            <w:tcW w:w="470" w:type="dxa"/>
            <w:vAlign w:val="center"/>
          </w:tcPr>
          <w:p w14:paraId="3513E5B8">
            <w:pPr>
              <w:jc w:val="center"/>
              <w:rPr>
                <w:rFonts w:ascii="宋体" w:hAnsi="宋体"/>
                <w:szCs w:val="21"/>
              </w:rPr>
            </w:pPr>
          </w:p>
        </w:tc>
        <w:tc>
          <w:tcPr>
            <w:tcW w:w="1198" w:type="dxa"/>
            <w:vAlign w:val="center"/>
          </w:tcPr>
          <w:p w14:paraId="2FAD857C">
            <w:pPr>
              <w:jc w:val="center"/>
              <w:rPr>
                <w:rFonts w:ascii="宋体" w:hAnsi="宋体"/>
                <w:szCs w:val="21"/>
              </w:rPr>
            </w:pPr>
          </w:p>
        </w:tc>
      </w:tr>
      <w:tr w14:paraId="6F70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49D638FD">
            <w:pPr>
              <w:jc w:val="center"/>
              <w:rPr>
                <w:rFonts w:ascii="宋体" w:hAnsi="宋体"/>
                <w:szCs w:val="21"/>
              </w:rPr>
            </w:pPr>
            <w:r>
              <w:rPr>
                <w:rFonts w:hint="eastAsia" w:ascii="宋体" w:hAnsi="宋体"/>
                <w:szCs w:val="21"/>
              </w:rPr>
              <w:t>5</w:t>
            </w:r>
          </w:p>
        </w:tc>
        <w:tc>
          <w:tcPr>
            <w:tcW w:w="2204" w:type="dxa"/>
            <w:vAlign w:val="center"/>
          </w:tcPr>
          <w:p w14:paraId="7282F175">
            <w:pPr>
              <w:jc w:val="center"/>
              <w:rPr>
                <w:rFonts w:ascii="宋体" w:hAnsi="宋体"/>
                <w:szCs w:val="21"/>
              </w:rPr>
            </w:pPr>
          </w:p>
        </w:tc>
        <w:tc>
          <w:tcPr>
            <w:tcW w:w="555" w:type="dxa"/>
            <w:vAlign w:val="center"/>
          </w:tcPr>
          <w:p w14:paraId="4F234162">
            <w:pPr>
              <w:jc w:val="center"/>
              <w:rPr>
                <w:rFonts w:ascii="宋体" w:hAnsi="宋体"/>
                <w:szCs w:val="21"/>
              </w:rPr>
            </w:pPr>
          </w:p>
        </w:tc>
        <w:tc>
          <w:tcPr>
            <w:tcW w:w="556" w:type="dxa"/>
            <w:vAlign w:val="center"/>
          </w:tcPr>
          <w:p w14:paraId="47D5FD6A">
            <w:pPr>
              <w:jc w:val="center"/>
              <w:rPr>
                <w:rFonts w:ascii="宋体" w:hAnsi="宋体"/>
                <w:szCs w:val="21"/>
              </w:rPr>
            </w:pPr>
          </w:p>
        </w:tc>
        <w:tc>
          <w:tcPr>
            <w:tcW w:w="556" w:type="dxa"/>
            <w:vAlign w:val="center"/>
          </w:tcPr>
          <w:p w14:paraId="60311388">
            <w:pPr>
              <w:jc w:val="center"/>
              <w:rPr>
                <w:rFonts w:ascii="宋体" w:hAnsi="宋体"/>
                <w:szCs w:val="21"/>
              </w:rPr>
            </w:pPr>
          </w:p>
        </w:tc>
        <w:tc>
          <w:tcPr>
            <w:tcW w:w="556" w:type="dxa"/>
            <w:vAlign w:val="center"/>
          </w:tcPr>
          <w:p w14:paraId="00455E69">
            <w:pPr>
              <w:jc w:val="center"/>
              <w:rPr>
                <w:rFonts w:ascii="宋体" w:hAnsi="宋体"/>
                <w:szCs w:val="21"/>
              </w:rPr>
            </w:pPr>
          </w:p>
        </w:tc>
        <w:tc>
          <w:tcPr>
            <w:tcW w:w="556" w:type="dxa"/>
            <w:vAlign w:val="center"/>
          </w:tcPr>
          <w:p w14:paraId="6E57E3B1">
            <w:pPr>
              <w:jc w:val="center"/>
              <w:rPr>
                <w:rFonts w:ascii="宋体" w:hAnsi="宋体"/>
                <w:szCs w:val="21"/>
              </w:rPr>
            </w:pPr>
          </w:p>
        </w:tc>
        <w:tc>
          <w:tcPr>
            <w:tcW w:w="556" w:type="dxa"/>
            <w:vAlign w:val="center"/>
          </w:tcPr>
          <w:p w14:paraId="52E5C762">
            <w:pPr>
              <w:jc w:val="center"/>
              <w:rPr>
                <w:rFonts w:ascii="宋体" w:hAnsi="宋体"/>
                <w:szCs w:val="21"/>
              </w:rPr>
            </w:pPr>
          </w:p>
        </w:tc>
        <w:tc>
          <w:tcPr>
            <w:tcW w:w="556" w:type="dxa"/>
            <w:vAlign w:val="center"/>
          </w:tcPr>
          <w:p w14:paraId="18E0A0D5">
            <w:pPr>
              <w:jc w:val="center"/>
              <w:rPr>
                <w:rFonts w:ascii="宋体" w:hAnsi="宋体"/>
                <w:szCs w:val="21"/>
              </w:rPr>
            </w:pPr>
          </w:p>
        </w:tc>
        <w:tc>
          <w:tcPr>
            <w:tcW w:w="556" w:type="dxa"/>
            <w:vAlign w:val="center"/>
          </w:tcPr>
          <w:p w14:paraId="68DCFB81">
            <w:pPr>
              <w:jc w:val="center"/>
              <w:rPr>
                <w:rFonts w:ascii="宋体" w:hAnsi="宋体"/>
                <w:szCs w:val="21"/>
              </w:rPr>
            </w:pPr>
          </w:p>
        </w:tc>
        <w:tc>
          <w:tcPr>
            <w:tcW w:w="556" w:type="dxa"/>
            <w:vAlign w:val="center"/>
          </w:tcPr>
          <w:p w14:paraId="2CBA8800">
            <w:pPr>
              <w:jc w:val="center"/>
              <w:rPr>
                <w:rFonts w:ascii="宋体" w:hAnsi="宋体"/>
                <w:szCs w:val="21"/>
              </w:rPr>
            </w:pPr>
          </w:p>
        </w:tc>
        <w:tc>
          <w:tcPr>
            <w:tcW w:w="556" w:type="dxa"/>
            <w:vAlign w:val="center"/>
          </w:tcPr>
          <w:p w14:paraId="14DDC72C">
            <w:pPr>
              <w:jc w:val="center"/>
              <w:rPr>
                <w:rFonts w:ascii="宋体" w:hAnsi="宋体"/>
                <w:szCs w:val="21"/>
              </w:rPr>
            </w:pPr>
          </w:p>
        </w:tc>
        <w:tc>
          <w:tcPr>
            <w:tcW w:w="555" w:type="dxa"/>
            <w:vAlign w:val="center"/>
          </w:tcPr>
          <w:p w14:paraId="0665B484">
            <w:pPr>
              <w:jc w:val="center"/>
              <w:rPr>
                <w:rFonts w:ascii="宋体" w:hAnsi="宋体"/>
                <w:szCs w:val="21"/>
              </w:rPr>
            </w:pPr>
          </w:p>
        </w:tc>
        <w:tc>
          <w:tcPr>
            <w:tcW w:w="556" w:type="dxa"/>
            <w:vAlign w:val="center"/>
          </w:tcPr>
          <w:p w14:paraId="5C20DCF3">
            <w:pPr>
              <w:jc w:val="center"/>
              <w:rPr>
                <w:rFonts w:ascii="宋体" w:hAnsi="宋体"/>
                <w:szCs w:val="21"/>
              </w:rPr>
            </w:pPr>
          </w:p>
        </w:tc>
        <w:tc>
          <w:tcPr>
            <w:tcW w:w="556" w:type="dxa"/>
            <w:vAlign w:val="center"/>
          </w:tcPr>
          <w:p w14:paraId="5885A17B">
            <w:pPr>
              <w:jc w:val="center"/>
              <w:rPr>
                <w:rFonts w:ascii="宋体" w:hAnsi="宋体"/>
                <w:szCs w:val="21"/>
              </w:rPr>
            </w:pPr>
          </w:p>
        </w:tc>
        <w:tc>
          <w:tcPr>
            <w:tcW w:w="556" w:type="dxa"/>
            <w:vAlign w:val="center"/>
          </w:tcPr>
          <w:p w14:paraId="6F5DD619">
            <w:pPr>
              <w:jc w:val="center"/>
              <w:rPr>
                <w:rFonts w:ascii="宋体" w:hAnsi="宋体"/>
                <w:szCs w:val="21"/>
              </w:rPr>
            </w:pPr>
          </w:p>
        </w:tc>
        <w:tc>
          <w:tcPr>
            <w:tcW w:w="556" w:type="dxa"/>
          </w:tcPr>
          <w:p w14:paraId="7FC81D97">
            <w:pPr>
              <w:jc w:val="center"/>
              <w:rPr>
                <w:rFonts w:ascii="宋体" w:hAnsi="宋体"/>
                <w:szCs w:val="21"/>
              </w:rPr>
            </w:pPr>
          </w:p>
        </w:tc>
        <w:tc>
          <w:tcPr>
            <w:tcW w:w="556" w:type="dxa"/>
          </w:tcPr>
          <w:p w14:paraId="17AFA87C">
            <w:pPr>
              <w:jc w:val="center"/>
              <w:rPr>
                <w:rFonts w:ascii="宋体" w:hAnsi="宋体"/>
                <w:szCs w:val="21"/>
              </w:rPr>
            </w:pPr>
          </w:p>
        </w:tc>
        <w:tc>
          <w:tcPr>
            <w:tcW w:w="556" w:type="dxa"/>
            <w:vAlign w:val="center"/>
          </w:tcPr>
          <w:p w14:paraId="4F929C1B">
            <w:pPr>
              <w:jc w:val="center"/>
              <w:rPr>
                <w:rFonts w:ascii="宋体" w:hAnsi="宋体"/>
                <w:szCs w:val="21"/>
              </w:rPr>
            </w:pPr>
          </w:p>
        </w:tc>
        <w:tc>
          <w:tcPr>
            <w:tcW w:w="470" w:type="dxa"/>
            <w:vAlign w:val="center"/>
          </w:tcPr>
          <w:p w14:paraId="377BB776">
            <w:pPr>
              <w:jc w:val="center"/>
              <w:rPr>
                <w:rFonts w:ascii="宋体" w:hAnsi="宋体"/>
                <w:szCs w:val="21"/>
              </w:rPr>
            </w:pPr>
          </w:p>
        </w:tc>
        <w:tc>
          <w:tcPr>
            <w:tcW w:w="1198" w:type="dxa"/>
            <w:vAlign w:val="center"/>
          </w:tcPr>
          <w:p w14:paraId="5E2C9ACE">
            <w:pPr>
              <w:jc w:val="center"/>
              <w:rPr>
                <w:rFonts w:ascii="宋体" w:hAnsi="宋体"/>
                <w:szCs w:val="21"/>
              </w:rPr>
            </w:pPr>
          </w:p>
        </w:tc>
      </w:tr>
      <w:tr w14:paraId="345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0F84BF61">
            <w:pPr>
              <w:jc w:val="center"/>
              <w:rPr>
                <w:rFonts w:ascii="宋体" w:hAnsi="宋体"/>
                <w:szCs w:val="21"/>
              </w:rPr>
            </w:pPr>
            <w:r>
              <w:rPr>
                <w:rFonts w:hint="eastAsia" w:ascii="黑体" w:hAnsi="黑体" w:eastAsia="黑体"/>
                <w:szCs w:val="44"/>
              </w:rPr>
              <w:t>…</w:t>
            </w:r>
          </w:p>
        </w:tc>
        <w:tc>
          <w:tcPr>
            <w:tcW w:w="2204" w:type="dxa"/>
            <w:vAlign w:val="center"/>
          </w:tcPr>
          <w:p w14:paraId="31CA2BD4">
            <w:pPr>
              <w:jc w:val="center"/>
              <w:rPr>
                <w:rFonts w:ascii="宋体" w:hAnsi="宋体"/>
                <w:szCs w:val="21"/>
              </w:rPr>
            </w:pPr>
          </w:p>
        </w:tc>
        <w:tc>
          <w:tcPr>
            <w:tcW w:w="555" w:type="dxa"/>
            <w:vAlign w:val="center"/>
          </w:tcPr>
          <w:p w14:paraId="025B54F0">
            <w:pPr>
              <w:jc w:val="center"/>
              <w:rPr>
                <w:rFonts w:ascii="宋体" w:hAnsi="宋体"/>
                <w:szCs w:val="21"/>
              </w:rPr>
            </w:pPr>
          </w:p>
        </w:tc>
        <w:tc>
          <w:tcPr>
            <w:tcW w:w="556" w:type="dxa"/>
            <w:vAlign w:val="center"/>
          </w:tcPr>
          <w:p w14:paraId="154FB8A7">
            <w:pPr>
              <w:jc w:val="center"/>
              <w:rPr>
                <w:rFonts w:ascii="宋体" w:hAnsi="宋体"/>
                <w:szCs w:val="21"/>
              </w:rPr>
            </w:pPr>
          </w:p>
        </w:tc>
        <w:tc>
          <w:tcPr>
            <w:tcW w:w="556" w:type="dxa"/>
            <w:vAlign w:val="center"/>
          </w:tcPr>
          <w:p w14:paraId="61E72668">
            <w:pPr>
              <w:jc w:val="center"/>
              <w:rPr>
                <w:rFonts w:ascii="宋体" w:hAnsi="宋体"/>
                <w:szCs w:val="21"/>
              </w:rPr>
            </w:pPr>
          </w:p>
        </w:tc>
        <w:tc>
          <w:tcPr>
            <w:tcW w:w="556" w:type="dxa"/>
            <w:vAlign w:val="center"/>
          </w:tcPr>
          <w:p w14:paraId="663A4E8C">
            <w:pPr>
              <w:jc w:val="center"/>
              <w:rPr>
                <w:rFonts w:ascii="宋体" w:hAnsi="宋体"/>
                <w:szCs w:val="21"/>
              </w:rPr>
            </w:pPr>
          </w:p>
        </w:tc>
        <w:tc>
          <w:tcPr>
            <w:tcW w:w="556" w:type="dxa"/>
            <w:vAlign w:val="center"/>
          </w:tcPr>
          <w:p w14:paraId="1F418E1A">
            <w:pPr>
              <w:jc w:val="center"/>
              <w:rPr>
                <w:rFonts w:ascii="宋体" w:hAnsi="宋体"/>
                <w:szCs w:val="21"/>
              </w:rPr>
            </w:pPr>
          </w:p>
        </w:tc>
        <w:tc>
          <w:tcPr>
            <w:tcW w:w="556" w:type="dxa"/>
            <w:vAlign w:val="center"/>
          </w:tcPr>
          <w:p w14:paraId="12D975BA">
            <w:pPr>
              <w:jc w:val="center"/>
              <w:rPr>
                <w:rFonts w:ascii="宋体" w:hAnsi="宋体"/>
                <w:szCs w:val="21"/>
              </w:rPr>
            </w:pPr>
          </w:p>
        </w:tc>
        <w:tc>
          <w:tcPr>
            <w:tcW w:w="556" w:type="dxa"/>
            <w:vAlign w:val="center"/>
          </w:tcPr>
          <w:p w14:paraId="2864D8F0">
            <w:pPr>
              <w:jc w:val="center"/>
              <w:rPr>
                <w:rFonts w:ascii="宋体" w:hAnsi="宋体"/>
                <w:szCs w:val="21"/>
              </w:rPr>
            </w:pPr>
          </w:p>
        </w:tc>
        <w:tc>
          <w:tcPr>
            <w:tcW w:w="556" w:type="dxa"/>
            <w:vAlign w:val="center"/>
          </w:tcPr>
          <w:p w14:paraId="7F902660">
            <w:pPr>
              <w:jc w:val="center"/>
              <w:rPr>
                <w:rFonts w:ascii="宋体" w:hAnsi="宋体"/>
                <w:szCs w:val="21"/>
              </w:rPr>
            </w:pPr>
          </w:p>
        </w:tc>
        <w:tc>
          <w:tcPr>
            <w:tcW w:w="556" w:type="dxa"/>
            <w:vAlign w:val="center"/>
          </w:tcPr>
          <w:p w14:paraId="45B3835A">
            <w:pPr>
              <w:jc w:val="center"/>
              <w:rPr>
                <w:rFonts w:ascii="宋体" w:hAnsi="宋体"/>
                <w:szCs w:val="21"/>
              </w:rPr>
            </w:pPr>
          </w:p>
        </w:tc>
        <w:tc>
          <w:tcPr>
            <w:tcW w:w="556" w:type="dxa"/>
            <w:vAlign w:val="center"/>
          </w:tcPr>
          <w:p w14:paraId="6CFB6BD5">
            <w:pPr>
              <w:jc w:val="center"/>
              <w:rPr>
                <w:rFonts w:ascii="宋体" w:hAnsi="宋体"/>
                <w:szCs w:val="21"/>
              </w:rPr>
            </w:pPr>
          </w:p>
        </w:tc>
        <w:tc>
          <w:tcPr>
            <w:tcW w:w="555" w:type="dxa"/>
            <w:vAlign w:val="center"/>
          </w:tcPr>
          <w:p w14:paraId="02FEED8A">
            <w:pPr>
              <w:jc w:val="center"/>
              <w:rPr>
                <w:rFonts w:ascii="宋体" w:hAnsi="宋体"/>
                <w:szCs w:val="21"/>
              </w:rPr>
            </w:pPr>
          </w:p>
        </w:tc>
        <w:tc>
          <w:tcPr>
            <w:tcW w:w="556" w:type="dxa"/>
            <w:vAlign w:val="center"/>
          </w:tcPr>
          <w:p w14:paraId="1EF6BC4B">
            <w:pPr>
              <w:jc w:val="center"/>
              <w:rPr>
                <w:rFonts w:ascii="宋体" w:hAnsi="宋体"/>
                <w:szCs w:val="21"/>
              </w:rPr>
            </w:pPr>
          </w:p>
        </w:tc>
        <w:tc>
          <w:tcPr>
            <w:tcW w:w="556" w:type="dxa"/>
            <w:vAlign w:val="center"/>
          </w:tcPr>
          <w:p w14:paraId="11B7F3B7">
            <w:pPr>
              <w:jc w:val="center"/>
              <w:rPr>
                <w:rFonts w:ascii="宋体" w:hAnsi="宋体"/>
                <w:szCs w:val="21"/>
              </w:rPr>
            </w:pPr>
          </w:p>
        </w:tc>
        <w:tc>
          <w:tcPr>
            <w:tcW w:w="556" w:type="dxa"/>
            <w:vAlign w:val="center"/>
          </w:tcPr>
          <w:p w14:paraId="226944C8">
            <w:pPr>
              <w:jc w:val="center"/>
              <w:rPr>
                <w:rFonts w:ascii="宋体" w:hAnsi="宋体"/>
                <w:szCs w:val="21"/>
              </w:rPr>
            </w:pPr>
          </w:p>
        </w:tc>
        <w:tc>
          <w:tcPr>
            <w:tcW w:w="556" w:type="dxa"/>
          </w:tcPr>
          <w:p w14:paraId="640C82B1">
            <w:pPr>
              <w:jc w:val="center"/>
              <w:rPr>
                <w:rFonts w:ascii="宋体" w:hAnsi="宋体"/>
                <w:szCs w:val="21"/>
              </w:rPr>
            </w:pPr>
          </w:p>
        </w:tc>
        <w:tc>
          <w:tcPr>
            <w:tcW w:w="556" w:type="dxa"/>
          </w:tcPr>
          <w:p w14:paraId="38E7757B">
            <w:pPr>
              <w:jc w:val="center"/>
              <w:rPr>
                <w:rFonts w:ascii="宋体" w:hAnsi="宋体"/>
                <w:szCs w:val="21"/>
              </w:rPr>
            </w:pPr>
          </w:p>
        </w:tc>
        <w:tc>
          <w:tcPr>
            <w:tcW w:w="556" w:type="dxa"/>
            <w:vAlign w:val="center"/>
          </w:tcPr>
          <w:p w14:paraId="327DD4A2">
            <w:pPr>
              <w:jc w:val="center"/>
              <w:rPr>
                <w:rFonts w:ascii="宋体" w:hAnsi="宋体"/>
                <w:szCs w:val="21"/>
              </w:rPr>
            </w:pPr>
          </w:p>
        </w:tc>
        <w:tc>
          <w:tcPr>
            <w:tcW w:w="470" w:type="dxa"/>
            <w:vAlign w:val="center"/>
          </w:tcPr>
          <w:p w14:paraId="76BF72C1">
            <w:pPr>
              <w:jc w:val="center"/>
              <w:rPr>
                <w:rFonts w:ascii="宋体" w:hAnsi="宋体"/>
                <w:szCs w:val="21"/>
              </w:rPr>
            </w:pPr>
          </w:p>
        </w:tc>
        <w:tc>
          <w:tcPr>
            <w:tcW w:w="1198" w:type="dxa"/>
            <w:vAlign w:val="center"/>
          </w:tcPr>
          <w:p w14:paraId="4C5E1071">
            <w:pPr>
              <w:jc w:val="center"/>
              <w:rPr>
                <w:rFonts w:ascii="宋体" w:hAnsi="宋体"/>
                <w:szCs w:val="21"/>
              </w:rPr>
            </w:pPr>
          </w:p>
        </w:tc>
      </w:tr>
    </w:tbl>
    <w:p w14:paraId="160A7519"/>
    <w:p w14:paraId="2BAF7F44">
      <w:r>
        <w:rPr>
          <w:rFonts w:hint="eastAsia"/>
        </w:rPr>
        <w:t>技术标评委签名：</w:t>
      </w:r>
      <w:r>
        <w:rPr>
          <w:rFonts w:hint="eastAsia" w:ascii="宋体" w:hAnsi="宋体"/>
          <w:szCs w:val="44"/>
        </w:rPr>
        <w:t xml:space="preserve"> </w:t>
      </w:r>
      <w:r>
        <w:rPr>
          <w:rFonts w:hint="eastAsia"/>
        </w:rPr>
        <w:t xml:space="preserve">              </w:t>
      </w:r>
      <w:r>
        <w:t xml:space="preserve">                                                                       </w:t>
      </w:r>
      <w:r>
        <w:rPr>
          <w:rFonts w:hint="eastAsia"/>
        </w:rPr>
        <w:t xml:space="preserve"> 日期：      年    月   日</w:t>
      </w:r>
      <w:bookmarkEnd w:id="697"/>
    </w:p>
    <w:p w14:paraId="6797C6A6">
      <w:r>
        <w:br w:type="page"/>
      </w:r>
    </w:p>
    <w:p w14:paraId="6ED04528">
      <w:pPr>
        <w:pStyle w:val="25"/>
        <w:rPr>
          <w:rFonts w:ascii="黑体"/>
        </w:rPr>
      </w:pPr>
      <w:bookmarkStart w:id="698" w:name="_Toc165804459"/>
      <w:bookmarkStart w:id="699" w:name="_Toc256000142"/>
      <w:r>
        <w:rPr>
          <w:rFonts w:hint="eastAsia"/>
        </w:rPr>
        <w:t>附表A-1</w:t>
      </w:r>
      <w:r>
        <w:t>3</w:t>
      </w:r>
      <w:r>
        <w:rPr>
          <w:rFonts w:hint="eastAsia"/>
        </w:rPr>
        <w:t>：</w:t>
      </w:r>
      <w:r>
        <w:rPr>
          <w:rFonts w:hint="eastAsia" w:ascii="宋体" w:hAnsi="宋体"/>
          <w:szCs w:val="21"/>
        </w:rPr>
        <w:t>资信标</w:t>
      </w:r>
      <w:r>
        <w:rPr>
          <w:rFonts w:hint="eastAsia"/>
        </w:rPr>
        <w:t>评审记录表</w:t>
      </w:r>
      <w:bookmarkEnd w:id="698"/>
      <w:bookmarkEnd w:id="699"/>
    </w:p>
    <w:p w14:paraId="6F4FE896">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资信标评审记录表</w:t>
      </w:r>
    </w:p>
    <w:p w14:paraId="285A65E4">
      <w:pPr>
        <w:rPr>
          <w:rFonts w:ascii="宋体" w:hAnsi="宋体"/>
          <w:szCs w:val="44"/>
        </w:rPr>
      </w:pPr>
      <w:bookmarkStart w:id="700" w:name="_Hlk150332985"/>
      <w:r>
        <w:rPr>
          <w:rFonts w:hint="eastAsia" w:ascii="宋体" w:hAnsi="宋体"/>
          <w:szCs w:val="44"/>
        </w:rPr>
        <w:t>标段名称：</w:t>
      </w:r>
    </w:p>
    <w:p w14:paraId="17B4D1B2">
      <w:pPr>
        <w:rPr>
          <w:szCs w:val="44"/>
        </w:rPr>
      </w:pPr>
      <w:r>
        <w:rPr>
          <w:rFonts w:hint="eastAsia"/>
          <w:szCs w:val="44"/>
        </w:rPr>
        <w:t>标段唯一标识码：</w:t>
      </w:r>
    </w:p>
    <w:tbl>
      <w:tblPr>
        <w:tblStyle w:val="17"/>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0773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7CC5A97E">
            <w:pPr>
              <w:jc w:val="center"/>
              <w:rPr>
                <w:rFonts w:ascii="宋体" w:hAnsi="宋体"/>
                <w:b/>
                <w:bCs/>
                <w:szCs w:val="44"/>
              </w:rPr>
            </w:pPr>
            <w:r>
              <w:rPr>
                <w:rFonts w:hint="eastAsia" w:ascii="宋体" w:hAnsi="宋体"/>
                <w:b/>
                <w:bCs/>
                <w:szCs w:val="44"/>
              </w:rPr>
              <w:t>序号</w:t>
            </w:r>
          </w:p>
        </w:tc>
        <w:tc>
          <w:tcPr>
            <w:tcW w:w="1811" w:type="dxa"/>
            <w:vMerge w:val="restart"/>
            <w:vAlign w:val="center"/>
          </w:tcPr>
          <w:p w14:paraId="71474B59">
            <w:pPr>
              <w:jc w:val="center"/>
              <w:rPr>
                <w:rFonts w:ascii="宋体" w:hAnsi="宋体"/>
                <w:b/>
                <w:bCs/>
                <w:szCs w:val="44"/>
              </w:rPr>
            </w:pPr>
            <w:r>
              <w:rPr>
                <w:rFonts w:hint="eastAsia" w:ascii="宋体" w:hAnsi="宋体"/>
                <w:b/>
                <w:bCs/>
                <w:szCs w:val="44"/>
              </w:rPr>
              <w:t>投标人名称</w:t>
            </w:r>
          </w:p>
        </w:tc>
        <w:tc>
          <w:tcPr>
            <w:tcW w:w="9504" w:type="dxa"/>
            <w:gridSpan w:val="7"/>
            <w:vAlign w:val="center"/>
          </w:tcPr>
          <w:p w14:paraId="341D592C">
            <w:pPr>
              <w:jc w:val="center"/>
              <w:rPr>
                <w:rFonts w:ascii="宋体" w:hAnsi="宋体"/>
                <w:b/>
                <w:bCs/>
                <w:szCs w:val="44"/>
              </w:rPr>
            </w:pPr>
            <w:r>
              <w:rPr>
                <w:rFonts w:hint="eastAsia" w:ascii="宋体" w:hAnsi="宋体"/>
                <w:b/>
                <w:bCs/>
                <w:szCs w:val="44"/>
              </w:rPr>
              <w:t>评委姓名及得分</w:t>
            </w:r>
          </w:p>
        </w:tc>
        <w:tc>
          <w:tcPr>
            <w:tcW w:w="1793" w:type="dxa"/>
            <w:vMerge w:val="restart"/>
            <w:vAlign w:val="center"/>
          </w:tcPr>
          <w:p w14:paraId="0D0C5384">
            <w:pPr>
              <w:jc w:val="center"/>
              <w:rPr>
                <w:rFonts w:ascii="宋体" w:hAnsi="宋体"/>
                <w:b/>
                <w:bCs/>
                <w:szCs w:val="44"/>
              </w:rPr>
            </w:pPr>
            <w:r>
              <w:rPr>
                <w:rFonts w:hint="eastAsia" w:ascii="宋体" w:hAnsi="宋体"/>
                <w:b/>
                <w:bCs/>
                <w:szCs w:val="44"/>
              </w:rPr>
              <w:t>资信标最终得分</w:t>
            </w:r>
          </w:p>
        </w:tc>
      </w:tr>
      <w:tr w14:paraId="72CE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7D472968">
            <w:pPr>
              <w:jc w:val="center"/>
              <w:rPr>
                <w:rFonts w:ascii="宋体" w:hAnsi="宋体"/>
                <w:b/>
                <w:bCs/>
                <w:szCs w:val="44"/>
              </w:rPr>
            </w:pPr>
          </w:p>
        </w:tc>
        <w:tc>
          <w:tcPr>
            <w:tcW w:w="1811" w:type="dxa"/>
            <w:vMerge w:val="continue"/>
          </w:tcPr>
          <w:p w14:paraId="34E89408">
            <w:pPr>
              <w:jc w:val="center"/>
              <w:rPr>
                <w:rFonts w:ascii="宋体" w:hAnsi="宋体"/>
                <w:b/>
                <w:bCs/>
                <w:szCs w:val="44"/>
              </w:rPr>
            </w:pPr>
          </w:p>
        </w:tc>
        <w:tc>
          <w:tcPr>
            <w:tcW w:w="1356" w:type="dxa"/>
            <w:vAlign w:val="center"/>
          </w:tcPr>
          <w:p w14:paraId="3D47E181">
            <w:pPr>
              <w:jc w:val="center"/>
              <w:rPr>
                <w:rFonts w:ascii="宋体" w:hAnsi="宋体"/>
                <w:b/>
                <w:bCs/>
                <w:szCs w:val="44"/>
              </w:rPr>
            </w:pPr>
            <w:r>
              <w:rPr>
                <w:rFonts w:hint="eastAsia" w:ascii="宋体" w:hAnsi="宋体"/>
                <w:b/>
                <w:bCs/>
                <w:szCs w:val="44"/>
              </w:rPr>
              <w:t>评委1</w:t>
            </w:r>
          </w:p>
        </w:tc>
        <w:tc>
          <w:tcPr>
            <w:tcW w:w="1357" w:type="dxa"/>
            <w:vAlign w:val="center"/>
          </w:tcPr>
          <w:p w14:paraId="43366AD1">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57" w:type="dxa"/>
            <w:vAlign w:val="center"/>
          </w:tcPr>
          <w:p w14:paraId="019A7237">
            <w:pPr>
              <w:jc w:val="center"/>
              <w:rPr>
                <w:rFonts w:ascii="宋体" w:hAnsi="宋体"/>
                <w:b/>
                <w:bCs/>
                <w:szCs w:val="44"/>
              </w:rPr>
            </w:pPr>
            <w:r>
              <w:rPr>
                <w:rFonts w:ascii="宋体" w:hAnsi="宋体"/>
                <w:b/>
                <w:bCs/>
                <w:szCs w:val="44"/>
              </w:rPr>
              <w:t>……</w:t>
            </w:r>
          </w:p>
        </w:tc>
        <w:tc>
          <w:tcPr>
            <w:tcW w:w="1356" w:type="dxa"/>
            <w:vAlign w:val="center"/>
          </w:tcPr>
          <w:p w14:paraId="30784366">
            <w:pPr>
              <w:jc w:val="center"/>
              <w:rPr>
                <w:rFonts w:ascii="宋体" w:hAnsi="宋体"/>
                <w:b/>
                <w:bCs/>
                <w:szCs w:val="44"/>
              </w:rPr>
            </w:pPr>
          </w:p>
        </w:tc>
        <w:tc>
          <w:tcPr>
            <w:tcW w:w="1357" w:type="dxa"/>
            <w:vAlign w:val="center"/>
          </w:tcPr>
          <w:p w14:paraId="2DEB136B">
            <w:pPr>
              <w:jc w:val="center"/>
              <w:rPr>
                <w:rFonts w:ascii="宋体" w:hAnsi="宋体"/>
                <w:b/>
                <w:bCs/>
                <w:szCs w:val="44"/>
              </w:rPr>
            </w:pPr>
          </w:p>
        </w:tc>
        <w:tc>
          <w:tcPr>
            <w:tcW w:w="1357" w:type="dxa"/>
            <w:vAlign w:val="center"/>
          </w:tcPr>
          <w:p w14:paraId="40F32D8C">
            <w:pPr>
              <w:jc w:val="center"/>
              <w:rPr>
                <w:rFonts w:ascii="宋体" w:hAnsi="宋体"/>
                <w:b/>
                <w:bCs/>
                <w:szCs w:val="44"/>
              </w:rPr>
            </w:pPr>
          </w:p>
        </w:tc>
        <w:tc>
          <w:tcPr>
            <w:tcW w:w="1364" w:type="dxa"/>
            <w:vAlign w:val="center"/>
          </w:tcPr>
          <w:p w14:paraId="004EEA87">
            <w:pPr>
              <w:jc w:val="center"/>
              <w:rPr>
                <w:rFonts w:ascii="宋体" w:hAnsi="宋体"/>
                <w:b/>
                <w:bCs/>
                <w:szCs w:val="44"/>
              </w:rPr>
            </w:pPr>
          </w:p>
        </w:tc>
        <w:tc>
          <w:tcPr>
            <w:tcW w:w="1793" w:type="dxa"/>
            <w:vMerge w:val="continue"/>
            <w:vAlign w:val="center"/>
          </w:tcPr>
          <w:p w14:paraId="15ECEE88">
            <w:pPr>
              <w:jc w:val="center"/>
              <w:rPr>
                <w:rFonts w:ascii="宋体" w:hAnsi="宋体"/>
                <w:b/>
                <w:bCs/>
                <w:szCs w:val="44"/>
              </w:rPr>
            </w:pPr>
          </w:p>
        </w:tc>
      </w:tr>
      <w:tr w14:paraId="499A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9F4D828">
            <w:pPr>
              <w:jc w:val="center"/>
              <w:rPr>
                <w:rFonts w:ascii="宋体" w:hAnsi="宋体"/>
                <w:szCs w:val="44"/>
              </w:rPr>
            </w:pPr>
            <w:r>
              <w:rPr>
                <w:rFonts w:hint="eastAsia" w:ascii="宋体" w:hAnsi="宋体"/>
                <w:szCs w:val="44"/>
              </w:rPr>
              <w:t>1</w:t>
            </w:r>
          </w:p>
        </w:tc>
        <w:tc>
          <w:tcPr>
            <w:tcW w:w="1811" w:type="dxa"/>
            <w:vAlign w:val="center"/>
          </w:tcPr>
          <w:p w14:paraId="4B4B5234">
            <w:pPr>
              <w:jc w:val="center"/>
              <w:rPr>
                <w:rFonts w:ascii="宋体" w:hAnsi="宋体"/>
                <w:szCs w:val="21"/>
              </w:rPr>
            </w:pPr>
          </w:p>
        </w:tc>
        <w:tc>
          <w:tcPr>
            <w:tcW w:w="1356" w:type="dxa"/>
            <w:vAlign w:val="center"/>
          </w:tcPr>
          <w:p w14:paraId="28FD6EAB">
            <w:pPr>
              <w:rPr>
                <w:rFonts w:ascii="宋体" w:hAnsi="宋体"/>
                <w:szCs w:val="21"/>
              </w:rPr>
            </w:pPr>
          </w:p>
        </w:tc>
        <w:tc>
          <w:tcPr>
            <w:tcW w:w="1357" w:type="dxa"/>
            <w:vAlign w:val="center"/>
          </w:tcPr>
          <w:p w14:paraId="411764F5">
            <w:pPr>
              <w:jc w:val="center"/>
              <w:rPr>
                <w:rFonts w:ascii="宋体" w:hAnsi="宋体"/>
                <w:szCs w:val="44"/>
              </w:rPr>
            </w:pPr>
          </w:p>
        </w:tc>
        <w:tc>
          <w:tcPr>
            <w:tcW w:w="1357" w:type="dxa"/>
            <w:vAlign w:val="center"/>
          </w:tcPr>
          <w:p w14:paraId="780AD3A2">
            <w:pPr>
              <w:jc w:val="center"/>
              <w:rPr>
                <w:rFonts w:ascii="宋体" w:hAnsi="宋体"/>
                <w:szCs w:val="44"/>
              </w:rPr>
            </w:pPr>
          </w:p>
        </w:tc>
        <w:tc>
          <w:tcPr>
            <w:tcW w:w="1356" w:type="dxa"/>
            <w:vAlign w:val="center"/>
          </w:tcPr>
          <w:p w14:paraId="3F978365">
            <w:pPr>
              <w:jc w:val="center"/>
              <w:rPr>
                <w:rFonts w:ascii="宋体" w:hAnsi="宋体"/>
                <w:szCs w:val="44"/>
              </w:rPr>
            </w:pPr>
          </w:p>
        </w:tc>
        <w:tc>
          <w:tcPr>
            <w:tcW w:w="1357" w:type="dxa"/>
            <w:vAlign w:val="center"/>
          </w:tcPr>
          <w:p w14:paraId="5479833C">
            <w:pPr>
              <w:jc w:val="center"/>
              <w:rPr>
                <w:rFonts w:ascii="宋体" w:hAnsi="宋体"/>
                <w:szCs w:val="44"/>
              </w:rPr>
            </w:pPr>
          </w:p>
        </w:tc>
        <w:tc>
          <w:tcPr>
            <w:tcW w:w="1357" w:type="dxa"/>
            <w:vAlign w:val="center"/>
          </w:tcPr>
          <w:p w14:paraId="317C231A">
            <w:pPr>
              <w:jc w:val="center"/>
              <w:rPr>
                <w:rFonts w:ascii="宋体" w:hAnsi="宋体"/>
                <w:szCs w:val="44"/>
              </w:rPr>
            </w:pPr>
          </w:p>
        </w:tc>
        <w:tc>
          <w:tcPr>
            <w:tcW w:w="1364" w:type="dxa"/>
            <w:vAlign w:val="center"/>
          </w:tcPr>
          <w:p w14:paraId="7995EC12">
            <w:pPr>
              <w:jc w:val="center"/>
              <w:rPr>
                <w:rFonts w:ascii="宋体" w:hAnsi="宋体"/>
                <w:szCs w:val="44"/>
              </w:rPr>
            </w:pPr>
          </w:p>
        </w:tc>
        <w:tc>
          <w:tcPr>
            <w:tcW w:w="1793" w:type="dxa"/>
            <w:vAlign w:val="center"/>
          </w:tcPr>
          <w:p w14:paraId="375B6A88">
            <w:pPr>
              <w:jc w:val="center"/>
              <w:rPr>
                <w:rFonts w:ascii="宋体" w:hAnsi="宋体"/>
                <w:szCs w:val="44"/>
              </w:rPr>
            </w:pPr>
          </w:p>
        </w:tc>
      </w:tr>
      <w:tr w14:paraId="6406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4C443D85">
            <w:pPr>
              <w:jc w:val="center"/>
              <w:rPr>
                <w:rFonts w:ascii="宋体" w:hAnsi="宋体"/>
                <w:szCs w:val="44"/>
              </w:rPr>
            </w:pPr>
            <w:r>
              <w:rPr>
                <w:rFonts w:hint="eastAsia" w:ascii="宋体" w:hAnsi="宋体"/>
                <w:szCs w:val="44"/>
              </w:rPr>
              <w:t>2</w:t>
            </w:r>
          </w:p>
        </w:tc>
        <w:tc>
          <w:tcPr>
            <w:tcW w:w="1811" w:type="dxa"/>
            <w:vAlign w:val="center"/>
          </w:tcPr>
          <w:p w14:paraId="51A498F1">
            <w:pPr>
              <w:jc w:val="center"/>
              <w:rPr>
                <w:rFonts w:ascii="宋体" w:hAnsi="宋体"/>
                <w:szCs w:val="44"/>
              </w:rPr>
            </w:pPr>
          </w:p>
        </w:tc>
        <w:tc>
          <w:tcPr>
            <w:tcW w:w="1356" w:type="dxa"/>
            <w:vAlign w:val="center"/>
          </w:tcPr>
          <w:p w14:paraId="3BC650A2">
            <w:pPr>
              <w:jc w:val="center"/>
            </w:pPr>
          </w:p>
        </w:tc>
        <w:tc>
          <w:tcPr>
            <w:tcW w:w="1357" w:type="dxa"/>
            <w:vAlign w:val="center"/>
          </w:tcPr>
          <w:p w14:paraId="5494CF0C">
            <w:pPr>
              <w:jc w:val="center"/>
              <w:rPr>
                <w:rFonts w:ascii="宋体" w:hAnsi="宋体"/>
                <w:szCs w:val="44"/>
              </w:rPr>
            </w:pPr>
          </w:p>
        </w:tc>
        <w:tc>
          <w:tcPr>
            <w:tcW w:w="1357" w:type="dxa"/>
            <w:vAlign w:val="center"/>
          </w:tcPr>
          <w:p w14:paraId="3EB3B13D">
            <w:pPr>
              <w:jc w:val="center"/>
              <w:rPr>
                <w:rFonts w:ascii="宋体" w:hAnsi="宋体"/>
                <w:szCs w:val="44"/>
              </w:rPr>
            </w:pPr>
          </w:p>
        </w:tc>
        <w:tc>
          <w:tcPr>
            <w:tcW w:w="1356" w:type="dxa"/>
            <w:vAlign w:val="center"/>
          </w:tcPr>
          <w:p w14:paraId="35D8F53F">
            <w:pPr>
              <w:jc w:val="center"/>
              <w:rPr>
                <w:rFonts w:ascii="宋体" w:hAnsi="宋体"/>
                <w:szCs w:val="44"/>
              </w:rPr>
            </w:pPr>
          </w:p>
        </w:tc>
        <w:tc>
          <w:tcPr>
            <w:tcW w:w="1357" w:type="dxa"/>
            <w:vAlign w:val="center"/>
          </w:tcPr>
          <w:p w14:paraId="703B902A">
            <w:pPr>
              <w:jc w:val="center"/>
              <w:rPr>
                <w:rFonts w:ascii="宋体" w:hAnsi="宋体"/>
                <w:szCs w:val="44"/>
              </w:rPr>
            </w:pPr>
          </w:p>
        </w:tc>
        <w:tc>
          <w:tcPr>
            <w:tcW w:w="1357" w:type="dxa"/>
            <w:vAlign w:val="center"/>
          </w:tcPr>
          <w:p w14:paraId="68FD0F79">
            <w:pPr>
              <w:jc w:val="center"/>
              <w:rPr>
                <w:rFonts w:ascii="宋体" w:hAnsi="宋体"/>
                <w:szCs w:val="44"/>
              </w:rPr>
            </w:pPr>
          </w:p>
        </w:tc>
        <w:tc>
          <w:tcPr>
            <w:tcW w:w="1364" w:type="dxa"/>
            <w:vAlign w:val="center"/>
          </w:tcPr>
          <w:p w14:paraId="0D98C3A9">
            <w:pPr>
              <w:jc w:val="center"/>
              <w:rPr>
                <w:rFonts w:ascii="宋体" w:hAnsi="宋体"/>
                <w:szCs w:val="44"/>
              </w:rPr>
            </w:pPr>
          </w:p>
        </w:tc>
        <w:tc>
          <w:tcPr>
            <w:tcW w:w="1793" w:type="dxa"/>
            <w:vAlign w:val="center"/>
          </w:tcPr>
          <w:p w14:paraId="25D86D0B">
            <w:pPr>
              <w:jc w:val="center"/>
              <w:rPr>
                <w:rFonts w:ascii="宋体" w:hAnsi="宋体"/>
                <w:szCs w:val="44"/>
              </w:rPr>
            </w:pPr>
          </w:p>
        </w:tc>
      </w:tr>
      <w:tr w14:paraId="414E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3EE598A3">
            <w:pPr>
              <w:jc w:val="center"/>
              <w:rPr>
                <w:rFonts w:ascii="宋体" w:hAnsi="宋体"/>
                <w:szCs w:val="44"/>
              </w:rPr>
            </w:pPr>
            <w:r>
              <w:rPr>
                <w:rFonts w:hint="eastAsia" w:ascii="宋体" w:hAnsi="宋体"/>
                <w:szCs w:val="44"/>
              </w:rPr>
              <w:t>3</w:t>
            </w:r>
          </w:p>
        </w:tc>
        <w:tc>
          <w:tcPr>
            <w:tcW w:w="1811" w:type="dxa"/>
            <w:vAlign w:val="center"/>
          </w:tcPr>
          <w:p w14:paraId="7DDB77FA">
            <w:pPr>
              <w:jc w:val="center"/>
              <w:rPr>
                <w:rFonts w:ascii="宋体" w:hAnsi="宋体"/>
                <w:szCs w:val="44"/>
              </w:rPr>
            </w:pPr>
          </w:p>
        </w:tc>
        <w:tc>
          <w:tcPr>
            <w:tcW w:w="1356" w:type="dxa"/>
            <w:vAlign w:val="center"/>
          </w:tcPr>
          <w:p w14:paraId="487231A5">
            <w:pPr>
              <w:jc w:val="center"/>
            </w:pPr>
          </w:p>
        </w:tc>
        <w:tc>
          <w:tcPr>
            <w:tcW w:w="1357" w:type="dxa"/>
            <w:vAlign w:val="center"/>
          </w:tcPr>
          <w:p w14:paraId="33995980">
            <w:pPr>
              <w:jc w:val="center"/>
              <w:rPr>
                <w:rFonts w:ascii="宋体" w:hAnsi="宋体"/>
                <w:szCs w:val="44"/>
              </w:rPr>
            </w:pPr>
          </w:p>
        </w:tc>
        <w:tc>
          <w:tcPr>
            <w:tcW w:w="1357" w:type="dxa"/>
            <w:vAlign w:val="center"/>
          </w:tcPr>
          <w:p w14:paraId="7BD51585">
            <w:pPr>
              <w:jc w:val="center"/>
              <w:rPr>
                <w:rFonts w:ascii="宋体" w:hAnsi="宋体"/>
                <w:szCs w:val="44"/>
              </w:rPr>
            </w:pPr>
          </w:p>
        </w:tc>
        <w:tc>
          <w:tcPr>
            <w:tcW w:w="1356" w:type="dxa"/>
            <w:vAlign w:val="center"/>
          </w:tcPr>
          <w:p w14:paraId="72548ED8">
            <w:pPr>
              <w:jc w:val="center"/>
              <w:rPr>
                <w:rFonts w:ascii="宋体" w:hAnsi="宋体"/>
                <w:szCs w:val="44"/>
              </w:rPr>
            </w:pPr>
          </w:p>
        </w:tc>
        <w:tc>
          <w:tcPr>
            <w:tcW w:w="1357" w:type="dxa"/>
            <w:vAlign w:val="center"/>
          </w:tcPr>
          <w:p w14:paraId="10056ED4">
            <w:pPr>
              <w:jc w:val="center"/>
              <w:rPr>
                <w:rFonts w:ascii="宋体" w:hAnsi="宋体"/>
                <w:szCs w:val="44"/>
              </w:rPr>
            </w:pPr>
          </w:p>
        </w:tc>
        <w:tc>
          <w:tcPr>
            <w:tcW w:w="1357" w:type="dxa"/>
            <w:vAlign w:val="center"/>
          </w:tcPr>
          <w:p w14:paraId="063B312C">
            <w:pPr>
              <w:jc w:val="center"/>
              <w:rPr>
                <w:rFonts w:ascii="宋体" w:hAnsi="宋体"/>
                <w:szCs w:val="44"/>
              </w:rPr>
            </w:pPr>
          </w:p>
        </w:tc>
        <w:tc>
          <w:tcPr>
            <w:tcW w:w="1364" w:type="dxa"/>
            <w:vAlign w:val="center"/>
          </w:tcPr>
          <w:p w14:paraId="5BE2032D">
            <w:pPr>
              <w:jc w:val="center"/>
              <w:rPr>
                <w:rFonts w:ascii="宋体" w:hAnsi="宋体"/>
                <w:szCs w:val="44"/>
              </w:rPr>
            </w:pPr>
          </w:p>
        </w:tc>
        <w:tc>
          <w:tcPr>
            <w:tcW w:w="1793" w:type="dxa"/>
            <w:vAlign w:val="center"/>
          </w:tcPr>
          <w:p w14:paraId="7AC89D0D">
            <w:pPr>
              <w:jc w:val="center"/>
              <w:rPr>
                <w:rFonts w:ascii="宋体" w:hAnsi="宋体"/>
                <w:szCs w:val="44"/>
              </w:rPr>
            </w:pPr>
          </w:p>
        </w:tc>
      </w:tr>
      <w:tr w14:paraId="5F1D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AFE739C">
            <w:pPr>
              <w:jc w:val="center"/>
              <w:rPr>
                <w:rFonts w:ascii="宋体" w:hAnsi="宋体"/>
                <w:szCs w:val="44"/>
              </w:rPr>
            </w:pPr>
            <w:r>
              <w:rPr>
                <w:rFonts w:hint="eastAsia" w:ascii="宋体" w:hAnsi="宋体"/>
                <w:szCs w:val="44"/>
              </w:rPr>
              <w:t>4</w:t>
            </w:r>
          </w:p>
        </w:tc>
        <w:tc>
          <w:tcPr>
            <w:tcW w:w="1811" w:type="dxa"/>
            <w:vAlign w:val="center"/>
          </w:tcPr>
          <w:p w14:paraId="05CDBEDB">
            <w:pPr>
              <w:jc w:val="center"/>
              <w:rPr>
                <w:rFonts w:ascii="宋体" w:hAnsi="宋体"/>
                <w:szCs w:val="44"/>
              </w:rPr>
            </w:pPr>
          </w:p>
        </w:tc>
        <w:tc>
          <w:tcPr>
            <w:tcW w:w="1356" w:type="dxa"/>
            <w:vAlign w:val="center"/>
          </w:tcPr>
          <w:p w14:paraId="3F58B23E">
            <w:pPr>
              <w:jc w:val="center"/>
            </w:pPr>
          </w:p>
        </w:tc>
        <w:tc>
          <w:tcPr>
            <w:tcW w:w="1357" w:type="dxa"/>
            <w:vAlign w:val="center"/>
          </w:tcPr>
          <w:p w14:paraId="4C0CEE97">
            <w:pPr>
              <w:jc w:val="center"/>
              <w:rPr>
                <w:rFonts w:ascii="宋体" w:hAnsi="宋体"/>
                <w:szCs w:val="44"/>
              </w:rPr>
            </w:pPr>
          </w:p>
        </w:tc>
        <w:tc>
          <w:tcPr>
            <w:tcW w:w="1357" w:type="dxa"/>
            <w:vAlign w:val="center"/>
          </w:tcPr>
          <w:p w14:paraId="2386E29A">
            <w:pPr>
              <w:jc w:val="center"/>
              <w:rPr>
                <w:rFonts w:ascii="宋体" w:hAnsi="宋体"/>
                <w:szCs w:val="44"/>
              </w:rPr>
            </w:pPr>
          </w:p>
        </w:tc>
        <w:tc>
          <w:tcPr>
            <w:tcW w:w="1356" w:type="dxa"/>
            <w:vAlign w:val="center"/>
          </w:tcPr>
          <w:p w14:paraId="172B2C1F">
            <w:pPr>
              <w:jc w:val="center"/>
              <w:rPr>
                <w:rFonts w:ascii="宋体" w:hAnsi="宋体"/>
                <w:szCs w:val="44"/>
              </w:rPr>
            </w:pPr>
          </w:p>
        </w:tc>
        <w:tc>
          <w:tcPr>
            <w:tcW w:w="1357" w:type="dxa"/>
            <w:vAlign w:val="center"/>
          </w:tcPr>
          <w:p w14:paraId="27C70ECD">
            <w:pPr>
              <w:jc w:val="center"/>
              <w:rPr>
                <w:rFonts w:ascii="宋体" w:hAnsi="宋体"/>
                <w:szCs w:val="44"/>
              </w:rPr>
            </w:pPr>
          </w:p>
        </w:tc>
        <w:tc>
          <w:tcPr>
            <w:tcW w:w="1357" w:type="dxa"/>
            <w:vAlign w:val="center"/>
          </w:tcPr>
          <w:p w14:paraId="31D443DE">
            <w:pPr>
              <w:jc w:val="center"/>
              <w:rPr>
                <w:rFonts w:ascii="宋体" w:hAnsi="宋体"/>
                <w:szCs w:val="44"/>
              </w:rPr>
            </w:pPr>
          </w:p>
        </w:tc>
        <w:tc>
          <w:tcPr>
            <w:tcW w:w="1364" w:type="dxa"/>
            <w:vAlign w:val="center"/>
          </w:tcPr>
          <w:p w14:paraId="502BB124">
            <w:pPr>
              <w:jc w:val="center"/>
              <w:rPr>
                <w:rFonts w:ascii="宋体" w:hAnsi="宋体"/>
                <w:szCs w:val="44"/>
              </w:rPr>
            </w:pPr>
          </w:p>
        </w:tc>
        <w:tc>
          <w:tcPr>
            <w:tcW w:w="1793" w:type="dxa"/>
            <w:vAlign w:val="center"/>
          </w:tcPr>
          <w:p w14:paraId="0E4BBF2B">
            <w:pPr>
              <w:jc w:val="center"/>
              <w:rPr>
                <w:rFonts w:ascii="宋体" w:hAnsi="宋体"/>
                <w:szCs w:val="44"/>
              </w:rPr>
            </w:pPr>
          </w:p>
        </w:tc>
      </w:tr>
      <w:tr w14:paraId="0037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792" w:type="dxa"/>
            <w:vAlign w:val="center"/>
          </w:tcPr>
          <w:p w14:paraId="74F4CAC0">
            <w:pPr>
              <w:jc w:val="center"/>
              <w:rPr>
                <w:rFonts w:ascii="宋体" w:hAnsi="宋体"/>
                <w:szCs w:val="44"/>
              </w:rPr>
            </w:pPr>
            <w:r>
              <w:rPr>
                <w:rFonts w:hint="eastAsia" w:ascii="宋体" w:hAnsi="宋体"/>
                <w:szCs w:val="44"/>
              </w:rPr>
              <w:t>5</w:t>
            </w:r>
          </w:p>
        </w:tc>
        <w:tc>
          <w:tcPr>
            <w:tcW w:w="1811" w:type="dxa"/>
            <w:vAlign w:val="center"/>
          </w:tcPr>
          <w:p w14:paraId="0CC34036">
            <w:pPr>
              <w:jc w:val="center"/>
              <w:rPr>
                <w:rFonts w:ascii="宋体" w:hAnsi="宋体"/>
                <w:szCs w:val="44"/>
              </w:rPr>
            </w:pPr>
          </w:p>
        </w:tc>
        <w:tc>
          <w:tcPr>
            <w:tcW w:w="1356" w:type="dxa"/>
            <w:vAlign w:val="center"/>
          </w:tcPr>
          <w:p w14:paraId="58AC50AD">
            <w:pPr>
              <w:jc w:val="center"/>
            </w:pPr>
          </w:p>
        </w:tc>
        <w:tc>
          <w:tcPr>
            <w:tcW w:w="1357" w:type="dxa"/>
            <w:vAlign w:val="center"/>
          </w:tcPr>
          <w:p w14:paraId="6928CB6E">
            <w:pPr>
              <w:jc w:val="center"/>
              <w:rPr>
                <w:rFonts w:ascii="宋体" w:hAnsi="宋体"/>
                <w:szCs w:val="44"/>
              </w:rPr>
            </w:pPr>
          </w:p>
        </w:tc>
        <w:tc>
          <w:tcPr>
            <w:tcW w:w="1357" w:type="dxa"/>
            <w:vAlign w:val="center"/>
          </w:tcPr>
          <w:p w14:paraId="654276EA">
            <w:pPr>
              <w:jc w:val="center"/>
              <w:rPr>
                <w:rFonts w:ascii="宋体" w:hAnsi="宋体"/>
                <w:szCs w:val="44"/>
              </w:rPr>
            </w:pPr>
          </w:p>
        </w:tc>
        <w:tc>
          <w:tcPr>
            <w:tcW w:w="1356" w:type="dxa"/>
            <w:vAlign w:val="center"/>
          </w:tcPr>
          <w:p w14:paraId="57080217">
            <w:pPr>
              <w:jc w:val="center"/>
              <w:rPr>
                <w:rFonts w:ascii="宋体" w:hAnsi="宋体"/>
                <w:szCs w:val="44"/>
              </w:rPr>
            </w:pPr>
          </w:p>
        </w:tc>
        <w:tc>
          <w:tcPr>
            <w:tcW w:w="1357" w:type="dxa"/>
            <w:vAlign w:val="center"/>
          </w:tcPr>
          <w:p w14:paraId="4125C9D2">
            <w:pPr>
              <w:jc w:val="center"/>
              <w:rPr>
                <w:rFonts w:ascii="宋体" w:hAnsi="宋体"/>
                <w:szCs w:val="44"/>
              </w:rPr>
            </w:pPr>
          </w:p>
        </w:tc>
        <w:tc>
          <w:tcPr>
            <w:tcW w:w="1357" w:type="dxa"/>
            <w:vAlign w:val="center"/>
          </w:tcPr>
          <w:p w14:paraId="767FE31B">
            <w:pPr>
              <w:jc w:val="center"/>
              <w:rPr>
                <w:rFonts w:ascii="宋体" w:hAnsi="宋体"/>
                <w:szCs w:val="44"/>
              </w:rPr>
            </w:pPr>
          </w:p>
        </w:tc>
        <w:tc>
          <w:tcPr>
            <w:tcW w:w="1364" w:type="dxa"/>
            <w:vAlign w:val="center"/>
          </w:tcPr>
          <w:p w14:paraId="77375BFE">
            <w:pPr>
              <w:jc w:val="center"/>
              <w:rPr>
                <w:rFonts w:ascii="宋体" w:hAnsi="宋体"/>
                <w:szCs w:val="44"/>
              </w:rPr>
            </w:pPr>
          </w:p>
        </w:tc>
        <w:tc>
          <w:tcPr>
            <w:tcW w:w="1793" w:type="dxa"/>
            <w:vAlign w:val="center"/>
          </w:tcPr>
          <w:p w14:paraId="2DC18866">
            <w:pPr>
              <w:jc w:val="center"/>
              <w:rPr>
                <w:rFonts w:ascii="宋体" w:hAnsi="宋体"/>
                <w:szCs w:val="44"/>
              </w:rPr>
            </w:pPr>
          </w:p>
        </w:tc>
      </w:tr>
      <w:tr w14:paraId="4B8C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45FA92EB">
            <w:pPr>
              <w:jc w:val="center"/>
              <w:rPr>
                <w:rFonts w:ascii="宋体" w:hAnsi="宋体"/>
                <w:szCs w:val="44"/>
              </w:rPr>
            </w:pPr>
            <w:r>
              <w:rPr>
                <w:rFonts w:hint="eastAsia" w:ascii="宋体" w:hAnsi="宋体"/>
                <w:szCs w:val="44"/>
              </w:rPr>
              <w:t>6</w:t>
            </w:r>
          </w:p>
        </w:tc>
        <w:tc>
          <w:tcPr>
            <w:tcW w:w="1811" w:type="dxa"/>
            <w:vAlign w:val="center"/>
          </w:tcPr>
          <w:p w14:paraId="425496B1">
            <w:pPr>
              <w:jc w:val="center"/>
              <w:rPr>
                <w:rFonts w:ascii="宋体" w:hAnsi="宋体"/>
                <w:szCs w:val="44"/>
              </w:rPr>
            </w:pPr>
          </w:p>
        </w:tc>
        <w:tc>
          <w:tcPr>
            <w:tcW w:w="1356" w:type="dxa"/>
            <w:vAlign w:val="center"/>
          </w:tcPr>
          <w:p w14:paraId="414DD45B">
            <w:pPr>
              <w:jc w:val="center"/>
            </w:pPr>
          </w:p>
        </w:tc>
        <w:tc>
          <w:tcPr>
            <w:tcW w:w="1357" w:type="dxa"/>
            <w:vAlign w:val="center"/>
          </w:tcPr>
          <w:p w14:paraId="2D41FF95">
            <w:pPr>
              <w:jc w:val="center"/>
              <w:rPr>
                <w:rFonts w:ascii="宋体" w:hAnsi="宋体"/>
                <w:szCs w:val="44"/>
              </w:rPr>
            </w:pPr>
          </w:p>
        </w:tc>
        <w:tc>
          <w:tcPr>
            <w:tcW w:w="1357" w:type="dxa"/>
            <w:vAlign w:val="center"/>
          </w:tcPr>
          <w:p w14:paraId="0E29E825">
            <w:pPr>
              <w:jc w:val="center"/>
              <w:rPr>
                <w:rFonts w:ascii="宋体" w:hAnsi="宋体"/>
                <w:szCs w:val="44"/>
              </w:rPr>
            </w:pPr>
          </w:p>
        </w:tc>
        <w:tc>
          <w:tcPr>
            <w:tcW w:w="1356" w:type="dxa"/>
            <w:vAlign w:val="center"/>
          </w:tcPr>
          <w:p w14:paraId="4C0A96D3">
            <w:pPr>
              <w:jc w:val="center"/>
              <w:rPr>
                <w:rFonts w:ascii="宋体" w:hAnsi="宋体"/>
                <w:szCs w:val="44"/>
              </w:rPr>
            </w:pPr>
          </w:p>
        </w:tc>
        <w:tc>
          <w:tcPr>
            <w:tcW w:w="1357" w:type="dxa"/>
            <w:vAlign w:val="center"/>
          </w:tcPr>
          <w:p w14:paraId="23E08F2E">
            <w:pPr>
              <w:jc w:val="center"/>
              <w:rPr>
                <w:rFonts w:ascii="宋体" w:hAnsi="宋体"/>
                <w:szCs w:val="44"/>
              </w:rPr>
            </w:pPr>
          </w:p>
        </w:tc>
        <w:tc>
          <w:tcPr>
            <w:tcW w:w="1357" w:type="dxa"/>
            <w:vAlign w:val="center"/>
          </w:tcPr>
          <w:p w14:paraId="6615A07A">
            <w:pPr>
              <w:jc w:val="center"/>
              <w:rPr>
                <w:rFonts w:ascii="宋体" w:hAnsi="宋体"/>
                <w:szCs w:val="44"/>
              </w:rPr>
            </w:pPr>
          </w:p>
        </w:tc>
        <w:tc>
          <w:tcPr>
            <w:tcW w:w="1364" w:type="dxa"/>
            <w:vAlign w:val="center"/>
          </w:tcPr>
          <w:p w14:paraId="61EB7EE1">
            <w:pPr>
              <w:jc w:val="center"/>
              <w:rPr>
                <w:rFonts w:ascii="宋体" w:hAnsi="宋体"/>
                <w:szCs w:val="44"/>
              </w:rPr>
            </w:pPr>
          </w:p>
        </w:tc>
        <w:tc>
          <w:tcPr>
            <w:tcW w:w="1793" w:type="dxa"/>
            <w:vAlign w:val="center"/>
          </w:tcPr>
          <w:p w14:paraId="0C67C7DB">
            <w:pPr>
              <w:jc w:val="center"/>
              <w:rPr>
                <w:rFonts w:ascii="宋体" w:hAnsi="宋体"/>
                <w:szCs w:val="44"/>
              </w:rPr>
            </w:pPr>
          </w:p>
        </w:tc>
      </w:tr>
      <w:tr w14:paraId="25FE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792" w:type="dxa"/>
            <w:vAlign w:val="center"/>
          </w:tcPr>
          <w:p w14:paraId="39EE9971">
            <w:pPr>
              <w:jc w:val="center"/>
              <w:rPr>
                <w:rFonts w:ascii="宋体" w:hAnsi="宋体"/>
                <w:szCs w:val="44"/>
              </w:rPr>
            </w:pPr>
            <w:r>
              <w:rPr>
                <w:rFonts w:hint="eastAsia" w:ascii="宋体" w:hAnsi="宋体"/>
                <w:szCs w:val="44"/>
              </w:rPr>
              <w:t>…</w:t>
            </w:r>
            <w:r>
              <w:rPr>
                <w:rFonts w:ascii="宋体" w:hAnsi="宋体"/>
                <w:szCs w:val="44"/>
              </w:rPr>
              <w:t>…</w:t>
            </w:r>
          </w:p>
        </w:tc>
        <w:tc>
          <w:tcPr>
            <w:tcW w:w="1811" w:type="dxa"/>
            <w:vAlign w:val="center"/>
          </w:tcPr>
          <w:p w14:paraId="2F491E24">
            <w:pPr>
              <w:rPr>
                <w:rFonts w:ascii="宋体" w:hAnsi="宋体"/>
                <w:szCs w:val="21"/>
              </w:rPr>
            </w:pPr>
          </w:p>
        </w:tc>
        <w:tc>
          <w:tcPr>
            <w:tcW w:w="1356" w:type="dxa"/>
            <w:vAlign w:val="center"/>
          </w:tcPr>
          <w:p w14:paraId="3DC5D950">
            <w:pPr>
              <w:jc w:val="center"/>
            </w:pPr>
          </w:p>
        </w:tc>
        <w:tc>
          <w:tcPr>
            <w:tcW w:w="1357" w:type="dxa"/>
            <w:vAlign w:val="center"/>
          </w:tcPr>
          <w:p w14:paraId="33A7734B">
            <w:pPr>
              <w:jc w:val="center"/>
              <w:rPr>
                <w:rFonts w:ascii="宋体" w:hAnsi="宋体"/>
                <w:szCs w:val="44"/>
              </w:rPr>
            </w:pPr>
          </w:p>
        </w:tc>
        <w:tc>
          <w:tcPr>
            <w:tcW w:w="1357" w:type="dxa"/>
            <w:vAlign w:val="center"/>
          </w:tcPr>
          <w:p w14:paraId="3984EF7E">
            <w:pPr>
              <w:jc w:val="center"/>
              <w:rPr>
                <w:rFonts w:ascii="宋体" w:hAnsi="宋体"/>
                <w:szCs w:val="44"/>
              </w:rPr>
            </w:pPr>
          </w:p>
        </w:tc>
        <w:tc>
          <w:tcPr>
            <w:tcW w:w="1356" w:type="dxa"/>
            <w:vAlign w:val="center"/>
          </w:tcPr>
          <w:p w14:paraId="60F9ECE2">
            <w:pPr>
              <w:jc w:val="center"/>
              <w:rPr>
                <w:rFonts w:ascii="宋体" w:hAnsi="宋体"/>
                <w:szCs w:val="44"/>
              </w:rPr>
            </w:pPr>
          </w:p>
        </w:tc>
        <w:tc>
          <w:tcPr>
            <w:tcW w:w="1357" w:type="dxa"/>
            <w:vAlign w:val="center"/>
          </w:tcPr>
          <w:p w14:paraId="178B5188">
            <w:pPr>
              <w:jc w:val="center"/>
              <w:rPr>
                <w:rFonts w:ascii="宋体" w:hAnsi="宋体"/>
                <w:szCs w:val="44"/>
              </w:rPr>
            </w:pPr>
          </w:p>
        </w:tc>
        <w:tc>
          <w:tcPr>
            <w:tcW w:w="1357" w:type="dxa"/>
            <w:vAlign w:val="center"/>
          </w:tcPr>
          <w:p w14:paraId="44D6CE15">
            <w:pPr>
              <w:jc w:val="center"/>
              <w:rPr>
                <w:rFonts w:ascii="宋体" w:hAnsi="宋体"/>
                <w:szCs w:val="44"/>
              </w:rPr>
            </w:pPr>
          </w:p>
        </w:tc>
        <w:tc>
          <w:tcPr>
            <w:tcW w:w="1364" w:type="dxa"/>
            <w:vAlign w:val="center"/>
          </w:tcPr>
          <w:p w14:paraId="23323DD3">
            <w:pPr>
              <w:jc w:val="center"/>
              <w:rPr>
                <w:rFonts w:ascii="宋体" w:hAnsi="宋体"/>
                <w:szCs w:val="44"/>
              </w:rPr>
            </w:pPr>
          </w:p>
        </w:tc>
        <w:tc>
          <w:tcPr>
            <w:tcW w:w="1793" w:type="dxa"/>
            <w:vAlign w:val="center"/>
          </w:tcPr>
          <w:p w14:paraId="64ACAD6A">
            <w:pPr>
              <w:jc w:val="center"/>
              <w:rPr>
                <w:rFonts w:ascii="宋体" w:hAnsi="宋体"/>
                <w:szCs w:val="44"/>
              </w:rPr>
            </w:pPr>
          </w:p>
        </w:tc>
      </w:tr>
      <w:tr w14:paraId="1932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5A5CF1D2">
            <w:r>
              <w:rPr>
                <w:rFonts w:hint="eastAsia" w:ascii="宋体" w:hAnsi="宋体"/>
                <w:szCs w:val="21"/>
              </w:rPr>
              <w:t>资信标</w:t>
            </w:r>
            <w:r>
              <w:rPr>
                <w:rFonts w:hint="eastAsia"/>
              </w:rPr>
              <w:t>评委签名：</w:t>
            </w:r>
          </w:p>
          <w:p w14:paraId="6C21C4A0"/>
          <w:p w14:paraId="4E999411">
            <w:pPr>
              <w:rPr>
                <w:rFonts w:ascii="宋体" w:hAnsi="宋体"/>
                <w:szCs w:val="44"/>
              </w:rPr>
            </w:pPr>
          </w:p>
          <w:p w14:paraId="2F0A0391">
            <w:pPr>
              <w:jc w:val="center"/>
              <w:rPr>
                <w:rFonts w:ascii="宋体" w:hAnsi="宋体"/>
                <w:szCs w:val="44"/>
              </w:rPr>
            </w:pPr>
          </w:p>
        </w:tc>
      </w:tr>
    </w:tbl>
    <w:p w14:paraId="269FEFCF">
      <w:pPr>
        <w:rPr>
          <w:rFonts w:ascii="宋体" w:hAnsi="宋体"/>
          <w:szCs w:val="44"/>
        </w:rPr>
      </w:pPr>
    </w:p>
    <w:p w14:paraId="01069891">
      <w:pPr>
        <w:jc w:val="right"/>
      </w:pPr>
      <w:r>
        <w:rPr>
          <w:rFonts w:hint="eastAsia"/>
        </w:rPr>
        <w:t xml:space="preserve">                   日期：      年    月   日</w:t>
      </w:r>
    </w:p>
    <w:p w14:paraId="7FEDBF70"/>
    <w:bookmarkEnd w:id="700"/>
    <w:p w14:paraId="0F8E7BB5">
      <w:pPr>
        <w:pStyle w:val="25"/>
        <w:rPr>
          <w:rFonts w:ascii="黑体"/>
        </w:rPr>
      </w:pPr>
      <w:bookmarkStart w:id="701" w:name="_Toc256000143"/>
      <w:bookmarkStart w:id="702" w:name="_Toc165804460"/>
      <w:r>
        <w:rPr>
          <w:rFonts w:hint="eastAsia"/>
        </w:rPr>
        <w:t>附表A-1</w:t>
      </w:r>
      <w:r>
        <w:t>4</w:t>
      </w:r>
      <w:r>
        <w:rPr>
          <w:rFonts w:hint="eastAsia"/>
        </w:rPr>
        <w:t>：其他因素评审记录表</w:t>
      </w:r>
      <w:bookmarkEnd w:id="701"/>
      <w:bookmarkEnd w:id="702"/>
    </w:p>
    <w:p w14:paraId="35F87F0F">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其他因素评审记录表</w:t>
      </w:r>
    </w:p>
    <w:p w14:paraId="682A60B7">
      <w:pPr>
        <w:ind w:firstLine="210" w:firstLineChars="100"/>
        <w:rPr>
          <w:rFonts w:ascii="宋体" w:hAnsi="宋体"/>
          <w:szCs w:val="44"/>
        </w:rPr>
      </w:pPr>
      <w:bookmarkStart w:id="703" w:name="_Hlk150333006"/>
      <w:r>
        <w:rPr>
          <w:rFonts w:hint="eastAsia" w:ascii="宋体" w:hAnsi="宋体"/>
          <w:szCs w:val="44"/>
        </w:rPr>
        <w:t>标段名称：</w:t>
      </w:r>
    </w:p>
    <w:p w14:paraId="665EBA78">
      <w:pPr>
        <w:ind w:firstLine="210" w:firstLineChars="100"/>
        <w:rPr>
          <w:szCs w:val="44"/>
        </w:rPr>
      </w:pPr>
      <w:r>
        <w:rPr>
          <w:rFonts w:hint="eastAsia"/>
          <w:szCs w:val="44"/>
        </w:rPr>
        <w:t>标段唯一标识码：</w:t>
      </w:r>
    </w:p>
    <w:tbl>
      <w:tblPr>
        <w:tblStyle w:val="17"/>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7607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0FCF7AAD">
            <w:pPr>
              <w:jc w:val="center"/>
              <w:rPr>
                <w:rFonts w:ascii="宋体" w:hAnsi="宋体"/>
                <w:b/>
                <w:bCs/>
                <w:szCs w:val="44"/>
              </w:rPr>
            </w:pPr>
            <w:r>
              <w:rPr>
                <w:rFonts w:hint="eastAsia" w:ascii="宋体" w:hAnsi="宋体"/>
                <w:b/>
                <w:bCs/>
                <w:szCs w:val="44"/>
              </w:rPr>
              <w:t>序号</w:t>
            </w:r>
          </w:p>
        </w:tc>
        <w:tc>
          <w:tcPr>
            <w:tcW w:w="1753" w:type="dxa"/>
            <w:vMerge w:val="restart"/>
            <w:vAlign w:val="center"/>
          </w:tcPr>
          <w:p w14:paraId="1C59D40D">
            <w:pPr>
              <w:jc w:val="center"/>
              <w:rPr>
                <w:rFonts w:ascii="宋体" w:hAnsi="宋体"/>
                <w:b/>
                <w:bCs/>
                <w:szCs w:val="44"/>
              </w:rPr>
            </w:pPr>
            <w:r>
              <w:rPr>
                <w:rFonts w:hint="eastAsia" w:ascii="宋体" w:hAnsi="宋体"/>
                <w:b/>
                <w:bCs/>
                <w:szCs w:val="44"/>
              </w:rPr>
              <w:t>投标人名称</w:t>
            </w:r>
          </w:p>
        </w:tc>
        <w:tc>
          <w:tcPr>
            <w:tcW w:w="9061" w:type="dxa"/>
            <w:gridSpan w:val="7"/>
            <w:vAlign w:val="center"/>
          </w:tcPr>
          <w:p w14:paraId="4DD9C602">
            <w:pPr>
              <w:jc w:val="center"/>
              <w:rPr>
                <w:rFonts w:ascii="宋体" w:hAnsi="宋体"/>
                <w:b/>
                <w:bCs/>
                <w:szCs w:val="44"/>
              </w:rPr>
            </w:pPr>
            <w:r>
              <w:rPr>
                <w:rFonts w:hint="eastAsia" w:ascii="宋体" w:hAnsi="宋体"/>
                <w:b/>
                <w:bCs/>
                <w:szCs w:val="44"/>
              </w:rPr>
              <w:t>评委姓名及得分</w:t>
            </w:r>
          </w:p>
        </w:tc>
        <w:tc>
          <w:tcPr>
            <w:tcW w:w="2020" w:type="dxa"/>
            <w:vMerge w:val="restart"/>
            <w:vAlign w:val="center"/>
          </w:tcPr>
          <w:p w14:paraId="692185C3">
            <w:pPr>
              <w:jc w:val="center"/>
              <w:rPr>
                <w:rFonts w:ascii="宋体" w:hAnsi="宋体"/>
                <w:b/>
                <w:bCs/>
                <w:szCs w:val="44"/>
              </w:rPr>
            </w:pPr>
            <w:r>
              <w:rPr>
                <w:rFonts w:hint="eastAsia" w:ascii="宋体" w:hAnsi="宋体"/>
                <w:b/>
                <w:bCs/>
                <w:szCs w:val="44"/>
              </w:rPr>
              <w:t>其他因素最终得分</w:t>
            </w:r>
          </w:p>
        </w:tc>
      </w:tr>
      <w:tr w14:paraId="442E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186F1706">
            <w:pPr>
              <w:jc w:val="center"/>
              <w:rPr>
                <w:rFonts w:ascii="宋体" w:hAnsi="宋体"/>
                <w:b/>
                <w:bCs/>
                <w:szCs w:val="44"/>
              </w:rPr>
            </w:pPr>
          </w:p>
        </w:tc>
        <w:tc>
          <w:tcPr>
            <w:tcW w:w="1753" w:type="dxa"/>
            <w:vMerge w:val="continue"/>
          </w:tcPr>
          <w:p w14:paraId="4ED832A0">
            <w:pPr>
              <w:jc w:val="center"/>
              <w:rPr>
                <w:rFonts w:ascii="宋体" w:hAnsi="宋体"/>
                <w:b/>
                <w:bCs/>
                <w:szCs w:val="44"/>
              </w:rPr>
            </w:pPr>
          </w:p>
        </w:tc>
        <w:tc>
          <w:tcPr>
            <w:tcW w:w="1313" w:type="dxa"/>
            <w:vAlign w:val="center"/>
          </w:tcPr>
          <w:p w14:paraId="621114EF">
            <w:pPr>
              <w:jc w:val="center"/>
              <w:rPr>
                <w:rFonts w:ascii="宋体" w:hAnsi="宋体"/>
                <w:b/>
                <w:bCs/>
                <w:szCs w:val="44"/>
              </w:rPr>
            </w:pPr>
            <w:r>
              <w:rPr>
                <w:rFonts w:hint="eastAsia" w:ascii="宋体" w:hAnsi="宋体"/>
                <w:b/>
                <w:bCs/>
                <w:szCs w:val="44"/>
              </w:rPr>
              <w:t>评委1</w:t>
            </w:r>
          </w:p>
        </w:tc>
        <w:tc>
          <w:tcPr>
            <w:tcW w:w="1314" w:type="dxa"/>
            <w:vAlign w:val="center"/>
          </w:tcPr>
          <w:p w14:paraId="139E6B11">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14" w:type="dxa"/>
            <w:vAlign w:val="center"/>
          </w:tcPr>
          <w:p w14:paraId="2D5D6270">
            <w:pPr>
              <w:jc w:val="center"/>
              <w:rPr>
                <w:rFonts w:ascii="宋体" w:hAnsi="宋体"/>
                <w:b/>
                <w:bCs/>
                <w:szCs w:val="44"/>
              </w:rPr>
            </w:pPr>
            <w:r>
              <w:rPr>
                <w:rFonts w:ascii="宋体" w:hAnsi="宋体"/>
                <w:b/>
                <w:bCs/>
                <w:szCs w:val="44"/>
              </w:rPr>
              <w:t>……</w:t>
            </w:r>
          </w:p>
        </w:tc>
        <w:tc>
          <w:tcPr>
            <w:tcW w:w="1313" w:type="dxa"/>
            <w:vAlign w:val="center"/>
          </w:tcPr>
          <w:p w14:paraId="75CE222E">
            <w:pPr>
              <w:jc w:val="center"/>
              <w:rPr>
                <w:rFonts w:ascii="宋体" w:hAnsi="宋体"/>
                <w:b/>
                <w:bCs/>
                <w:szCs w:val="44"/>
              </w:rPr>
            </w:pPr>
          </w:p>
        </w:tc>
        <w:tc>
          <w:tcPr>
            <w:tcW w:w="1314" w:type="dxa"/>
            <w:vAlign w:val="center"/>
          </w:tcPr>
          <w:p w14:paraId="23F9D3B5">
            <w:pPr>
              <w:jc w:val="center"/>
              <w:rPr>
                <w:rFonts w:ascii="宋体" w:hAnsi="宋体"/>
                <w:b/>
                <w:bCs/>
                <w:szCs w:val="44"/>
              </w:rPr>
            </w:pPr>
          </w:p>
        </w:tc>
        <w:tc>
          <w:tcPr>
            <w:tcW w:w="1314" w:type="dxa"/>
            <w:vAlign w:val="center"/>
          </w:tcPr>
          <w:p w14:paraId="2EEB9A8B">
            <w:pPr>
              <w:jc w:val="center"/>
              <w:rPr>
                <w:rFonts w:ascii="宋体" w:hAnsi="宋体"/>
                <w:b/>
                <w:bCs/>
                <w:szCs w:val="44"/>
              </w:rPr>
            </w:pPr>
          </w:p>
        </w:tc>
        <w:tc>
          <w:tcPr>
            <w:tcW w:w="1179" w:type="dxa"/>
            <w:vAlign w:val="center"/>
          </w:tcPr>
          <w:p w14:paraId="22EF9559">
            <w:pPr>
              <w:jc w:val="center"/>
              <w:rPr>
                <w:rFonts w:ascii="宋体" w:hAnsi="宋体"/>
                <w:b/>
                <w:bCs/>
                <w:szCs w:val="44"/>
              </w:rPr>
            </w:pPr>
          </w:p>
        </w:tc>
        <w:tc>
          <w:tcPr>
            <w:tcW w:w="2020" w:type="dxa"/>
            <w:vMerge w:val="continue"/>
            <w:vAlign w:val="center"/>
          </w:tcPr>
          <w:p w14:paraId="4CBDEB87">
            <w:pPr>
              <w:jc w:val="center"/>
              <w:rPr>
                <w:rFonts w:ascii="宋体" w:hAnsi="宋体"/>
                <w:b/>
                <w:bCs/>
                <w:szCs w:val="44"/>
              </w:rPr>
            </w:pPr>
          </w:p>
        </w:tc>
      </w:tr>
      <w:tr w14:paraId="48AB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4F4D1A8">
            <w:pPr>
              <w:jc w:val="center"/>
              <w:rPr>
                <w:rFonts w:ascii="宋体" w:hAnsi="宋体"/>
                <w:szCs w:val="44"/>
              </w:rPr>
            </w:pPr>
            <w:r>
              <w:rPr>
                <w:rFonts w:hint="eastAsia" w:ascii="宋体" w:hAnsi="宋体"/>
                <w:szCs w:val="44"/>
              </w:rPr>
              <w:t>1</w:t>
            </w:r>
          </w:p>
        </w:tc>
        <w:tc>
          <w:tcPr>
            <w:tcW w:w="1753" w:type="dxa"/>
            <w:vAlign w:val="center"/>
          </w:tcPr>
          <w:p w14:paraId="6611008E">
            <w:pPr>
              <w:jc w:val="center"/>
              <w:rPr>
                <w:rFonts w:ascii="宋体" w:hAnsi="宋体"/>
                <w:szCs w:val="21"/>
              </w:rPr>
            </w:pPr>
          </w:p>
        </w:tc>
        <w:tc>
          <w:tcPr>
            <w:tcW w:w="1313" w:type="dxa"/>
            <w:vAlign w:val="center"/>
          </w:tcPr>
          <w:p w14:paraId="092EC9B5">
            <w:pPr>
              <w:rPr>
                <w:rFonts w:ascii="宋体" w:hAnsi="宋体"/>
                <w:szCs w:val="21"/>
              </w:rPr>
            </w:pPr>
          </w:p>
        </w:tc>
        <w:tc>
          <w:tcPr>
            <w:tcW w:w="1314" w:type="dxa"/>
            <w:vAlign w:val="center"/>
          </w:tcPr>
          <w:p w14:paraId="61CA6F5C">
            <w:pPr>
              <w:jc w:val="center"/>
              <w:rPr>
                <w:rFonts w:ascii="宋体" w:hAnsi="宋体"/>
                <w:szCs w:val="44"/>
              </w:rPr>
            </w:pPr>
          </w:p>
        </w:tc>
        <w:tc>
          <w:tcPr>
            <w:tcW w:w="1314" w:type="dxa"/>
            <w:vAlign w:val="center"/>
          </w:tcPr>
          <w:p w14:paraId="2D46BA99">
            <w:pPr>
              <w:jc w:val="center"/>
              <w:rPr>
                <w:rFonts w:ascii="宋体" w:hAnsi="宋体"/>
                <w:szCs w:val="44"/>
              </w:rPr>
            </w:pPr>
          </w:p>
        </w:tc>
        <w:tc>
          <w:tcPr>
            <w:tcW w:w="1313" w:type="dxa"/>
            <w:vAlign w:val="center"/>
          </w:tcPr>
          <w:p w14:paraId="27F1A0E9">
            <w:pPr>
              <w:jc w:val="center"/>
              <w:rPr>
                <w:rFonts w:ascii="宋体" w:hAnsi="宋体"/>
                <w:szCs w:val="44"/>
              </w:rPr>
            </w:pPr>
          </w:p>
        </w:tc>
        <w:tc>
          <w:tcPr>
            <w:tcW w:w="1314" w:type="dxa"/>
            <w:vAlign w:val="center"/>
          </w:tcPr>
          <w:p w14:paraId="04E9274F">
            <w:pPr>
              <w:jc w:val="center"/>
              <w:rPr>
                <w:rFonts w:ascii="宋体" w:hAnsi="宋体"/>
                <w:szCs w:val="44"/>
              </w:rPr>
            </w:pPr>
          </w:p>
        </w:tc>
        <w:tc>
          <w:tcPr>
            <w:tcW w:w="1314" w:type="dxa"/>
            <w:vAlign w:val="center"/>
          </w:tcPr>
          <w:p w14:paraId="084A25AD">
            <w:pPr>
              <w:jc w:val="center"/>
              <w:rPr>
                <w:rFonts w:ascii="宋体" w:hAnsi="宋体"/>
                <w:szCs w:val="44"/>
              </w:rPr>
            </w:pPr>
          </w:p>
        </w:tc>
        <w:tc>
          <w:tcPr>
            <w:tcW w:w="1179" w:type="dxa"/>
            <w:vAlign w:val="center"/>
          </w:tcPr>
          <w:p w14:paraId="6A42EB08">
            <w:pPr>
              <w:jc w:val="center"/>
              <w:rPr>
                <w:rFonts w:ascii="宋体" w:hAnsi="宋体"/>
                <w:szCs w:val="44"/>
              </w:rPr>
            </w:pPr>
          </w:p>
        </w:tc>
        <w:tc>
          <w:tcPr>
            <w:tcW w:w="2020" w:type="dxa"/>
            <w:vAlign w:val="center"/>
          </w:tcPr>
          <w:p w14:paraId="7E47E90D">
            <w:pPr>
              <w:jc w:val="center"/>
              <w:rPr>
                <w:rFonts w:ascii="宋体" w:hAnsi="宋体"/>
                <w:szCs w:val="44"/>
              </w:rPr>
            </w:pPr>
          </w:p>
        </w:tc>
      </w:tr>
      <w:tr w14:paraId="0169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4544D17">
            <w:pPr>
              <w:jc w:val="center"/>
              <w:rPr>
                <w:rFonts w:ascii="宋体" w:hAnsi="宋体"/>
                <w:szCs w:val="44"/>
              </w:rPr>
            </w:pPr>
            <w:r>
              <w:rPr>
                <w:rFonts w:hint="eastAsia" w:ascii="宋体" w:hAnsi="宋体"/>
                <w:szCs w:val="44"/>
              </w:rPr>
              <w:t>2</w:t>
            </w:r>
          </w:p>
        </w:tc>
        <w:tc>
          <w:tcPr>
            <w:tcW w:w="1753" w:type="dxa"/>
            <w:vAlign w:val="center"/>
          </w:tcPr>
          <w:p w14:paraId="0083157C">
            <w:pPr>
              <w:jc w:val="center"/>
              <w:rPr>
                <w:rFonts w:ascii="宋体" w:hAnsi="宋体"/>
                <w:szCs w:val="44"/>
              </w:rPr>
            </w:pPr>
          </w:p>
        </w:tc>
        <w:tc>
          <w:tcPr>
            <w:tcW w:w="1313" w:type="dxa"/>
            <w:vAlign w:val="center"/>
          </w:tcPr>
          <w:p w14:paraId="06B16588">
            <w:pPr>
              <w:jc w:val="center"/>
            </w:pPr>
          </w:p>
        </w:tc>
        <w:tc>
          <w:tcPr>
            <w:tcW w:w="1314" w:type="dxa"/>
            <w:vAlign w:val="center"/>
          </w:tcPr>
          <w:p w14:paraId="7A95F8F4">
            <w:pPr>
              <w:jc w:val="center"/>
              <w:rPr>
                <w:rFonts w:ascii="宋体" w:hAnsi="宋体"/>
                <w:szCs w:val="44"/>
              </w:rPr>
            </w:pPr>
          </w:p>
        </w:tc>
        <w:tc>
          <w:tcPr>
            <w:tcW w:w="1314" w:type="dxa"/>
            <w:vAlign w:val="center"/>
          </w:tcPr>
          <w:p w14:paraId="196188D1">
            <w:pPr>
              <w:jc w:val="center"/>
              <w:rPr>
                <w:rFonts w:ascii="宋体" w:hAnsi="宋体"/>
                <w:szCs w:val="44"/>
              </w:rPr>
            </w:pPr>
          </w:p>
        </w:tc>
        <w:tc>
          <w:tcPr>
            <w:tcW w:w="1313" w:type="dxa"/>
            <w:vAlign w:val="center"/>
          </w:tcPr>
          <w:p w14:paraId="526036DC">
            <w:pPr>
              <w:jc w:val="center"/>
              <w:rPr>
                <w:rFonts w:ascii="宋体" w:hAnsi="宋体"/>
                <w:szCs w:val="44"/>
              </w:rPr>
            </w:pPr>
          </w:p>
        </w:tc>
        <w:tc>
          <w:tcPr>
            <w:tcW w:w="1314" w:type="dxa"/>
            <w:vAlign w:val="center"/>
          </w:tcPr>
          <w:p w14:paraId="02D70527">
            <w:pPr>
              <w:jc w:val="center"/>
              <w:rPr>
                <w:rFonts w:ascii="宋体" w:hAnsi="宋体"/>
                <w:szCs w:val="44"/>
              </w:rPr>
            </w:pPr>
          </w:p>
        </w:tc>
        <w:tc>
          <w:tcPr>
            <w:tcW w:w="1314" w:type="dxa"/>
            <w:vAlign w:val="center"/>
          </w:tcPr>
          <w:p w14:paraId="4A6DB6C0">
            <w:pPr>
              <w:jc w:val="center"/>
              <w:rPr>
                <w:rFonts w:ascii="宋体" w:hAnsi="宋体"/>
                <w:szCs w:val="44"/>
              </w:rPr>
            </w:pPr>
          </w:p>
        </w:tc>
        <w:tc>
          <w:tcPr>
            <w:tcW w:w="1179" w:type="dxa"/>
            <w:vAlign w:val="center"/>
          </w:tcPr>
          <w:p w14:paraId="52726EFD">
            <w:pPr>
              <w:jc w:val="center"/>
              <w:rPr>
                <w:rFonts w:ascii="宋体" w:hAnsi="宋体"/>
                <w:szCs w:val="44"/>
              </w:rPr>
            </w:pPr>
          </w:p>
        </w:tc>
        <w:tc>
          <w:tcPr>
            <w:tcW w:w="2020" w:type="dxa"/>
            <w:vAlign w:val="center"/>
          </w:tcPr>
          <w:p w14:paraId="36B4F492">
            <w:pPr>
              <w:jc w:val="center"/>
              <w:rPr>
                <w:rFonts w:ascii="宋体" w:hAnsi="宋体"/>
                <w:szCs w:val="44"/>
              </w:rPr>
            </w:pPr>
          </w:p>
        </w:tc>
      </w:tr>
      <w:tr w14:paraId="2D9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AECF7F7">
            <w:pPr>
              <w:jc w:val="center"/>
              <w:rPr>
                <w:rFonts w:ascii="宋体" w:hAnsi="宋体"/>
                <w:szCs w:val="44"/>
              </w:rPr>
            </w:pPr>
            <w:r>
              <w:rPr>
                <w:rFonts w:hint="eastAsia" w:ascii="宋体" w:hAnsi="宋体"/>
                <w:szCs w:val="44"/>
              </w:rPr>
              <w:t>3</w:t>
            </w:r>
          </w:p>
        </w:tc>
        <w:tc>
          <w:tcPr>
            <w:tcW w:w="1753" w:type="dxa"/>
            <w:vAlign w:val="center"/>
          </w:tcPr>
          <w:p w14:paraId="4A264A1C">
            <w:pPr>
              <w:jc w:val="center"/>
              <w:rPr>
                <w:rFonts w:ascii="宋体" w:hAnsi="宋体"/>
                <w:szCs w:val="44"/>
              </w:rPr>
            </w:pPr>
          </w:p>
        </w:tc>
        <w:tc>
          <w:tcPr>
            <w:tcW w:w="1313" w:type="dxa"/>
            <w:vAlign w:val="center"/>
          </w:tcPr>
          <w:p w14:paraId="4696C222">
            <w:pPr>
              <w:jc w:val="center"/>
            </w:pPr>
          </w:p>
        </w:tc>
        <w:tc>
          <w:tcPr>
            <w:tcW w:w="1314" w:type="dxa"/>
            <w:vAlign w:val="center"/>
          </w:tcPr>
          <w:p w14:paraId="65CD8326">
            <w:pPr>
              <w:jc w:val="center"/>
              <w:rPr>
                <w:rFonts w:ascii="宋体" w:hAnsi="宋体"/>
                <w:szCs w:val="44"/>
              </w:rPr>
            </w:pPr>
          </w:p>
        </w:tc>
        <w:tc>
          <w:tcPr>
            <w:tcW w:w="1314" w:type="dxa"/>
            <w:vAlign w:val="center"/>
          </w:tcPr>
          <w:p w14:paraId="7793BB2F">
            <w:pPr>
              <w:jc w:val="center"/>
              <w:rPr>
                <w:rFonts w:ascii="宋体" w:hAnsi="宋体"/>
                <w:szCs w:val="44"/>
              </w:rPr>
            </w:pPr>
          </w:p>
        </w:tc>
        <w:tc>
          <w:tcPr>
            <w:tcW w:w="1313" w:type="dxa"/>
            <w:vAlign w:val="center"/>
          </w:tcPr>
          <w:p w14:paraId="5A43F49F">
            <w:pPr>
              <w:jc w:val="center"/>
              <w:rPr>
                <w:rFonts w:ascii="宋体" w:hAnsi="宋体"/>
                <w:szCs w:val="44"/>
              </w:rPr>
            </w:pPr>
          </w:p>
        </w:tc>
        <w:tc>
          <w:tcPr>
            <w:tcW w:w="1314" w:type="dxa"/>
            <w:vAlign w:val="center"/>
          </w:tcPr>
          <w:p w14:paraId="150C151A">
            <w:pPr>
              <w:jc w:val="center"/>
              <w:rPr>
                <w:rFonts w:ascii="宋体" w:hAnsi="宋体"/>
                <w:szCs w:val="44"/>
              </w:rPr>
            </w:pPr>
          </w:p>
        </w:tc>
        <w:tc>
          <w:tcPr>
            <w:tcW w:w="1314" w:type="dxa"/>
            <w:vAlign w:val="center"/>
          </w:tcPr>
          <w:p w14:paraId="1CD79259">
            <w:pPr>
              <w:jc w:val="center"/>
              <w:rPr>
                <w:rFonts w:ascii="宋体" w:hAnsi="宋体"/>
                <w:szCs w:val="44"/>
              </w:rPr>
            </w:pPr>
          </w:p>
        </w:tc>
        <w:tc>
          <w:tcPr>
            <w:tcW w:w="1179" w:type="dxa"/>
            <w:vAlign w:val="center"/>
          </w:tcPr>
          <w:p w14:paraId="0B61644D">
            <w:pPr>
              <w:jc w:val="center"/>
              <w:rPr>
                <w:rFonts w:ascii="宋体" w:hAnsi="宋体"/>
                <w:szCs w:val="44"/>
              </w:rPr>
            </w:pPr>
          </w:p>
        </w:tc>
        <w:tc>
          <w:tcPr>
            <w:tcW w:w="2020" w:type="dxa"/>
            <w:vAlign w:val="center"/>
          </w:tcPr>
          <w:p w14:paraId="0E125E55">
            <w:pPr>
              <w:jc w:val="center"/>
              <w:rPr>
                <w:rFonts w:ascii="宋体" w:hAnsi="宋体"/>
                <w:szCs w:val="44"/>
              </w:rPr>
            </w:pPr>
          </w:p>
        </w:tc>
      </w:tr>
      <w:tr w14:paraId="10AB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06E0F7B">
            <w:pPr>
              <w:jc w:val="center"/>
              <w:rPr>
                <w:rFonts w:ascii="宋体" w:hAnsi="宋体"/>
                <w:szCs w:val="44"/>
              </w:rPr>
            </w:pPr>
            <w:r>
              <w:rPr>
                <w:rFonts w:hint="eastAsia" w:ascii="宋体" w:hAnsi="宋体"/>
                <w:szCs w:val="44"/>
              </w:rPr>
              <w:t>4</w:t>
            </w:r>
          </w:p>
        </w:tc>
        <w:tc>
          <w:tcPr>
            <w:tcW w:w="1753" w:type="dxa"/>
            <w:vAlign w:val="center"/>
          </w:tcPr>
          <w:p w14:paraId="47FD70D7">
            <w:pPr>
              <w:jc w:val="center"/>
              <w:rPr>
                <w:rFonts w:ascii="宋体" w:hAnsi="宋体"/>
                <w:szCs w:val="44"/>
              </w:rPr>
            </w:pPr>
          </w:p>
        </w:tc>
        <w:tc>
          <w:tcPr>
            <w:tcW w:w="1313" w:type="dxa"/>
            <w:vAlign w:val="center"/>
          </w:tcPr>
          <w:p w14:paraId="5C7AE503">
            <w:pPr>
              <w:jc w:val="center"/>
            </w:pPr>
          </w:p>
        </w:tc>
        <w:tc>
          <w:tcPr>
            <w:tcW w:w="1314" w:type="dxa"/>
            <w:vAlign w:val="center"/>
          </w:tcPr>
          <w:p w14:paraId="71C48C0D">
            <w:pPr>
              <w:jc w:val="center"/>
              <w:rPr>
                <w:rFonts w:ascii="宋体" w:hAnsi="宋体"/>
                <w:szCs w:val="44"/>
              </w:rPr>
            </w:pPr>
          </w:p>
        </w:tc>
        <w:tc>
          <w:tcPr>
            <w:tcW w:w="1314" w:type="dxa"/>
            <w:vAlign w:val="center"/>
          </w:tcPr>
          <w:p w14:paraId="31833355">
            <w:pPr>
              <w:jc w:val="center"/>
              <w:rPr>
                <w:rFonts w:ascii="宋体" w:hAnsi="宋体"/>
                <w:szCs w:val="44"/>
              </w:rPr>
            </w:pPr>
          </w:p>
        </w:tc>
        <w:tc>
          <w:tcPr>
            <w:tcW w:w="1313" w:type="dxa"/>
            <w:vAlign w:val="center"/>
          </w:tcPr>
          <w:p w14:paraId="44846E41">
            <w:pPr>
              <w:jc w:val="center"/>
              <w:rPr>
                <w:rFonts w:ascii="宋体" w:hAnsi="宋体"/>
                <w:szCs w:val="44"/>
              </w:rPr>
            </w:pPr>
          </w:p>
        </w:tc>
        <w:tc>
          <w:tcPr>
            <w:tcW w:w="1314" w:type="dxa"/>
            <w:vAlign w:val="center"/>
          </w:tcPr>
          <w:p w14:paraId="05729924">
            <w:pPr>
              <w:jc w:val="center"/>
              <w:rPr>
                <w:rFonts w:ascii="宋体" w:hAnsi="宋体"/>
                <w:szCs w:val="44"/>
              </w:rPr>
            </w:pPr>
          </w:p>
        </w:tc>
        <w:tc>
          <w:tcPr>
            <w:tcW w:w="1314" w:type="dxa"/>
            <w:vAlign w:val="center"/>
          </w:tcPr>
          <w:p w14:paraId="5E3CCB96">
            <w:pPr>
              <w:jc w:val="center"/>
              <w:rPr>
                <w:rFonts w:ascii="宋体" w:hAnsi="宋体"/>
                <w:szCs w:val="44"/>
              </w:rPr>
            </w:pPr>
          </w:p>
        </w:tc>
        <w:tc>
          <w:tcPr>
            <w:tcW w:w="1179" w:type="dxa"/>
            <w:vAlign w:val="center"/>
          </w:tcPr>
          <w:p w14:paraId="023E4DEC">
            <w:pPr>
              <w:jc w:val="center"/>
              <w:rPr>
                <w:rFonts w:ascii="宋体" w:hAnsi="宋体"/>
                <w:szCs w:val="44"/>
              </w:rPr>
            </w:pPr>
          </w:p>
        </w:tc>
        <w:tc>
          <w:tcPr>
            <w:tcW w:w="2020" w:type="dxa"/>
            <w:vAlign w:val="center"/>
          </w:tcPr>
          <w:p w14:paraId="34737525">
            <w:pPr>
              <w:jc w:val="center"/>
              <w:rPr>
                <w:rFonts w:ascii="宋体" w:hAnsi="宋体"/>
                <w:szCs w:val="44"/>
              </w:rPr>
            </w:pPr>
          </w:p>
        </w:tc>
      </w:tr>
      <w:tr w14:paraId="1B57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3BE5DB14">
            <w:pPr>
              <w:jc w:val="center"/>
              <w:rPr>
                <w:rFonts w:ascii="宋体" w:hAnsi="宋体"/>
                <w:szCs w:val="44"/>
              </w:rPr>
            </w:pPr>
            <w:r>
              <w:rPr>
                <w:rFonts w:hint="eastAsia" w:ascii="宋体" w:hAnsi="宋体"/>
                <w:szCs w:val="44"/>
              </w:rPr>
              <w:t>5</w:t>
            </w:r>
          </w:p>
        </w:tc>
        <w:tc>
          <w:tcPr>
            <w:tcW w:w="1753" w:type="dxa"/>
            <w:tcBorders>
              <w:bottom w:val="single" w:color="auto" w:sz="4" w:space="0"/>
            </w:tcBorders>
            <w:vAlign w:val="center"/>
          </w:tcPr>
          <w:p w14:paraId="1037F38D">
            <w:pPr>
              <w:jc w:val="center"/>
              <w:rPr>
                <w:rFonts w:ascii="宋体" w:hAnsi="宋体"/>
                <w:szCs w:val="44"/>
              </w:rPr>
            </w:pPr>
          </w:p>
        </w:tc>
        <w:tc>
          <w:tcPr>
            <w:tcW w:w="1313" w:type="dxa"/>
            <w:tcBorders>
              <w:bottom w:val="single" w:color="auto" w:sz="4" w:space="0"/>
            </w:tcBorders>
            <w:vAlign w:val="center"/>
          </w:tcPr>
          <w:p w14:paraId="3CE4A930">
            <w:pPr>
              <w:jc w:val="center"/>
            </w:pPr>
          </w:p>
        </w:tc>
        <w:tc>
          <w:tcPr>
            <w:tcW w:w="1314" w:type="dxa"/>
            <w:tcBorders>
              <w:bottom w:val="single" w:color="auto" w:sz="4" w:space="0"/>
            </w:tcBorders>
            <w:vAlign w:val="center"/>
          </w:tcPr>
          <w:p w14:paraId="15964C4B">
            <w:pPr>
              <w:jc w:val="center"/>
              <w:rPr>
                <w:rFonts w:ascii="宋体" w:hAnsi="宋体"/>
                <w:szCs w:val="44"/>
              </w:rPr>
            </w:pPr>
          </w:p>
        </w:tc>
        <w:tc>
          <w:tcPr>
            <w:tcW w:w="1314" w:type="dxa"/>
            <w:tcBorders>
              <w:bottom w:val="single" w:color="auto" w:sz="4" w:space="0"/>
            </w:tcBorders>
            <w:vAlign w:val="center"/>
          </w:tcPr>
          <w:p w14:paraId="4DFFDB61">
            <w:pPr>
              <w:jc w:val="center"/>
              <w:rPr>
                <w:rFonts w:ascii="宋体" w:hAnsi="宋体"/>
                <w:szCs w:val="44"/>
              </w:rPr>
            </w:pPr>
          </w:p>
        </w:tc>
        <w:tc>
          <w:tcPr>
            <w:tcW w:w="1313" w:type="dxa"/>
            <w:tcBorders>
              <w:bottom w:val="single" w:color="auto" w:sz="4" w:space="0"/>
            </w:tcBorders>
            <w:vAlign w:val="center"/>
          </w:tcPr>
          <w:p w14:paraId="02D2E622">
            <w:pPr>
              <w:jc w:val="center"/>
              <w:rPr>
                <w:rFonts w:ascii="宋体" w:hAnsi="宋体"/>
                <w:szCs w:val="44"/>
              </w:rPr>
            </w:pPr>
          </w:p>
        </w:tc>
        <w:tc>
          <w:tcPr>
            <w:tcW w:w="1314" w:type="dxa"/>
            <w:tcBorders>
              <w:bottom w:val="single" w:color="auto" w:sz="4" w:space="0"/>
            </w:tcBorders>
            <w:vAlign w:val="center"/>
          </w:tcPr>
          <w:p w14:paraId="5E77CB49">
            <w:pPr>
              <w:jc w:val="center"/>
              <w:rPr>
                <w:rFonts w:ascii="宋体" w:hAnsi="宋体"/>
                <w:szCs w:val="44"/>
              </w:rPr>
            </w:pPr>
          </w:p>
        </w:tc>
        <w:tc>
          <w:tcPr>
            <w:tcW w:w="1314" w:type="dxa"/>
            <w:tcBorders>
              <w:bottom w:val="single" w:color="auto" w:sz="4" w:space="0"/>
            </w:tcBorders>
            <w:vAlign w:val="center"/>
          </w:tcPr>
          <w:p w14:paraId="006FE71D">
            <w:pPr>
              <w:jc w:val="center"/>
              <w:rPr>
                <w:rFonts w:ascii="宋体" w:hAnsi="宋体"/>
                <w:szCs w:val="44"/>
              </w:rPr>
            </w:pPr>
          </w:p>
        </w:tc>
        <w:tc>
          <w:tcPr>
            <w:tcW w:w="1179" w:type="dxa"/>
            <w:tcBorders>
              <w:bottom w:val="single" w:color="auto" w:sz="4" w:space="0"/>
            </w:tcBorders>
            <w:vAlign w:val="center"/>
          </w:tcPr>
          <w:p w14:paraId="591A2287">
            <w:pPr>
              <w:jc w:val="center"/>
              <w:rPr>
                <w:rFonts w:ascii="宋体" w:hAnsi="宋体"/>
                <w:szCs w:val="44"/>
              </w:rPr>
            </w:pPr>
          </w:p>
        </w:tc>
        <w:tc>
          <w:tcPr>
            <w:tcW w:w="2020" w:type="dxa"/>
            <w:tcBorders>
              <w:bottom w:val="single" w:color="auto" w:sz="4" w:space="0"/>
            </w:tcBorders>
            <w:vAlign w:val="center"/>
          </w:tcPr>
          <w:p w14:paraId="0B4ABE44">
            <w:pPr>
              <w:jc w:val="center"/>
              <w:rPr>
                <w:rFonts w:ascii="宋体" w:hAnsi="宋体"/>
                <w:szCs w:val="44"/>
              </w:rPr>
            </w:pPr>
          </w:p>
        </w:tc>
      </w:tr>
      <w:tr w14:paraId="0E4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07B2262">
            <w:pPr>
              <w:jc w:val="center"/>
              <w:rPr>
                <w:rFonts w:ascii="宋体" w:hAnsi="宋体"/>
                <w:szCs w:val="44"/>
              </w:rPr>
            </w:pPr>
            <w:r>
              <w:rPr>
                <w:rFonts w:hint="eastAsia" w:ascii="宋体" w:hAnsi="宋体"/>
                <w:szCs w:val="44"/>
              </w:rPr>
              <w:t>…</w:t>
            </w:r>
            <w:r>
              <w:rPr>
                <w:rFonts w:ascii="宋体" w:hAnsi="宋体"/>
                <w:szCs w:val="44"/>
              </w:rPr>
              <w:t>…</w:t>
            </w:r>
          </w:p>
        </w:tc>
        <w:tc>
          <w:tcPr>
            <w:tcW w:w="1753" w:type="dxa"/>
            <w:tcBorders>
              <w:top w:val="single" w:color="auto" w:sz="4" w:space="0"/>
              <w:left w:val="single" w:color="auto" w:sz="4" w:space="0"/>
              <w:bottom w:val="single" w:color="auto" w:sz="4" w:space="0"/>
              <w:right w:val="single" w:color="auto" w:sz="4" w:space="0"/>
            </w:tcBorders>
            <w:vAlign w:val="center"/>
          </w:tcPr>
          <w:p w14:paraId="06BF2FBC">
            <w:pPr>
              <w:rPr>
                <w:rFonts w:ascii="宋体" w:hAnsi="宋体"/>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891D2BA">
            <w:pPr>
              <w:jc w:val="center"/>
            </w:pPr>
          </w:p>
        </w:tc>
        <w:tc>
          <w:tcPr>
            <w:tcW w:w="1314" w:type="dxa"/>
            <w:tcBorders>
              <w:top w:val="single" w:color="auto" w:sz="4" w:space="0"/>
              <w:left w:val="single" w:color="auto" w:sz="4" w:space="0"/>
              <w:bottom w:val="single" w:color="auto" w:sz="4" w:space="0"/>
              <w:right w:val="single" w:color="auto" w:sz="4" w:space="0"/>
            </w:tcBorders>
            <w:vAlign w:val="center"/>
          </w:tcPr>
          <w:p w14:paraId="67E860C1">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1DC40E05">
            <w:pPr>
              <w:jc w:val="center"/>
              <w:rPr>
                <w:rFonts w:ascii="宋体" w:hAnsi="宋体"/>
                <w:szCs w:val="44"/>
              </w:rPr>
            </w:pPr>
          </w:p>
        </w:tc>
        <w:tc>
          <w:tcPr>
            <w:tcW w:w="1313" w:type="dxa"/>
            <w:tcBorders>
              <w:top w:val="single" w:color="auto" w:sz="4" w:space="0"/>
              <w:left w:val="single" w:color="auto" w:sz="4" w:space="0"/>
              <w:bottom w:val="single" w:color="auto" w:sz="4" w:space="0"/>
              <w:right w:val="single" w:color="auto" w:sz="4" w:space="0"/>
            </w:tcBorders>
            <w:vAlign w:val="center"/>
          </w:tcPr>
          <w:p w14:paraId="416EEAD4">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39FDC791">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6FC88EB6">
            <w:pPr>
              <w:jc w:val="center"/>
              <w:rPr>
                <w:rFonts w:ascii="宋体" w:hAnsi="宋体"/>
                <w:szCs w:val="44"/>
              </w:rPr>
            </w:pPr>
          </w:p>
        </w:tc>
        <w:tc>
          <w:tcPr>
            <w:tcW w:w="1179" w:type="dxa"/>
            <w:tcBorders>
              <w:top w:val="single" w:color="auto" w:sz="4" w:space="0"/>
              <w:left w:val="single" w:color="auto" w:sz="4" w:space="0"/>
              <w:bottom w:val="single" w:color="auto" w:sz="4" w:space="0"/>
              <w:right w:val="single" w:color="auto" w:sz="4" w:space="0"/>
            </w:tcBorders>
            <w:vAlign w:val="center"/>
          </w:tcPr>
          <w:p w14:paraId="33ADA86B">
            <w:pPr>
              <w:jc w:val="center"/>
              <w:rPr>
                <w:rFonts w:ascii="宋体" w:hAnsi="宋体"/>
                <w:szCs w:val="44"/>
              </w:rPr>
            </w:pPr>
          </w:p>
        </w:tc>
        <w:tc>
          <w:tcPr>
            <w:tcW w:w="2020" w:type="dxa"/>
            <w:tcBorders>
              <w:top w:val="single" w:color="auto" w:sz="4" w:space="0"/>
              <w:left w:val="single" w:color="auto" w:sz="4" w:space="0"/>
              <w:bottom w:val="single" w:color="auto" w:sz="4" w:space="0"/>
              <w:right w:val="single" w:color="auto" w:sz="4" w:space="0"/>
            </w:tcBorders>
            <w:vAlign w:val="center"/>
          </w:tcPr>
          <w:p w14:paraId="2BE9785F">
            <w:pPr>
              <w:jc w:val="center"/>
              <w:rPr>
                <w:rFonts w:ascii="宋体" w:hAnsi="宋体"/>
                <w:szCs w:val="44"/>
              </w:rPr>
            </w:pPr>
          </w:p>
        </w:tc>
      </w:tr>
      <w:tr w14:paraId="1A36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4571249C">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452E6087">
            <w:pPr>
              <w:jc w:val="left"/>
              <w:rPr>
                <w:rFonts w:ascii="宋体" w:hAnsi="宋体"/>
                <w:szCs w:val="44"/>
              </w:rPr>
            </w:pPr>
          </w:p>
          <w:p w14:paraId="06C507B0">
            <w:pPr>
              <w:jc w:val="left"/>
              <w:rPr>
                <w:rFonts w:ascii="宋体" w:hAnsi="宋体"/>
                <w:szCs w:val="44"/>
              </w:rPr>
            </w:pPr>
          </w:p>
          <w:p w14:paraId="1AD47A02">
            <w:pPr>
              <w:jc w:val="center"/>
              <w:rPr>
                <w:rFonts w:ascii="宋体" w:hAnsi="宋体"/>
                <w:szCs w:val="44"/>
              </w:rPr>
            </w:pPr>
          </w:p>
        </w:tc>
      </w:tr>
    </w:tbl>
    <w:p w14:paraId="786FB58F">
      <w:pPr>
        <w:ind w:right="420"/>
        <w:jc w:val="right"/>
      </w:pPr>
      <w:r>
        <w:rPr>
          <w:rFonts w:hint="eastAsia"/>
        </w:rPr>
        <w:t xml:space="preserve">   日期：      年    月   日</w:t>
      </w:r>
    </w:p>
    <w:bookmarkEnd w:id="703"/>
    <w:p w14:paraId="6D9831B5"/>
    <w:p w14:paraId="4D1BA929">
      <w:r>
        <w:br w:type="page"/>
      </w:r>
    </w:p>
    <w:p w14:paraId="74471922">
      <w:pPr>
        <w:pStyle w:val="25"/>
        <w:rPr>
          <w:rFonts w:ascii="黑体"/>
        </w:rPr>
      </w:pPr>
      <w:bookmarkStart w:id="704" w:name="_Toc165804461"/>
      <w:bookmarkStart w:id="705" w:name="_Toc256000144"/>
      <w:r>
        <w:rPr>
          <w:rFonts w:hint="eastAsia"/>
        </w:rPr>
        <w:t>附表A-1</w:t>
      </w:r>
      <w:r>
        <w:t>5</w:t>
      </w:r>
      <w:r>
        <w:rPr>
          <w:rFonts w:hint="eastAsia"/>
        </w:rPr>
        <w:t>：详细评审评分汇总表</w:t>
      </w:r>
      <w:bookmarkEnd w:id="704"/>
      <w:bookmarkEnd w:id="705"/>
    </w:p>
    <w:p w14:paraId="43264251">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详细评审评分汇总表</w:t>
      </w:r>
    </w:p>
    <w:p w14:paraId="0497E425">
      <w:pPr>
        <w:rPr>
          <w:rFonts w:ascii="宋体" w:hAnsi="宋体"/>
          <w:szCs w:val="44"/>
        </w:rPr>
      </w:pPr>
      <w:bookmarkStart w:id="706" w:name="_Hlk150333034"/>
      <w:r>
        <w:rPr>
          <w:rFonts w:hint="eastAsia" w:ascii="宋体" w:hAnsi="宋体"/>
          <w:szCs w:val="44"/>
        </w:rPr>
        <w:t>标段名称：</w:t>
      </w:r>
    </w:p>
    <w:p w14:paraId="05645153">
      <w:pPr>
        <w:rPr>
          <w:szCs w:val="44"/>
        </w:rPr>
      </w:pPr>
      <w:r>
        <w:rPr>
          <w:rFonts w:hint="eastAsia"/>
          <w:szCs w:val="44"/>
        </w:rPr>
        <w:t>标段唯一标识码：</w:t>
      </w:r>
    </w:p>
    <w:tbl>
      <w:tblPr>
        <w:tblStyle w:val="17"/>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79C4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5CC9C53D">
            <w:pPr>
              <w:jc w:val="center"/>
              <w:rPr>
                <w:rFonts w:ascii="宋体" w:hAnsi="宋体"/>
                <w:b/>
                <w:bCs/>
                <w:szCs w:val="21"/>
              </w:rPr>
            </w:pPr>
            <w:r>
              <w:rPr>
                <w:rFonts w:hint="eastAsia" w:ascii="宋体" w:hAnsi="宋体"/>
                <w:b/>
                <w:bCs/>
                <w:szCs w:val="21"/>
              </w:rPr>
              <w:t>序号</w:t>
            </w:r>
          </w:p>
        </w:tc>
        <w:tc>
          <w:tcPr>
            <w:tcW w:w="2963" w:type="dxa"/>
            <w:vMerge w:val="restart"/>
            <w:vAlign w:val="center"/>
          </w:tcPr>
          <w:p w14:paraId="6D6A9F62">
            <w:pPr>
              <w:jc w:val="center"/>
              <w:rPr>
                <w:rFonts w:ascii="宋体" w:hAnsi="宋体"/>
                <w:b/>
                <w:bCs/>
                <w:szCs w:val="21"/>
              </w:rPr>
            </w:pPr>
            <w:r>
              <w:rPr>
                <w:rFonts w:hint="eastAsia" w:ascii="宋体" w:hAnsi="宋体"/>
                <w:b/>
                <w:bCs/>
                <w:szCs w:val="21"/>
              </w:rPr>
              <w:t>投标人名称</w:t>
            </w:r>
          </w:p>
        </w:tc>
        <w:tc>
          <w:tcPr>
            <w:tcW w:w="7568" w:type="dxa"/>
            <w:gridSpan w:val="4"/>
            <w:vAlign w:val="center"/>
          </w:tcPr>
          <w:p w14:paraId="04881FF5">
            <w:pPr>
              <w:jc w:val="center"/>
              <w:rPr>
                <w:rFonts w:ascii="宋体" w:hAnsi="宋体"/>
                <w:b/>
                <w:bCs/>
                <w:szCs w:val="21"/>
              </w:rPr>
            </w:pPr>
            <w:r>
              <w:rPr>
                <w:rFonts w:hint="eastAsia" w:ascii="宋体" w:hAnsi="宋体"/>
                <w:b/>
                <w:bCs/>
                <w:szCs w:val="21"/>
              </w:rPr>
              <w:t>评审类别评审得分</w:t>
            </w:r>
          </w:p>
        </w:tc>
        <w:tc>
          <w:tcPr>
            <w:tcW w:w="1221" w:type="dxa"/>
            <w:vMerge w:val="restart"/>
            <w:vAlign w:val="center"/>
          </w:tcPr>
          <w:p w14:paraId="093E432D">
            <w:pPr>
              <w:jc w:val="center"/>
              <w:rPr>
                <w:rFonts w:ascii="宋体" w:hAnsi="宋体"/>
                <w:b/>
                <w:bCs/>
                <w:szCs w:val="21"/>
              </w:rPr>
            </w:pPr>
            <w:r>
              <w:rPr>
                <w:rFonts w:hint="eastAsia" w:ascii="宋体" w:hAnsi="宋体"/>
                <w:b/>
                <w:bCs/>
                <w:szCs w:val="21"/>
              </w:rPr>
              <w:t>评审得分汇总</w:t>
            </w:r>
          </w:p>
        </w:tc>
        <w:tc>
          <w:tcPr>
            <w:tcW w:w="1298" w:type="dxa"/>
            <w:vMerge w:val="restart"/>
            <w:vAlign w:val="center"/>
          </w:tcPr>
          <w:p w14:paraId="749693B2">
            <w:pPr>
              <w:jc w:val="center"/>
              <w:rPr>
                <w:rFonts w:ascii="宋体" w:hAnsi="宋体"/>
                <w:b/>
                <w:bCs/>
                <w:szCs w:val="21"/>
              </w:rPr>
            </w:pPr>
            <w:r>
              <w:rPr>
                <w:rFonts w:hint="eastAsia" w:ascii="宋体" w:hAnsi="宋体"/>
                <w:b/>
                <w:bCs/>
                <w:szCs w:val="21"/>
              </w:rPr>
              <w:t>投标人排名</w:t>
            </w:r>
          </w:p>
        </w:tc>
      </w:tr>
      <w:tr w14:paraId="176C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4068BBC0">
            <w:pPr>
              <w:jc w:val="center"/>
              <w:rPr>
                <w:rFonts w:ascii="宋体" w:hAnsi="宋体"/>
                <w:b/>
                <w:bCs/>
                <w:szCs w:val="21"/>
              </w:rPr>
            </w:pPr>
          </w:p>
        </w:tc>
        <w:tc>
          <w:tcPr>
            <w:tcW w:w="2963" w:type="dxa"/>
            <w:vMerge w:val="continue"/>
          </w:tcPr>
          <w:p w14:paraId="5631492A">
            <w:pPr>
              <w:jc w:val="center"/>
              <w:rPr>
                <w:rFonts w:ascii="宋体" w:hAnsi="宋体"/>
                <w:b/>
                <w:bCs/>
                <w:szCs w:val="21"/>
              </w:rPr>
            </w:pPr>
          </w:p>
        </w:tc>
        <w:tc>
          <w:tcPr>
            <w:tcW w:w="1892" w:type="dxa"/>
            <w:vAlign w:val="center"/>
          </w:tcPr>
          <w:p w14:paraId="091902A6">
            <w:pPr>
              <w:jc w:val="center"/>
              <w:rPr>
                <w:rFonts w:ascii="宋体" w:hAnsi="宋体"/>
                <w:b/>
                <w:bCs/>
                <w:szCs w:val="21"/>
              </w:rPr>
            </w:pPr>
            <w:r>
              <w:rPr>
                <w:rFonts w:hint="eastAsia"/>
                <w:b/>
                <w:bCs/>
              </w:rPr>
              <w:t>投标报价</w:t>
            </w:r>
          </w:p>
        </w:tc>
        <w:tc>
          <w:tcPr>
            <w:tcW w:w="1892" w:type="dxa"/>
            <w:vAlign w:val="center"/>
          </w:tcPr>
          <w:p w14:paraId="387BC41C">
            <w:pPr>
              <w:jc w:val="center"/>
              <w:rPr>
                <w:rFonts w:ascii="宋体" w:hAnsi="宋体"/>
                <w:b/>
                <w:bCs/>
                <w:szCs w:val="21"/>
              </w:rPr>
            </w:pPr>
            <w:r>
              <w:rPr>
                <w:rFonts w:hint="eastAsia"/>
                <w:b/>
                <w:bCs/>
              </w:rPr>
              <w:t>技术标</w:t>
            </w:r>
          </w:p>
        </w:tc>
        <w:tc>
          <w:tcPr>
            <w:tcW w:w="1892" w:type="dxa"/>
            <w:vAlign w:val="center"/>
          </w:tcPr>
          <w:p w14:paraId="24C69915">
            <w:pPr>
              <w:jc w:val="center"/>
              <w:rPr>
                <w:rFonts w:ascii="宋体" w:hAnsi="宋体"/>
                <w:b/>
                <w:bCs/>
                <w:szCs w:val="21"/>
              </w:rPr>
            </w:pPr>
            <w:r>
              <w:rPr>
                <w:rFonts w:hint="eastAsia"/>
                <w:b/>
                <w:bCs/>
              </w:rPr>
              <w:t>资信标</w:t>
            </w:r>
          </w:p>
        </w:tc>
        <w:tc>
          <w:tcPr>
            <w:tcW w:w="1892" w:type="dxa"/>
            <w:tcBorders>
              <w:right w:val="single" w:color="auto" w:sz="4" w:space="0"/>
            </w:tcBorders>
            <w:vAlign w:val="center"/>
          </w:tcPr>
          <w:p w14:paraId="414741A8">
            <w:pPr>
              <w:jc w:val="center"/>
              <w:rPr>
                <w:rFonts w:ascii="宋体" w:hAnsi="宋体"/>
                <w:b/>
                <w:bCs/>
                <w:szCs w:val="21"/>
              </w:rPr>
            </w:pPr>
            <w:r>
              <w:rPr>
                <w:rFonts w:hint="eastAsia" w:ascii="宋体" w:hAnsi="宋体"/>
                <w:b/>
                <w:bCs/>
                <w:szCs w:val="21"/>
              </w:rPr>
              <w:t>其他因素</w:t>
            </w:r>
          </w:p>
        </w:tc>
        <w:tc>
          <w:tcPr>
            <w:tcW w:w="1221" w:type="dxa"/>
            <w:vMerge w:val="continue"/>
            <w:vAlign w:val="center"/>
          </w:tcPr>
          <w:p w14:paraId="70345437">
            <w:pPr>
              <w:jc w:val="center"/>
              <w:rPr>
                <w:rFonts w:ascii="宋体" w:hAnsi="宋体"/>
                <w:b/>
                <w:bCs/>
                <w:szCs w:val="21"/>
              </w:rPr>
            </w:pPr>
          </w:p>
        </w:tc>
        <w:tc>
          <w:tcPr>
            <w:tcW w:w="1298" w:type="dxa"/>
            <w:vMerge w:val="continue"/>
            <w:vAlign w:val="center"/>
          </w:tcPr>
          <w:p w14:paraId="76B4F63E">
            <w:pPr>
              <w:jc w:val="center"/>
              <w:rPr>
                <w:rFonts w:ascii="宋体" w:hAnsi="宋体"/>
                <w:b/>
                <w:bCs/>
                <w:szCs w:val="21"/>
              </w:rPr>
            </w:pPr>
          </w:p>
        </w:tc>
      </w:tr>
      <w:tr w14:paraId="691A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806A093">
            <w:pPr>
              <w:jc w:val="center"/>
              <w:rPr>
                <w:rFonts w:ascii="宋体" w:hAnsi="宋体"/>
                <w:szCs w:val="21"/>
              </w:rPr>
            </w:pPr>
            <w:r>
              <w:rPr>
                <w:rFonts w:hint="eastAsia" w:ascii="宋体" w:hAnsi="宋体"/>
                <w:szCs w:val="21"/>
              </w:rPr>
              <w:t>1</w:t>
            </w:r>
          </w:p>
        </w:tc>
        <w:tc>
          <w:tcPr>
            <w:tcW w:w="2963" w:type="dxa"/>
            <w:vAlign w:val="center"/>
          </w:tcPr>
          <w:p w14:paraId="0508DA64">
            <w:pPr>
              <w:jc w:val="center"/>
              <w:rPr>
                <w:rFonts w:ascii="宋体" w:hAnsi="宋体"/>
                <w:szCs w:val="21"/>
              </w:rPr>
            </w:pPr>
          </w:p>
        </w:tc>
        <w:tc>
          <w:tcPr>
            <w:tcW w:w="1892" w:type="dxa"/>
            <w:vAlign w:val="center"/>
          </w:tcPr>
          <w:p w14:paraId="7D3A05A2">
            <w:pPr>
              <w:jc w:val="center"/>
              <w:rPr>
                <w:rFonts w:ascii="宋体" w:hAnsi="宋体"/>
                <w:szCs w:val="21"/>
              </w:rPr>
            </w:pPr>
          </w:p>
        </w:tc>
        <w:tc>
          <w:tcPr>
            <w:tcW w:w="1892" w:type="dxa"/>
            <w:vAlign w:val="center"/>
          </w:tcPr>
          <w:p w14:paraId="45624962">
            <w:pPr>
              <w:jc w:val="center"/>
              <w:rPr>
                <w:rFonts w:ascii="宋体" w:hAnsi="宋体"/>
                <w:szCs w:val="21"/>
              </w:rPr>
            </w:pPr>
          </w:p>
        </w:tc>
        <w:tc>
          <w:tcPr>
            <w:tcW w:w="1892" w:type="dxa"/>
            <w:vAlign w:val="center"/>
          </w:tcPr>
          <w:p w14:paraId="55C434CA">
            <w:pPr>
              <w:jc w:val="center"/>
              <w:rPr>
                <w:rFonts w:ascii="宋体" w:hAnsi="宋体"/>
                <w:szCs w:val="21"/>
              </w:rPr>
            </w:pPr>
          </w:p>
        </w:tc>
        <w:tc>
          <w:tcPr>
            <w:tcW w:w="1892" w:type="dxa"/>
            <w:tcBorders>
              <w:right w:val="single" w:color="auto" w:sz="4" w:space="0"/>
            </w:tcBorders>
            <w:vAlign w:val="center"/>
          </w:tcPr>
          <w:p w14:paraId="71878324">
            <w:pPr>
              <w:jc w:val="center"/>
              <w:rPr>
                <w:rFonts w:ascii="宋体" w:hAnsi="宋体"/>
                <w:szCs w:val="21"/>
              </w:rPr>
            </w:pPr>
          </w:p>
        </w:tc>
        <w:tc>
          <w:tcPr>
            <w:tcW w:w="1221" w:type="dxa"/>
            <w:tcBorders>
              <w:right w:val="single" w:color="auto" w:sz="4" w:space="0"/>
            </w:tcBorders>
            <w:vAlign w:val="center"/>
          </w:tcPr>
          <w:p w14:paraId="36DC90BC">
            <w:pPr>
              <w:jc w:val="center"/>
              <w:rPr>
                <w:rFonts w:ascii="宋体" w:hAnsi="宋体"/>
                <w:szCs w:val="21"/>
              </w:rPr>
            </w:pPr>
          </w:p>
        </w:tc>
        <w:tc>
          <w:tcPr>
            <w:tcW w:w="1298" w:type="dxa"/>
            <w:tcBorders>
              <w:right w:val="single" w:color="auto" w:sz="4" w:space="0"/>
            </w:tcBorders>
            <w:vAlign w:val="center"/>
          </w:tcPr>
          <w:p w14:paraId="363E7BD9">
            <w:pPr>
              <w:jc w:val="center"/>
              <w:rPr>
                <w:rFonts w:ascii="宋体" w:hAnsi="宋体"/>
                <w:szCs w:val="21"/>
              </w:rPr>
            </w:pPr>
          </w:p>
        </w:tc>
      </w:tr>
      <w:tr w14:paraId="250A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AB620B9">
            <w:pPr>
              <w:jc w:val="center"/>
              <w:rPr>
                <w:rFonts w:ascii="宋体" w:hAnsi="宋体"/>
                <w:szCs w:val="21"/>
              </w:rPr>
            </w:pPr>
            <w:r>
              <w:rPr>
                <w:rFonts w:hint="eastAsia" w:ascii="宋体" w:hAnsi="宋体"/>
                <w:szCs w:val="21"/>
              </w:rPr>
              <w:t>2</w:t>
            </w:r>
          </w:p>
        </w:tc>
        <w:tc>
          <w:tcPr>
            <w:tcW w:w="2963" w:type="dxa"/>
            <w:vAlign w:val="center"/>
          </w:tcPr>
          <w:p w14:paraId="1A938CAF">
            <w:pPr>
              <w:jc w:val="center"/>
              <w:rPr>
                <w:rFonts w:ascii="宋体" w:hAnsi="宋体"/>
                <w:szCs w:val="21"/>
              </w:rPr>
            </w:pPr>
          </w:p>
        </w:tc>
        <w:tc>
          <w:tcPr>
            <w:tcW w:w="1892" w:type="dxa"/>
            <w:vAlign w:val="center"/>
          </w:tcPr>
          <w:p w14:paraId="7A82D782">
            <w:pPr>
              <w:jc w:val="center"/>
              <w:rPr>
                <w:rFonts w:ascii="宋体" w:hAnsi="宋体"/>
                <w:szCs w:val="21"/>
              </w:rPr>
            </w:pPr>
          </w:p>
        </w:tc>
        <w:tc>
          <w:tcPr>
            <w:tcW w:w="1892" w:type="dxa"/>
            <w:vAlign w:val="center"/>
          </w:tcPr>
          <w:p w14:paraId="12FF16E9">
            <w:pPr>
              <w:jc w:val="center"/>
              <w:rPr>
                <w:rFonts w:ascii="宋体" w:hAnsi="宋体"/>
                <w:szCs w:val="21"/>
              </w:rPr>
            </w:pPr>
          </w:p>
        </w:tc>
        <w:tc>
          <w:tcPr>
            <w:tcW w:w="1892" w:type="dxa"/>
            <w:vAlign w:val="center"/>
          </w:tcPr>
          <w:p w14:paraId="7B332F07">
            <w:pPr>
              <w:jc w:val="center"/>
              <w:rPr>
                <w:rFonts w:ascii="宋体" w:hAnsi="宋体"/>
                <w:szCs w:val="21"/>
              </w:rPr>
            </w:pPr>
          </w:p>
        </w:tc>
        <w:tc>
          <w:tcPr>
            <w:tcW w:w="1892" w:type="dxa"/>
            <w:tcBorders>
              <w:right w:val="single" w:color="auto" w:sz="4" w:space="0"/>
            </w:tcBorders>
            <w:vAlign w:val="center"/>
          </w:tcPr>
          <w:p w14:paraId="1916DCFC">
            <w:pPr>
              <w:jc w:val="center"/>
              <w:rPr>
                <w:rFonts w:ascii="宋体" w:hAnsi="宋体"/>
                <w:szCs w:val="21"/>
              </w:rPr>
            </w:pPr>
          </w:p>
        </w:tc>
        <w:tc>
          <w:tcPr>
            <w:tcW w:w="1221" w:type="dxa"/>
            <w:tcBorders>
              <w:right w:val="single" w:color="auto" w:sz="4" w:space="0"/>
            </w:tcBorders>
            <w:vAlign w:val="center"/>
          </w:tcPr>
          <w:p w14:paraId="22AF5033">
            <w:pPr>
              <w:jc w:val="center"/>
              <w:rPr>
                <w:rFonts w:ascii="宋体" w:hAnsi="宋体"/>
                <w:szCs w:val="21"/>
              </w:rPr>
            </w:pPr>
          </w:p>
        </w:tc>
        <w:tc>
          <w:tcPr>
            <w:tcW w:w="1298" w:type="dxa"/>
            <w:tcBorders>
              <w:right w:val="single" w:color="auto" w:sz="4" w:space="0"/>
            </w:tcBorders>
            <w:vAlign w:val="center"/>
          </w:tcPr>
          <w:p w14:paraId="64B46D63">
            <w:pPr>
              <w:jc w:val="center"/>
              <w:rPr>
                <w:rFonts w:ascii="宋体" w:hAnsi="宋体"/>
                <w:szCs w:val="21"/>
              </w:rPr>
            </w:pPr>
          </w:p>
        </w:tc>
      </w:tr>
      <w:tr w14:paraId="03B5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39A19BF">
            <w:pPr>
              <w:jc w:val="center"/>
              <w:rPr>
                <w:rFonts w:ascii="宋体" w:hAnsi="宋体"/>
                <w:szCs w:val="21"/>
              </w:rPr>
            </w:pPr>
            <w:r>
              <w:rPr>
                <w:rFonts w:hint="eastAsia" w:ascii="宋体" w:hAnsi="宋体"/>
                <w:szCs w:val="21"/>
              </w:rPr>
              <w:t>3</w:t>
            </w:r>
          </w:p>
        </w:tc>
        <w:tc>
          <w:tcPr>
            <w:tcW w:w="2963" w:type="dxa"/>
            <w:vAlign w:val="center"/>
          </w:tcPr>
          <w:p w14:paraId="7C251EC1">
            <w:pPr>
              <w:jc w:val="center"/>
              <w:rPr>
                <w:rFonts w:ascii="宋体" w:hAnsi="宋体"/>
                <w:szCs w:val="21"/>
              </w:rPr>
            </w:pPr>
          </w:p>
        </w:tc>
        <w:tc>
          <w:tcPr>
            <w:tcW w:w="1892" w:type="dxa"/>
            <w:vAlign w:val="center"/>
          </w:tcPr>
          <w:p w14:paraId="2B491F16">
            <w:pPr>
              <w:jc w:val="center"/>
              <w:rPr>
                <w:rFonts w:ascii="宋体" w:hAnsi="宋体"/>
                <w:szCs w:val="21"/>
              </w:rPr>
            </w:pPr>
          </w:p>
        </w:tc>
        <w:tc>
          <w:tcPr>
            <w:tcW w:w="1892" w:type="dxa"/>
            <w:vAlign w:val="center"/>
          </w:tcPr>
          <w:p w14:paraId="67349A1C">
            <w:pPr>
              <w:jc w:val="center"/>
              <w:rPr>
                <w:rFonts w:ascii="宋体" w:hAnsi="宋体"/>
                <w:szCs w:val="21"/>
              </w:rPr>
            </w:pPr>
          </w:p>
        </w:tc>
        <w:tc>
          <w:tcPr>
            <w:tcW w:w="1892" w:type="dxa"/>
            <w:vAlign w:val="center"/>
          </w:tcPr>
          <w:p w14:paraId="2D65B659">
            <w:pPr>
              <w:jc w:val="center"/>
              <w:rPr>
                <w:rFonts w:ascii="宋体" w:hAnsi="宋体"/>
                <w:szCs w:val="21"/>
              </w:rPr>
            </w:pPr>
          </w:p>
        </w:tc>
        <w:tc>
          <w:tcPr>
            <w:tcW w:w="1892" w:type="dxa"/>
            <w:tcBorders>
              <w:right w:val="single" w:color="auto" w:sz="4" w:space="0"/>
            </w:tcBorders>
            <w:vAlign w:val="center"/>
          </w:tcPr>
          <w:p w14:paraId="216642C9">
            <w:pPr>
              <w:jc w:val="center"/>
              <w:rPr>
                <w:rFonts w:ascii="宋体" w:hAnsi="宋体"/>
                <w:szCs w:val="21"/>
              </w:rPr>
            </w:pPr>
          </w:p>
        </w:tc>
        <w:tc>
          <w:tcPr>
            <w:tcW w:w="1221" w:type="dxa"/>
            <w:tcBorders>
              <w:right w:val="single" w:color="auto" w:sz="4" w:space="0"/>
            </w:tcBorders>
            <w:vAlign w:val="center"/>
          </w:tcPr>
          <w:p w14:paraId="763EF17B">
            <w:pPr>
              <w:jc w:val="center"/>
              <w:rPr>
                <w:rFonts w:ascii="宋体" w:hAnsi="宋体"/>
                <w:szCs w:val="21"/>
              </w:rPr>
            </w:pPr>
          </w:p>
        </w:tc>
        <w:tc>
          <w:tcPr>
            <w:tcW w:w="1298" w:type="dxa"/>
            <w:tcBorders>
              <w:right w:val="single" w:color="auto" w:sz="4" w:space="0"/>
            </w:tcBorders>
            <w:vAlign w:val="center"/>
          </w:tcPr>
          <w:p w14:paraId="1C45BE9C">
            <w:pPr>
              <w:jc w:val="center"/>
              <w:rPr>
                <w:rFonts w:ascii="宋体" w:hAnsi="宋体"/>
                <w:szCs w:val="21"/>
              </w:rPr>
            </w:pPr>
          </w:p>
        </w:tc>
      </w:tr>
      <w:tr w14:paraId="0D1A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B48E0B4">
            <w:pPr>
              <w:jc w:val="center"/>
              <w:rPr>
                <w:rFonts w:ascii="宋体" w:hAnsi="宋体"/>
                <w:szCs w:val="21"/>
              </w:rPr>
            </w:pPr>
            <w:r>
              <w:rPr>
                <w:rFonts w:hint="eastAsia" w:ascii="宋体" w:hAnsi="宋体"/>
                <w:szCs w:val="21"/>
              </w:rPr>
              <w:t>4</w:t>
            </w:r>
          </w:p>
        </w:tc>
        <w:tc>
          <w:tcPr>
            <w:tcW w:w="2963" w:type="dxa"/>
            <w:vAlign w:val="center"/>
          </w:tcPr>
          <w:p w14:paraId="0FD5CA14">
            <w:pPr>
              <w:jc w:val="center"/>
              <w:rPr>
                <w:rFonts w:ascii="宋体" w:hAnsi="宋体"/>
                <w:szCs w:val="21"/>
              </w:rPr>
            </w:pPr>
          </w:p>
        </w:tc>
        <w:tc>
          <w:tcPr>
            <w:tcW w:w="1892" w:type="dxa"/>
            <w:vAlign w:val="center"/>
          </w:tcPr>
          <w:p w14:paraId="270FE232">
            <w:pPr>
              <w:jc w:val="center"/>
              <w:rPr>
                <w:rFonts w:ascii="宋体" w:hAnsi="宋体"/>
                <w:szCs w:val="21"/>
              </w:rPr>
            </w:pPr>
          </w:p>
        </w:tc>
        <w:tc>
          <w:tcPr>
            <w:tcW w:w="1892" w:type="dxa"/>
            <w:vAlign w:val="center"/>
          </w:tcPr>
          <w:p w14:paraId="3D328CFE">
            <w:pPr>
              <w:jc w:val="center"/>
              <w:rPr>
                <w:rFonts w:ascii="宋体" w:hAnsi="宋体"/>
                <w:szCs w:val="21"/>
              </w:rPr>
            </w:pPr>
          </w:p>
        </w:tc>
        <w:tc>
          <w:tcPr>
            <w:tcW w:w="1892" w:type="dxa"/>
            <w:vAlign w:val="center"/>
          </w:tcPr>
          <w:p w14:paraId="1A3A8F78">
            <w:pPr>
              <w:jc w:val="center"/>
              <w:rPr>
                <w:rFonts w:ascii="宋体" w:hAnsi="宋体"/>
                <w:szCs w:val="21"/>
              </w:rPr>
            </w:pPr>
          </w:p>
        </w:tc>
        <w:tc>
          <w:tcPr>
            <w:tcW w:w="1892" w:type="dxa"/>
            <w:tcBorders>
              <w:right w:val="single" w:color="auto" w:sz="4" w:space="0"/>
            </w:tcBorders>
            <w:vAlign w:val="center"/>
          </w:tcPr>
          <w:p w14:paraId="0F44D446">
            <w:pPr>
              <w:jc w:val="center"/>
              <w:rPr>
                <w:rFonts w:ascii="宋体" w:hAnsi="宋体"/>
                <w:szCs w:val="21"/>
              </w:rPr>
            </w:pPr>
          </w:p>
        </w:tc>
        <w:tc>
          <w:tcPr>
            <w:tcW w:w="1221" w:type="dxa"/>
            <w:tcBorders>
              <w:right w:val="single" w:color="auto" w:sz="4" w:space="0"/>
            </w:tcBorders>
            <w:vAlign w:val="center"/>
          </w:tcPr>
          <w:p w14:paraId="2AF73B2B">
            <w:pPr>
              <w:jc w:val="center"/>
              <w:rPr>
                <w:rFonts w:ascii="宋体" w:hAnsi="宋体"/>
                <w:szCs w:val="21"/>
              </w:rPr>
            </w:pPr>
          </w:p>
        </w:tc>
        <w:tc>
          <w:tcPr>
            <w:tcW w:w="1298" w:type="dxa"/>
            <w:tcBorders>
              <w:right w:val="single" w:color="auto" w:sz="4" w:space="0"/>
            </w:tcBorders>
            <w:vAlign w:val="center"/>
          </w:tcPr>
          <w:p w14:paraId="7C7BF2F0">
            <w:pPr>
              <w:jc w:val="center"/>
              <w:rPr>
                <w:rFonts w:ascii="宋体" w:hAnsi="宋体"/>
                <w:szCs w:val="21"/>
              </w:rPr>
            </w:pPr>
          </w:p>
        </w:tc>
      </w:tr>
      <w:tr w14:paraId="631E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754442D">
            <w:pPr>
              <w:jc w:val="center"/>
              <w:rPr>
                <w:rFonts w:ascii="宋体" w:hAnsi="宋体"/>
                <w:szCs w:val="21"/>
              </w:rPr>
            </w:pPr>
            <w:r>
              <w:rPr>
                <w:rFonts w:hint="eastAsia" w:ascii="宋体" w:hAnsi="宋体"/>
                <w:szCs w:val="21"/>
              </w:rPr>
              <w:t>5</w:t>
            </w:r>
          </w:p>
        </w:tc>
        <w:tc>
          <w:tcPr>
            <w:tcW w:w="2963" w:type="dxa"/>
            <w:vAlign w:val="center"/>
          </w:tcPr>
          <w:p w14:paraId="7E42EEE6">
            <w:pPr>
              <w:jc w:val="center"/>
              <w:rPr>
                <w:rFonts w:ascii="宋体" w:hAnsi="宋体"/>
                <w:szCs w:val="21"/>
              </w:rPr>
            </w:pPr>
          </w:p>
        </w:tc>
        <w:tc>
          <w:tcPr>
            <w:tcW w:w="1892" w:type="dxa"/>
            <w:vAlign w:val="center"/>
          </w:tcPr>
          <w:p w14:paraId="74FEDAD0">
            <w:pPr>
              <w:jc w:val="center"/>
              <w:rPr>
                <w:rFonts w:ascii="宋体" w:hAnsi="宋体"/>
                <w:szCs w:val="21"/>
              </w:rPr>
            </w:pPr>
          </w:p>
        </w:tc>
        <w:tc>
          <w:tcPr>
            <w:tcW w:w="1892" w:type="dxa"/>
            <w:vAlign w:val="center"/>
          </w:tcPr>
          <w:p w14:paraId="034477A9">
            <w:pPr>
              <w:jc w:val="center"/>
              <w:rPr>
                <w:rFonts w:ascii="宋体" w:hAnsi="宋体"/>
                <w:szCs w:val="21"/>
              </w:rPr>
            </w:pPr>
          </w:p>
        </w:tc>
        <w:tc>
          <w:tcPr>
            <w:tcW w:w="1892" w:type="dxa"/>
            <w:vAlign w:val="center"/>
          </w:tcPr>
          <w:p w14:paraId="40C8AF51">
            <w:pPr>
              <w:jc w:val="center"/>
              <w:rPr>
                <w:rFonts w:ascii="宋体" w:hAnsi="宋体"/>
                <w:szCs w:val="21"/>
              </w:rPr>
            </w:pPr>
          </w:p>
        </w:tc>
        <w:tc>
          <w:tcPr>
            <w:tcW w:w="1892" w:type="dxa"/>
            <w:tcBorders>
              <w:right w:val="single" w:color="auto" w:sz="4" w:space="0"/>
            </w:tcBorders>
            <w:vAlign w:val="center"/>
          </w:tcPr>
          <w:p w14:paraId="5F2B4EDF">
            <w:pPr>
              <w:jc w:val="center"/>
              <w:rPr>
                <w:rFonts w:ascii="宋体" w:hAnsi="宋体"/>
                <w:szCs w:val="21"/>
              </w:rPr>
            </w:pPr>
          </w:p>
        </w:tc>
        <w:tc>
          <w:tcPr>
            <w:tcW w:w="1221" w:type="dxa"/>
            <w:tcBorders>
              <w:right w:val="single" w:color="auto" w:sz="4" w:space="0"/>
            </w:tcBorders>
            <w:vAlign w:val="center"/>
          </w:tcPr>
          <w:p w14:paraId="1CD3E5D3">
            <w:pPr>
              <w:jc w:val="center"/>
              <w:rPr>
                <w:rFonts w:ascii="宋体" w:hAnsi="宋体"/>
                <w:szCs w:val="21"/>
              </w:rPr>
            </w:pPr>
          </w:p>
        </w:tc>
        <w:tc>
          <w:tcPr>
            <w:tcW w:w="1298" w:type="dxa"/>
            <w:tcBorders>
              <w:right w:val="single" w:color="auto" w:sz="4" w:space="0"/>
            </w:tcBorders>
            <w:vAlign w:val="center"/>
          </w:tcPr>
          <w:p w14:paraId="3F158033">
            <w:pPr>
              <w:jc w:val="center"/>
              <w:rPr>
                <w:rFonts w:ascii="宋体" w:hAnsi="宋体"/>
                <w:szCs w:val="21"/>
              </w:rPr>
            </w:pPr>
          </w:p>
        </w:tc>
      </w:tr>
      <w:tr w14:paraId="5B04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7946D0D">
            <w:pPr>
              <w:jc w:val="center"/>
              <w:rPr>
                <w:rFonts w:ascii="宋体" w:hAnsi="宋体"/>
                <w:szCs w:val="21"/>
              </w:rPr>
            </w:pPr>
            <w:r>
              <w:rPr>
                <w:rFonts w:hint="eastAsia" w:ascii="宋体" w:hAnsi="宋体"/>
                <w:szCs w:val="44"/>
              </w:rPr>
              <w:t>…</w:t>
            </w:r>
          </w:p>
        </w:tc>
        <w:tc>
          <w:tcPr>
            <w:tcW w:w="2963" w:type="dxa"/>
            <w:vAlign w:val="center"/>
          </w:tcPr>
          <w:p w14:paraId="2946ADD1">
            <w:pPr>
              <w:jc w:val="center"/>
              <w:rPr>
                <w:rFonts w:ascii="宋体" w:hAnsi="宋体"/>
                <w:szCs w:val="21"/>
              </w:rPr>
            </w:pPr>
          </w:p>
        </w:tc>
        <w:tc>
          <w:tcPr>
            <w:tcW w:w="1892" w:type="dxa"/>
            <w:vAlign w:val="center"/>
          </w:tcPr>
          <w:p w14:paraId="2F07B45F">
            <w:pPr>
              <w:jc w:val="center"/>
              <w:rPr>
                <w:rFonts w:ascii="宋体" w:hAnsi="宋体"/>
                <w:szCs w:val="21"/>
              </w:rPr>
            </w:pPr>
          </w:p>
        </w:tc>
        <w:tc>
          <w:tcPr>
            <w:tcW w:w="1892" w:type="dxa"/>
            <w:vAlign w:val="center"/>
          </w:tcPr>
          <w:p w14:paraId="744A8CA1">
            <w:pPr>
              <w:jc w:val="center"/>
              <w:rPr>
                <w:rFonts w:ascii="宋体" w:hAnsi="宋体"/>
                <w:szCs w:val="21"/>
              </w:rPr>
            </w:pPr>
          </w:p>
        </w:tc>
        <w:tc>
          <w:tcPr>
            <w:tcW w:w="1892" w:type="dxa"/>
            <w:vAlign w:val="center"/>
          </w:tcPr>
          <w:p w14:paraId="6E4DFAC8">
            <w:pPr>
              <w:jc w:val="center"/>
              <w:rPr>
                <w:rFonts w:ascii="宋体" w:hAnsi="宋体"/>
                <w:szCs w:val="21"/>
              </w:rPr>
            </w:pPr>
          </w:p>
        </w:tc>
        <w:tc>
          <w:tcPr>
            <w:tcW w:w="1892" w:type="dxa"/>
            <w:tcBorders>
              <w:right w:val="single" w:color="auto" w:sz="4" w:space="0"/>
            </w:tcBorders>
            <w:vAlign w:val="center"/>
          </w:tcPr>
          <w:p w14:paraId="3C14F6D5">
            <w:pPr>
              <w:jc w:val="center"/>
              <w:rPr>
                <w:rFonts w:ascii="宋体" w:hAnsi="宋体"/>
                <w:szCs w:val="21"/>
              </w:rPr>
            </w:pPr>
          </w:p>
        </w:tc>
        <w:tc>
          <w:tcPr>
            <w:tcW w:w="1221" w:type="dxa"/>
            <w:tcBorders>
              <w:right w:val="single" w:color="auto" w:sz="4" w:space="0"/>
            </w:tcBorders>
            <w:vAlign w:val="center"/>
          </w:tcPr>
          <w:p w14:paraId="6A0D95E5">
            <w:pPr>
              <w:jc w:val="center"/>
              <w:rPr>
                <w:rFonts w:ascii="宋体" w:hAnsi="宋体"/>
                <w:szCs w:val="21"/>
              </w:rPr>
            </w:pPr>
          </w:p>
        </w:tc>
        <w:tc>
          <w:tcPr>
            <w:tcW w:w="1298" w:type="dxa"/>
            <w:tcBorders>
              <w:right w:val="single" w:color="auto" w:sz="4" w:space="0"/>
            </w:tcBorders>
            <w:vAlign w:val="center"/>
          </w:tcPr>
          <w:p w14:paraId="458D90B8">
            <w:pPr>
              <w:jc w:val="center"/>
              <w:rPr>
                <w:rFonts w:ascii="宋体" w:hAnsi="宋体"/>
                <w:szCs w:val="21"/>
              </w:rPr>
            </w:pPr>
          </w:p>
        </w:tc>
      </w:tr>
      <w:tr w14:paraId="6764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3E70048B">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76F3CFF5">
            <w:pPr>
              <w:jc w:val="left"/>
              <w:rPr>
                <w:rFonts w:ascii="宋体" w:hAnsi="宋体"/>
                <w:szCs w:val="44"/>
              </w:rPr>
            </w:pPr>
          </w:p>
          <w:p w14:paraId="304B274D">
            <w:pPr>
              <w:jc w:val="left"/>
              <w:rPr>
                <w:rFonts w:ascii="宋体" w:hAnsi="宋体"/>
                <w:szCs w:val="44"/>
              </w:rPr>
            </w:pPr>
          </w:p>
          <w:p w14:paraId="72AB60B1">
            <w:pPr>
              <w:jc w:val="left"/>
              <w:rPr>
                <w:rFonts w:ascii="宋体" w:hAnsi="宋体"/>
                <w:szCs w:val="44"/>
              </w:rPr>
            </w:pPr>
          </w:p>
          <w:p w14:paraId="5A735328">
            <w:pPr>
              <w:jc w:val="left"/>
              <w:rPr>
                <w:rFonts w:ascii="宋体" w:hAnsi="宋体"/>
                <w:szCs w:val="44"/>
              </w:rPr>
            </w:pPr>
          </w:p>
          <w:p w14:paraId="706C8271">
            <w:pPr>
              <w:jc w:val="left"/>
              <w:rPr>
                <w:rFonts w:ascii="宋体" w:hAnsi="宋体"/>
                <w:szCs w:val="44"/>
              </w:rPr>
            </w:pPr>
          </w:p>
          <w:p w14:paraId="2E5546D9">
            <w:pPr>
              <w:jc w:val="left"/>
              <w:rPr>
                <w:rFonts w:ascii="宋体" w:hAnsi="宋体"/>
                <w:szCs w:val="44"/>
              </w:rPr>
            </w:pPr>
          </w:p>
          <w:p w14:paraId="51AB59FA">
            <w:pPr>
              <w:jc w:val="left"/>
            </w:pPr>
          </w:p>
        </w:tc>
      </w:tr>
    </w:tbl>
    <w:p w14:paraId="0329C833"/>
    <w:p w14:paraId="251BAC52">
      <w:pPr>
        <w:ind w:firstLine="5250" w:firstLineChars="2500"/>
        <w:sectPr>
          <w:pgSz w:w="16838" w:h="11906" w:orient="landscape"/>
          <w:pgMar w:top="1797" w:right="1440" w:bottom="1797" w:left="1440" w:header="851" w:footer="851" w:gutter="0"/>
          <w:cols w:space="720" w:num="1"/>
          <w:docGrid w:linePitch="312" w:charSpace="0"/>
        </w:sectPr>
      </w:pPr>
      <w:r>
        <w:rPr>
          <w:rFonts w:hint="eastAsia" w:ascii="宋体" w:hAnsi="宋体"/>
          <w:szCs w:val="44"/>
        </w:rPr>
        <w:t xml:space="preserve">         </w:t>
      </w:r>
      <w:r>
        <w:rPr>
          <w:rFonts w:hint="eastAsia"/>
        </w:rPr>
        <w:t xml:space="preserve">         </w:t>
      </w:r>
      <w:r>
        <w:t xml:space="preserve">                                                                                         </w:t>
      </w: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 日</w:t>
      </w:r>
    </w:p>
    <w:bookmarkEnd w:id="706"/>
    <w:p w14:paraId="0F5F1A0F">
      <w:pPr>
        <w:ind w:firstLine="5250" w:firstLineChars="2500"/>
      </w:pPr>
    </w:p>
    <w:p w14:paraId="1EBF8506"/>
    <w:p w14:paraId="008174D4">
      <w:pPr>
        <w:pStyle w:val="25"/>
        <w:rPr>
          <w:rFonts w:ascii="黑体"/>
        </w:rPr>
      </w:pPr>
      <w:bookmarkStart w:id="707" w:name="_Toc165804462"/>
      <w:bookmarkStart w:id="708" w:name="_Toc256000145"/>
      <w:bookmarkStart w:id="709" w:name="_Hlk150782230"/>
      <w:r>
        <w:rPr>
          <w:rFonts w:hint="eastAsia"/>
        </w:rPr>
        <w:t>附表A-1</w:t>
      </w:r>
      <w:r>
        <w:t>6</w:t>
      </w:r>
      <w:r>
        <w:rPr>
          <w:rFonts w:hint="eastAsia"/>
        </w:rPr>
        <w:t>：评标结果汇总表</w:t>
      </w:r>
      <w:bookmarkEnd w:id="707"/>
      <w:bookmarkEnd w:id="708"/>
    </w:p>
    <w:p w14:paraId="686F3DA6">
      <w:pPr>
        <w:spacing w:after="240" w:afterLines="100"/>
        <w:jc w:val="center"/>
        <w:rPr>
          <w:rFonts w:ascii="黑体" w:eastAsia="黑体"/>
          <w:sz w:val="36"/>
          <w:szCs w:val="36"/>
        </w:rPr>
      </w:pPr>
    </w:p>
    <w:p w14:paraId="46DFCD23">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评标结果汇总表</w:t>
      </w:r>
    </w:p>
    <w:p w14:paraId="237A75E5">
      <w:pPr>
        <w:spacing w:line="400" w:lineRule="exact"/>
        <w:jc w:val="center"/>
        <w:rPr>
          <w:rFonts w:ascii="宋体" w:hAnsi="宋体"/>
          <w:szCs w:val="44"/>
        </w:rPr>
      </w:pPr>
      <w:bookmarkStart w:id="710" w:name="_Hlk150875312"/>
      <w:r>
        <w:rPr>
          <w:rFonts w:hint="eastAsia" w:ascii="黑体" w:hAnsi="宋体" w:eastAsia="黑体"/>
          <w:sz w:val="36"/>
          <w:szCs w:val="36"/>
        </w:rPr>
        <w:t>（适用于经评审的最低投标价法）</w:t>
      </w:r>
    </w:p>
    <w:p w14:paraId="1C7CE206">
      <w:pPr>
        <w:rPr>
          <w:rFonts w:ascii="宋体" w:hAnsi="宋体"/>
          <w:szCs w:val="21"/>
        </w:rPr>
      </w:pPr>
      <w:r>
        <w:rPr>
          <w:rFonts w:hint="eastAsia" w:ascii="宋体" w:hAnsi="宋体"/>
          <w:szCs w:val="21"/>
        </w:rPr>
        <w:t xml:space="preserve">标段名称： </w:t>
      </w:r>
      <w:r>
        <w:rPr>
          <w:rFonts w:ascii="宋体" w:hAnsi="宋体"/>
          <w:szCs w:val="21"/>
        </w:rPr>
        <w:t xml:space="preserve"> </w:t>
      </w:r>
    </w:p>
    <w:p w14:paraId="5DBAF662">
      <w:pPr>
        <w:rPr>
          <w:rFonts w:ascii="宋体" w:hAnsi="宋体"/>
          <w:szCs w:val="21"/>
        </w:rPr>
      </w:pPr>
      <w:r>
        <w:rPr>
          <w:rFonts w:hint="eastAsia" w:ascii="宋体" w:hAnsi="宋体"/>
          <w:szCs w:val="21"/>
        </w:rPr>
        <w:t xml:space="preserve">标段唯一标识码：  </w:t>
      </w:r>
      <w:r>
        <w:rPr>
          <w:rFonts w:ascii="宋体" w:hAnsi="宋体"/>
          <w:szCs w:val="21"/>
        </w:rPr>
        <w:t xml:space="preserve">                                         </w:t>
      </w:r>
      <w:r>
        <w:rPr>
          <w:rFonts w:hint="eastAsia" w:ascii="宋体" w:hAnsi="宋体"/>
          <w:szCs w:val="21"/>
        </w:rPr>
        <w:t xml:space="preserve">  单位：人民币元</w:t>
      </w:r>
    </w:p>
    <w:tbl>
      <w:tblPr>
        <w:tblStyle w:val="1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1520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7421F554">
            <w:pPr>
              <w:jc w:val="center"/>
              <w:rPr>
                <w:rFonts w:ascii="宋体" w:hAnsi="宋体"/>
                <w:b/>
                <w:bCs/>
              </w:rPr>
            </w:pPr>
            <w:bookmarkStart w:id="711" w:name="_Hlk150334502"/>
            <w:r>
              <w:rPr>
                <w:rFonts w:hint="eastAsia" w:ascii="宋体" w:hAnsi="宋体"/>
                <w:b/>
                <w:bCs/>
              </w:rPr>
              <w:t>投标人名称</w:t>
            </w:r>
          </w:p>
        </w:tc>
        <w:tc>
          <w:tcPr>
            <w:tcW w:w="7399" w:type="dxa"/>
            <w:gridSpan w:val="6"/>
            <w:vAlign w:val="center"/>
          </w:tcPr>
          <w:p w14:paraId="0055A707">
            <w:pPr>
              <w:jc w:val="center"/>
              <w:rPr>
                <w:rFonts w:ascii="宋体" w:hAnsi="宋体"/>
                <w:b/>
                <w:bCs/>
              </w:rPr>
            </w:pPr>
            <w:r>
              <w:rPr>
                <w:rFonts w:hint="eastAsia" w:ascii="宋体" w:hAnsi="宋体"/>
                <w:b/>
                <w:bCs/>
              </w:rPr>
              <w:t>评审因素</w:t>
            </w:r>
          </w:p>
        </w:tc>
      </w:tr>
      <w:tr w14:paraId="0C2C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760F6F92">
            <w:pPr>
              <w:jc w:val="center"/>
              <w:rPr>
                <w:rFonts w:ascii="宋体" w:hAnsi="宋体"/>
                <w:b/>
                <w:bCs/>
              </w:rPr>
            </w:pPr>
          </w:p>
        </w:tc>
        <w:tc>
          <w:tcPr>
            <w:tcW w:w="978" w:type="dxa"/>
            <w:vAlign w:val="center"/>
          </w:tcPr>
          <w:p w14:paraId="008B6E6B">
            <w:pPr>
              <w:jc w:val="center"/>
              <w:rPr>
                <w:rFonts w:ascii="宋体" w:hAnsi="宋体"/>
                <w:b/>
                <w:bCs/>
              </w:rPr>
            </w:pPr>
            <w:r>
              <w:rPr>
                <w:rFonts w:hint="eastAsia" w:ascii="宋体" w:hAnsi="宋体"/>
                <w:b/>
                <w:bCs/>
              </w:rPr>
              <w:t>投标报价</w:t>
            </w:r>
          </w:p>
        </w:tc>
        <w:tc>
          <w:tcPr>
            <w:tcW w:w="1560" w:type="dxa"/>
            <w:vAlign w:val="center"/>
          </w:tcPr>
          <w:p w14:paraId="633BB0C0">
            <w:pPr>
              <w:jc w:val="center"/>
              <w:rPr>
                <w:rFonts w:ascii="宋体" w:hAnsi="宋体"/>
                <w:b/>
                <w:bCs/>
              </w:rPr>
            </w:pPr>
            <w:r>
              <w:rPr>
                <w:rFonts w:hint="eastAsia" w:ascii="宋体" w:hAnsi="宋体"/>
                <w:b/>
                <w:bCs/>
                <w:szCs w:val="21"/>
              </w:rPr>
              <w:t>修正后投标报价（如有）</w:t>
            </w:r>
          </w:p>
        </w:tc>
        <w:tc>
          <w:tcPr>
            <w:tcW w:w="1275" w:type="dxa"/>
            <w:vAlign w:val="center"/>
          </w:tcPr>
          <w:p w14:paraId="40FA9BB4">
            <w:pPr>
              <w:jc w:val="center"/>
              <w:rPr>
                <w:rFonts w:ascii="宋体" w:hAnsi="宋体"/>
                <w:b/>
                <w:bCs/>
              </w:rPr>
            </w:pPr>
            <w:r>
              <w:rPr>
                <w:rFonts w:hint="eastAsia" w:ascii="宋体" w:hAnsi="宋体"/>
                <w:b/>
                <w:bCs/>
                <w:szCs w:val="21"/>
              </w:rPr>
              <w:t>有效评标价</w:t>
            </w:r>
          </w:p>
        </w:tc>
        <w:tc>
          <w:tcPr>
            <w:tcW w:w="993" w:type="dxa"/>
            <w:vAlign w:val="center"/>
          </w:tcPr>
          <w:p w14:paraId="298A6046">
            <w:pPr>
              <w:jc w:val="center"/>
              <w:rPr>
                <w:rFonts w:ascii="宋体" w:hAnsi="宋体"/>
                <w:b/>
                <w:bCs/>
              </w:rPr>
            </w:pPr>
            <w:r>
              <w:rPr>
                <w:rFonts w:hint="eastAsia" w:ascii="宋体" w:hAnsi="宋体"/>
                <w:b/>
                <w:bCs/>
              </w:rPr>
              <w:t>最高投标限价</w:t>
            </w:r>
          </w:p>
        </w:tc>
        <w:tc>
          <w:tcPr>
            <w:tcW w:w="1196" w:type="dxa"/>
            <w:vAlign w:val="center"/>
          </w:tcPr>
          <w:p w14:paraId="4FC42A9C">
            <w:pPr>
              <w:jc w:val="center"/>
              <w:rPr>
                <w:rFonts w:ascii="宋体" w:hAnsi="宋体"/>
                <w:b/>
                <w:bCs/>
              </w:rPr>
            </w:pPr>
            <w:r>
              <w:rPr>
                <w:rFonts w:hint="eastAsia" w:ascii="宋体" w:hAnsi="宋体"/>
                <w:b/>
                <w:bCs/>
                <w:szCs w:val="21"/>
              </w:rPr>
              <w:t>确定</w:t>
            </w:r>
            <w:r>
              <w:rPr>
                <w:rFonts w:hint="eastAsia" w:ascii="宋体" w:hAnsi="宋体"/>
                <w:b/>
                <w:bCs/>
              </w:rPr>
              <w:t>有效评标价</w:t>
            </w:r>
          </w:p>
        </w:tc>
        <w:tc>
          <w:tcPr>
            <w:tcW w:w="1397" w:type="dxa"/>
            <w:vAlign w:val="center"/>
          </w:tcPr>
          <w:p w14:paraId="1ABD5A91">
            <w:pPr>
              <w:jc w:val="center"/>
              <w:rPr>
                <w:rFonts w:ascii="宋体" w:hAnsi="宋体"/>
                <w:b/>
                <w:bCs/>
              </w:rPr>
            </w:pPr>
            <w:r>
              <w:rPr>
                <w:rFonts w:hint="eastAsia" w:ascii="宋体" w:hAnsi="宋体"/>
                <w:b/>
                <w:bCs/>
              </w:rPr>
              <w:t>有效评标价排序</w:t>
            </w:r>
          </w:p>
        </w:tc>
      </w:tr>
      <w:tr w14:paraId="2085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3CA29278">
            <w:pPr>
              <w:jc w:val="center"/>
              <w:rPr>
                <w:rFonts w:ascii="宋体" w:hAnsi="宋体"/>
              </w:rPr>
            </w:pPr>
          </w:p>
        </w:tc>
        <w:tc>
          <w:tcPr>
            <w:tcW w:w="978" w:type="dxa"/>
            <w:vAlign w:val="center"/>
          </w:tcPr>
          <w:p w14:paraId="6D273667">
            <w:pPr>
              <w:jc w:val="center"/>
              <w:rPr>
                <w:rFonts w:ascii="宋体" w:hAnsi="宋体"/>
              </w:rPr>
            </w:pPr>
          </w:p>
        </w:tc>
        <w:tc>
          <w:tcPr>
            <w:tcW w:w="1560" w:type="dxa"/>
            <w:vAlign w:val="center"/>
          </w:tcPr>
          <w:p w14:paraId="08F382CB">
            <w:pPr>
              <w:jc w:val="center"/>
              <w:rPr>
                <w:rFonts w:ascii="宋体" w:hAnsi="宋体"/>
              </w:rPr>
            </w:pPr>
          </w:p>
        </w:tc>
        <w:tc>
          <w:tcPr>
            <w:tcW w:w="1275" w:type="dxa"/>
            <w:vAlign w:val="center"/>
          </w:tcPr>
          <w:p w14:paraId="5D533888">
            <w:pPr>
              <w:jc w:val="center"/>
              <w:rPr>
                <w:rFonts w:ascii="宋体" w:hAnsi="宋体"/>
              </w:rPr>
            </w:pPr>
          </w:p>
        </w:tc>
        <w:tc>
          <w:tcPr>
            <w:tcW w:w="993" w:type="dxa"/>
            <w:vMerge w:val="restart"/>
            <w:vAlign w:val="center"/>
          </w:tcPr>
          <w:p w14:paraId="6F2BA748">
            <w:pPr>
              <w:jc w:val="center"/>
              <w:rPr>
                <w:rFonts w:ascii="宋体" w:hAnsi="宋体"/>
              </w:rPr>
            </w:pPr>
          </w:p>
        </w:tc>
        <w:tc>
          <w:tcPr>
            <w:tcW w:w="1196" w:type="dxa"/>
            <w:vAlign w:val="center"/>
          </w:tcPr>
          <w:p w14:paraId="138EACE6">
            <w:pPr>
              <w:jc w:val="center"/>
              <w:rPr>
                <w:rFonts w:ascii="宋体" w:hAnsi="宋体"/>
              </w:rPr>
            </w:pPr>
          </w:p>
        </w:tc>
        <w:tc>
          <w:tcPr>
            <w:tcW w:w="1397" w:type="dxa"/>
            <w:vAlign w:val="center"/>
          </w:tcPr>
          <w:p w14:paraId="6C47279F">
            <w:pPr>
              <w:jc w:val="center"/>
              <w:rPr>
                <w:rFonts w:ascii="宋体" w:hAnsi="宋体"/>
              </w:rPr>
            </w:pPr>
          </w:p>
        </w:tc>
      </w:tr>
      <w:tr w14:paraId="6B60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5471B624">
            <w:pPr>
              <w:spacing w:after="120" w:afterLines="50"/>
              <w:jc w:val="center"/>
              <w:rPr>
                <w:rFonts w:ascii="宋体" w:hAnsi="宋体"/>
                <w:szCs w:val="21"/>
              </w:rPr>
            </w:pPr>
          </w:p>
        </w:tc>
        <w:tc>
          <w:tcPr>
            <w:tcW w:w="978" w:type="dxa"/>
            <w:vAlign w:val="center"/>
          </w:tcPr>
          <w:p w14:paraId="41C165BA">
            <w:pPr>
              <w:jc w:val="center"/>
              <w:rPr>
                <w:rFonts w:ascii="宋体" w:hAnsi="宋体"/>
              </w:rPr>
            </w:pPr>
          </w:p>
        </w:tc>
        <w:tc>
          <w:tcPr>
            <w:tcW w:w="1560" w:type="dxa"/>
            <w:vAlign w:val="center"/>
          </w:tcPr>
          <w:p w14:paraId="471B074D">
            <w:pPr>
              <w:jc w:val="center"/>
              <w:rPr>
                <w:rFonts w:ascii="宋体" w:hAnsi="宋体"/>
              </w:rPr>
            </w:pPr>
          </w:p>
        </w:tc>
        <w:tc>
          <w:tcPr>
            <w:tcW w:w="1275" w:type="dxa"/>
            <w:vAlign w:val="center"/>
          </w:tcPr>
          <w:p w14:paraId="5FE602D4">
            <w:pPr>
              <w:jc w:val="center"/>
              <w:rPr>
                <w:rFonts w:ascii="宋体" w:hAnsi="宋体"/>
              </w:rPr>
            </w:pPr>
          </w:p>
        </w:tc>
        <w:tc>
          <w:tcPr>
            <w:tcW w:w="993" w:type="dxa"/>
            <w:vMerge w:val="continue"/>
            <w:vAlign w:val="center"/>
          </w:tcPr>
          <w:p w14:paraId="64F1EF6D">
            <w:pPr>
              <w:jc w:val="center"/>
              <w:rPr>
                <w:rFonts w:ascii="宋体" w:hAnsi="宋体"/>
              </w:rPr>
            </w:pPr>
          </w:p>
        </w:tc>
        <w:tc>
          <w:tcPr>
            <w:tcW w:w="1196" w:type="dxa"/>
            <w:vAlign w:val="center"/>
          </w:tcPr>
          <w:p w14:paraId="5B01CBEF">
            <w:pPr>
              <w:jc w:val="center"/>
              <w:rPr>
                <w:rFonts w:ascii="宋体" w:hAnsi="宋体"/>
              </w:rPr>
            </w:pPr>
          </w:p>
        </w:tc>
        <w:tc>
          <w:tcPr>
            <w:tcW w:w="1397" w:type="dxa"/>
            <w:vAlign w:val="center"/>
          </w:tcPr>
          <w:p w14:paraId="032AE223">
            <w:pPr>
              <w:jc w:val="center"/>
              <w:rPr>
                <w:rFonts w:ascii="宋体" w:hAnsi="宋体"/>
              </w:rPr>
            </w:pPr>
          </w:p>
        </w:tc>
      </w:tr>
      <w:tr w14:paraId="7D74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70E3DE9B">
            <w:pPr>
              <w:jc w:val="center"/>
              <w:rPr>
                <w:rFonts w:ascii="宋体" w:hAnsi="宋体"/>
              </w:rPr>
            </w:pPr>
          </w:p>
        </w:tc>
        <w:tc>
          <w:tcPr>
            <w:tcW w:w="978" w:type="dxa"/>
            <w:vAlign w:val="center"/>
          </w:tcPr>
          <w:p w14:paraId="0F248697">
            <w:pPr>
              <w:jc w:val="center"/>
              <w:rPr>
                <w:rFonts w:ascii="宋体" w:hAnsi="宋体"/>
              </w:rPr>
            </w:pPr>
          </w:p>
        </w:tc>
        <w:tc>
          <w:tcPr>
            <w:tcW w:w="1560" w:type="dxa"/>
            <w:vAlign w:val="center"/>
          </w:tcPr>
          <w:p w14:paraId="41EED2DA">
            <w:pPr>
              <w:jc w:val="center"/>
              <w:rPr>
                <w:rFonts w:ascii="宋体" w:hAnsi="宋体"/>
              </w:rPr>
            </w:pPr>
          </w:p>
        </w:tc>
        <w:tc>
          <w:tcPr>
            <w:tcW w:w="1275" w:type="dxa"/>
            <w:vAlign w:val="center"/>
          </w:tcPr>
          <w:p w14:paraId="7805ED76">
            <w:pPr>
              <w:jc w:val="center"/>
              <w:rPr>
                <w:rFonts w:ascii="宋体" w:hAnsi="宋体"/>
              </w:rPr>
            </w:pPr>
          </w:p>
        </w:tc>
        <w:tc>
          <w:tcPr>
            <w:tcW w:w="993" w:type="dxa"/>
            <w:vMerge w:val="continue"/>
            <w:vAlign w:val="center"/>
          </w:tcPr>
          <w:p w14:paraId="67BAB541">
            <w:pPr>
              <w:jc w:val="center"/>
              <w:rPr>
                <w:rFonts w:ascii="宋体" w:hAnsi="宋体"/>
              </w:rPr>
            </w:pPr>
          </w:p>
        </w:tc>
        <w:tc>
          <w:tcPr>
            <w:tcW w:w="1196" w:type="dxa"/>
            <w:vAlign w:val="center"/>
          </w:tcPr>
          <w:p w14:paraId="15BD1063">
            <w:pPr>
              <w:jc w:val="center"/>
              <w:rPr>
                <w:rFonts w:ascii="宋体" w:hAnsi="宋体"/>
              </w:rPr>
            </w:pPr>
          </w:p>
        </w:tc>
        <w:tc>
          <w:tcPr>
            <w:tcW w:w="1397" w:type="dxa"/>
            <w:vAlign w:val="center"/>
          </w:tcPr>
          <w:p w14:paraId="6D1F6198">
            <w:pPr>
              <w:jc w:val="center"/>
              <w:rPr>
                <w:rFonts w:ascii="宋体" w:hAnsi="宋体"/>
              </w:rPr>
            </w:pPr>
          </w:p>
        </w:tc>
      </w:tr>
      <w:tr w14:paraId="38BC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11268FA9">
            <w:pPr>
              <w:jc w:val="center"/>
              <w:rPr>
                <w:rFonts w:ascii="宋体" w:hAnsi="宋体"/>
              </w:rPr>
            </w:pPr>
          </w:p>
        </w:tc>
        <w:tc>
          <w:tcPr>
            <w:tcW w:w="978" w:type="dxa"/>
            <w:vAlign w:val="center"/>
          </w:tcPr>
          <w:p w14:paraId="7110EC55">
            <w:pPr>
              <w:jc w:val="center"/>
              <w:rPr>
                <w:rFonts w:ascii="宋体" w:hAnsi="宋体"/>
              </w:rPr>
            </w:pPr>
          </w:p>
        </w:tc>
        <w:tc>
          <w:tcPr>
            <w:tcW w:w="1560" w:type="dxa"/>
            <w:vAlign w:val="center"/>
          </w:tcPr>
          <w:p w14:paraId="09C1BBDF">
            <w:pPr>
              <w:jc w:val="center"/>
              <w:rPr>
                <w:rFonts w:ascii="宋体" w:hAnsi="宋体"/>
              </w:rPr>
            </w:pPr>
          </w:p>
        </w:tc>
        <w:tc>
          <w:tcPr>
            <w:tcW w:w="1275" w:type="dxa"/>
            <w:vAlign w:val="center"/>
          </w:tcPr>
          <w:p w14:paraId="5A4E970C">
            <w:pPr>
              <w:jc w:val="center"/>
              <w:rPr>
                <w:rFonts w:ascii="宋体" w:hAnsi="宋体"/>
              </w:rPr>
            </w:pPr>
          </w:p>
        </w:tc>
        <w:tc>
          <w:tcPr>
            <w:tcW w:w="993" w:type="dxa"/>
            <w:vMerge w:val="continue"/>
            <w:vAlign w:val="center"/>
          </w:tcPr>
          <w:p w14:paraId="25CB9614">
            <w:pPr>
              <w:jc w:val="center"/>
              <w:rPr>
                <w:rFonts w:ascii="宋体" w:hAnsi="宋体"/>
              </w:rPr>
            </w:pPr>
          </w:p>
        </w:tc>
        <w:tc>
          <w:tcPr>
            <w:tcW w:w="1196" w:type="dxa"/>
            <w:vAlign w:val="center"/>
          </w:tcPr>
          <w:p w14:paraId="7633B5BD">
            <w:pPr>
              <w:jc w:val="center"/>
              <w:rPr>
                <w:rFonts w:ascii="宋体" w:hAnsi="宋体"/>
              </w:rPr>
            </w:pPr>
          </w:p>
        </w:tc>
        <w:tc>
          <w:tcPr>
            <w:tcW w:w="1397" w:type="dxa"/>
            <w:vAlign w:val="center"/>
          </w:tcPr>
          <w:p w14:paraId="35E9147D">
            <w:pPr>
              <w:jc w:val="center"/>
              <w:rPr>
                <w:rFonts w:ascii="宋体" w:hAnsi="宋体"/>
              </w:rPr>
            </w:pPr>
          </w:p>
        </w:tc>
      </w:tr>
      <w:tr w14:paraId="7C10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5F283D0A">
            <w:pPr>
              <w:jc w:val="center"/>
              <w:rPr>
                <w:rFonts w:ascii="宋体" w:hAnsi="宋体"/>
              </w:rPr>
            </w:pPr>
          </w:p>
        </w:tc>
        <w:tc>
          <w:tcPr>
            <w:tcW w:w="978" w:type="dxa"/>
            <w:vAlign w:val="center"/>
          </w:tcPr>
          <w:p w14:paraId="6C14DAB4">
            <w:pPr>
              <w:jc w:val="center"/>
              <w:rPr>
                <w:rFonts w:ascii="宋体" w:hAnsi="宋体"/>
              </w:rPr>
            </w:pPr>
          </w:p>
        </w:tc>
        <w:tc>
          <w:tcPr>
            <w:tcW w:w="1560" w:type="dxa"/>
            <w:vAlign w:val="center"/>
          </w:tcPr>
          <w:p w14:paraId="77F6B073">
            <w:pPr>
              <w:jc w:val="center"/>
              <w:rPr>
                <w:rFonts w:ascii="宋体" w:hAnsi="宋体"/>
              </w:rPr>
            </w:pPr>
          </w:p>
        </w:tc>
        <w:tc>
          <w:tcPr>
            <w:tcW w:w="1275" w:type="dxa"/>
            <w:vAlign w:val="center"/>
          </w:tcPr>
          <w:p w14:paraId="7D188FB7">
            <w:pPr>
              <w:jc w:val="center"/>
              <w:rPr>
                <w:rFonts w:ascii="宋体" w:hAnsi="宋体"/>
              </w:rPr>
            </w:pPr>
          </w:p>
        </w:tc>
        <w:tc>
          <w:tcPr>
            <w:tcW w:w="993" w:type="dxa"/>
            <w:vMerge w:val="continue"/>
            <w:vAlign w:val="center"/>
          </w:tcPr>
          <w:p w14:paraId="32EBA961">
            <w:pPr>
              <w:jc w:val="center"/>
              <w:rPr>
                <w:rFonts w:ascii="宋体" w:hAnsi="宋体"/>
              </w:rPr>
            </w:pPr>
          </w:p>
        </w:tc>
        <w:tc>
          <w:tcPr>
            <w:tcW w:w="1196" w:type="dxa"/>
            <w:vAlign w:val="center"/>
          </w:tcPr>
          <w:p w14:paraId="64324370">
            <w:pPr>
              <w:jc w:val="center"/>
              <w:rPr>
                <w:rFonts w:ascii="宋体" w:hAnsi="宋体"/>
              </w:rPr>
            </w:pPr>
          </w:p>
        </w:tc>
        <w:tc>
          <w:tcPr>
            <w:tcW w:w="1397" w:type="dxa"/>
            <w:vAlign w:val="center"/>
          </w:tcPr>
          <w:p w14:paraId="4EF9589E">
            <w:pPr>
              <w:jc w:val="center"/>
              <w:rPr>
                <w:rFonts w:ascii="宋体" w:hAnsi="宋体"/>
              </w:rPr>
            </w:pPr>
          </w:p>
        </w:tc>
      </w:tr>
      <w:tr w14:paraId="5B7D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800B3C3">
            <w:pPr>
              <w:rPr>
                <w:rFonts w:ascii="宋体" w:hAnsi="宋体"/>
              </w:rPr>
            </w:pPr>
            <w:r>
              <w:rPr>
                <w:rFonts w:hint="eastAsia" w:ascii="宋体" w:hAnsi="宋体"/>
              </w:rPr>
              <w:t>评标委员会成员签名：</w:t>
            </w:r>
          </w:p>
          <w:p w14:paraId="2AE99CC9">
            <w:pPr>
              <w:rPr>
                <w:rFonts w:ascii="宋体" w:hAnsi="宋体"/>
              </w:rPr>
            </w:pPr>
          </w:p>
          <w:p w14:paraId="3225E74A">
            <w:pPr>
              <w:rPr>
                <w:rFonts w:ascii="宋体" w:hAnsi="宋体"/>
              </w:rPr>
            </w:pPr>
          </w:p>
          <w:p w14:paraId="0D96A12E">
            <w:pPr>
              <w:rPr>
                <w:rFonts w:ascii="宋体" w:hAnsi="宋体"/>
              </w:rPr>
            </w:pPr>
          </w:p>
          <w:p w14:paraId="474985D5">
            <w:pPr>
              <w:rPr>
                <w:rFonts w:ascii="宋体" w:hAnsi="宋体"/>
              </w:rPr>
            </w:pPr>
          </w:p>
          <w:p w14:paraId="3AEA3643">
            <w:pPr>
              <w:rPr>
                <w:rFonts w:ascii="宋体" w:hAnsi="宋体"/>
              </w:rPr>
            </w:pPr>
          </w:p>
          <w:p w14:paraId="42D26226">
            <w:pPr>
              <w:rPr>
                <w:rFonts w:ascii="宋体" w:hAnsi="宋体"/>
              </w:rPr>
            </w:pPr>
          </w:p>
          <w:p w14:paraId="650C085C">
            <w:pPr>
              <w:rPr>
                <w:rFonts w:ascii="宋体" w:hAnsi="宋体"/>
              </w:rPr>
            </w:pPr>
          </w:p>
        </w:tc>
      </w:tr>
      <w:bookmarkEnd w:id="711"/>
    </w:tbl>
    <w:p w14:paraId="40E216B7">
      <w:pPr>
        <w:jc w:val="right"/>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 xml:space="preserve"> 日</w:t>
      </w:r>
      <w:bookmarkEnd w:id="710"/>
    </w:p>
    <w:bookmarkEnd w:id="709"/>
    <w:p w14:paraId="06F4F506"/>
    <w:p w14:paraId="5E29319D"/>
    <w:p w14:paraId="7A7A92D6"/>
    <w:p w14:paraId="7F1305A7"/>
    <w:p w14:paraId="23DCD87B">
      <w:r>
        <w:br w:type="page"/>
      </w:r>
    </w:p>
    <w:p w14:paraId="7A250C77">
      <w:pPr>
        <w:pStyle w:val="25"/>
        <w:rPr>
          <w:rFonts w:ascii="黑体"/>
        </w:rPr>
      </w:pPr>
      <w:bookmarkStart w:id="712" w:name="_Toc165804463"/>
      <w:bookmarkStart w:id="713" w:name="_Toc256000146"/>
      <w:r>
        <w:rPr>
          <w:rFonts w:hint="eastAsia"/>
        </w:rPr>
        <w:t>附表A-1</w:t>
      </w:r>
      <w:r>
        <w:t>7</w:t>
      </w:r>
      <w:r>
        <w:rPr>
          <w:rFonts w:hint="eastAsia"/>
        </w:rPr>
        <w:t>：推荐中标候选人一览表</w:t>
      </w:r>
      <w:bookmarkEnd w:id="712"/>
      <w:bookmarkEnd w:id="713"/>
    </w:p>
    <w:p w14:paraId="097EF5E5">
      <w:pPr>
        <w:spacing w:after="240" w:afterLines="100"/>
        <w:jc w:val="center"/>
        <w:rPr>
          <w:rFonts w:ascii="黑体" w:eastAsia="黑体"/>
          <w:sz w:val="36"/>
          <w:szCs w:val="36"/>
        </w:rPr>
      </w:pPr>
    </w:p>
    <w:p w14:paraId="57C5A308">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推荐中标候选人一览表</w:t>
      </w:r>
    </w:p>
    <w:p w14:paraId="2360F305">
      <w:pPr>
        <w:rPr>
          <w:rFonts w:ascii="宋体" w:hAnsi="宋体"/>
          <w:szCs w:val="44"/>
        </w:rPr>
      </w:pPr>
      <w:r>
        <w:rPr>
          <w:rFonts w:hint="eastAsia" w:ascii="宋体" w:hAnsi="宋体"/>
          <w:szCs w:val="44"/>
        </w:rPr>
        <w:t>标段名称：</w:t>
      </w:r>
    </w:p>
    <w:p w14:paraId="0052EAA3">
      <w:pPr>
        <w:rPr>
          <w:szCs w:val="44"/>
        </w:rPr>
      </w:pPr>
      <w:r>
        <w:rPr>
          <w:rFonts w:hint="eastAsia"/>
          <w:szCs w:val="44"/>
        </w:rPr>
        <w:t>标段唯一标识码：</w:t>
      </w:r>
      <w:r>
        <w:rPr>
          <w:szCs w:val="44"/>
        </w:rPr>
        <w:t xml:space="preserve">                                          </w:t>
      </w:r>
      <w:r>
        <w:rPr>
          <w:rFonts w:hint="eastAsia"/>
          <w:szCs w:val="44"/>
        </w:rPr>
        <w:t>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4266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849" w:type="dxa"/>
            <w:vAlign w:val="center"/>
          </w:tcPr>
          <w:p w14:paraId="1260630D">
            <w:pPr>
              <w:jc w:val="center"/>
              <w:rPr>
                <w:b/>
                <w:bCs/>
              </w:rPr>
            </w:pPr>
            <w:bookmarkStart w:id="714" w:name="_Hlk166065593"/>
            <w:r>
              <w:rPr>
                <w:rFonts w:hint="eastAsia"/>
                <w:b/>
                <w:bCs/>
              </w:rPr>
              <w:t>排名</w:t>
            </w:r>
          </w:p>
        </w:tc>
        <w:tc>
          <w:tcPr>
            <w:tcW w:w="1537" w:type="dxa"/>
            <w:vAlign w:val="center"/>
          </w:tcPr>
          <w:p w14:paraId="63CB2219">
            <w:pPr>
              <w:jc w:val="center"/>
              <w:rPr>
                <w:b/>
                <w:bCs/>
              </w:rPr>
            </w:pPr>
            <w:r>
              <w:rPr>
                <w:rFonts w:hint="eastAsia"/>
                <w:b/>
                <w:bCs/>
              </w:rPr>
              <w:t>投标人名称</w:t>
            </w:r>
          </w:p>
        </w:tc>
        <w:tc>
          <w:tcPr>
            <w:tcW w:w="1390" w:type="dxa"/>
            <w:vAlign w:val="center"/>
          </w:tcPr>
          <w:p w14:paraId="3E6A045D">
            <w:pPr>
              <w:jc w:val="center"/>
              <w:rPr>
                <w:b/>
                <w:bCs/>
              </w:rPr>
            </w:pPr>
            <w:r>
              <w:rPr>
                <w:rFonts w:hint="eastAsia"/>
                <w:b/>
                <w:bCs/>
              </w:rPr>
              <w:t>投标报价</w:t>
            </w:r>
          </w:p>
        </w:tc>
        <w:tc>
          <w:tcPr>
            <w:tcW w:w="2031" w:type="dxa"/>
            <w:vAlign w:val="center"/>
          </w:tcPr>
          <w:p w14:paraId="3EF283FD">
            <w:pPr>
              <w:jc w:val="center"/>
              <w:rPr>
                <w:b/>
                <w:bCs/>
              </w:rPr>
            </w:pPr>
            <w:r>
              <w:rPr>
                <w:rFonts w:hint="eastAsia"/>
                <w:b/>
                <w:bCs/>
              </w:rPr>
              <w:t>评审得分</w:t>
            </w:r>
          </w:p>
          <w:p w14:paraId="3CA5DC4C">
            <w:pPr>
              <w:jc w:val="center"/>
              <w:rPr>
                <w:b/>
                <w:bCs/>
              </w:rPr>
            </w:pPr>
            <w:r>
              <w:rPr>
                <w:rFonts w:hint="eastAsia"/>
                <w:b/>
                <w:bCs/>
              </w:rPr>
              <w:t>（有效评标价）</w:t>
            </w:r>
          </w:p>
        </w:tc>
        <w:tc>
          <w:tcPr>
            <w:tcW w:w="2495" w:type="dxa"/>
            <w:vAlign w:val="center"/>
          </w:tcPr>
          <w:p w14:paraId="143E5BEE">
            <w:pPr>
              <w:jc w:val="center"/>
              <w:rPr>
                <w:b/>
                <w:bCs/>
              </w:rPr>
            </w:pPr>
            <w:r>
              <w:rPr>
                <w:rFonts w:hint="eastAsia"/>
                <w:b/>
                <w:bCs/>
              </w:rPr>
              <w:t>推荐意见和建议</w:t>
            </w:r>
          </w:p>
        </w:tc>
      </w:tr>
      <w:tr w14:paraId="4891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7CE25E98">
            <w:pPr>
              <w:jc w:val="center"/>
              <w:rPr>
                <w:b/>
                <w:bCs/>
              </w:rPr>
            </w:pPr>
            <w:r>
              <w:rPr>
                <w:rFonts w:hint="eastAsia"/>
              </w:rPr>
              <w:t>1</w:t>
            </w:r>
          </w:p>
        </w:tc>
        <w:tc>
          <w:tcPr>
            <w:tcW w:w="1537" w:type="dxa"/>
            <w:vAlign w:val="center"/>
          </w:tcPr>
          <w:p w14:paraId="43F819F3">
            <w:pPr>
              <w:jc w:val="center"/>
              <w:rPr>
                <w:b/>
                <w:bCs/>
              </w:rPr>
            </w:pPr>
          </w:p>
        </w:tc>
        <w:tc>
          <w:tcPr>
            <w:tcW w:w="1390" w:type="dxa"/>
            <w:vAlign w:val="center"/>
          </w:tcPr>
          <w:p w14:paraId="11A17DB2">
            <w:pPr>
              <w:jc w:val="center"/>
              <w:rPr>
                <w:b/>
                <w:bCs/>
              </w:rPr>
            </w:pPr>
          </w:p>
        </w:tc>
        <w:tc>
          <w:tcPr>
            <w:tcW w:w="2031" w:type="dxa"/>
            <w:vAlign w:val="center"/>
          </w:tcPr>
          <w:p w14:paraId="788D8B16">
            <w:pPr>
              <w:jc w:val="center"/>
              <w:rPr>
                <w:b/>
                <w:bCs/>
              </w:rPr>
            </w:pPr>
          </w:p>
        </w:tc>
        <w:tc>
          <w:tcPr>
            <w:tcW w:w="2495" w:type="dxa"/>
            <w:vAlign w:val="center"/>
          </w:tcPr>
          <w:p w14:paraId="5382E5A4">
            <w:pPr>
              <w:jc w:val="center"/>
              <w:rPr>
                <w:b/>
                <w:bCs/>
              </w:rPr>
            </w:pPr>
          </w:p>
        </w:tc>
      </w:tr>
      <w:tr w14:paraId="65DA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7691B63F">
            <w:pPr>
              <w:jc w:val="center"/>
              <w:rPr>
                <w:b/>
                <w:bCs/>
              </w:rPr>
            </w:pPr>
            <w:r>
              <w:rPr>
                <w:rFonts w:hint="eastAsia"/>
              </w:rPr>
              <w:t>2</w:t>
            </w:r>
          </w:p>
        </w:tc>
        <w:tc>
          <w:tcPr>
            <w:tcW w:w="1537" w:type="dxa"/>
            <w:vAlign w:val="center"/>
          </w:tcPr>
          <w:p w14:paraId="1149C5FA">
            <w:pPr>
              <w:jc w:val="center"/>
              <w:rPr>
                <w:b/>
                <w:bCs/>
              </w:rPr>
            </w:pPr>
          </w:p>
        </w:tc>
        <w:tc>
          <w:tcPr>
            <w:tcW w:w="1390" w:type="dxa"/>
            <w:vAlign w:val="center"/>
          </w:tcPr>
          <w:p w14:paraId="3489C244">
            <w:pPr>
              <w:jc w:val="center"/>
              <w:rPr>
                <w:b/>
                <w:bCs/>
              </w:rPr>
            </w:pPr>
          </w:p>
        </w:tc>
        <w:tc>
          <w:tcPr>
            <w:tcW w:w="2031" w:type="dxa"/>
            <w:vAlign w:val="center"/>
          </w:tcPr>
          <w:p w14:paraId="53AA8E63">
            <w:pPr>
              <w:jc w:val="center"/>
              <w:rPr>
                <w:b/>
                <w:bCs/>
              </w:rPr>
            </w:pPr>
          </w:p>
        </w:tc>
        <w:tc>
          <w:tcPr>
            <w:tcW w:w="2495" w:type="dxa"/>
            <w:vAlign w:val="center"/>
          </w:tcPr>
          <w:p w14:paraId="24CF1C18">
            <w:pPr>
              <w:jc w:val="center"/>
              <w:rPr>
                <w:b/>
                <w:bCs/>
              </w:rPr>
            </w:pPr>
          </w:p>
        </w:tc>
      </w:tr>
      <w:tr w14:paraId="542A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2E71466">
            <w:pPr>
              <w:jc w:val="center"/>
              <w:rPr>
                <w:b/>
                <w:bCs/>
              </w:rPr>
            </w:pPr>
            <w:r>
              <w:rPr>
                <w:rFonts w:hint="eastAsia"/>
              </w:rPr>
              <w:t>3</w:t>
            </w:r>
          </w:p>
        </w:tc>
        <w:tc>
          <w:tcPr>
            <w:tcW w:w="1537" w:type="dxa"/>
            <w:vAlign w:val="center"/>
          </w:tcPr>
          <w:p w14:paraId="3C87E330">
            <w:pPr>
              <w:jc w:val="center"/>
              <w:rPr>
                <w:b/>
                <w:bCs/>
              </w:rPr>
            </w:pPr>
          </w:p>
        </w:tc>
        <w:tc>
          <w:tcPr>
            <w:tcW w:w="1390" w:type="dxa"/>
            <w:vAlign w:val="center"/>
          </w:tcPr>
          <w:p w14:paraId="248AB556">
            <w:pPr>
              <w:jc w:val="center"/>
              <w:rPr>
                <w:b/>
                <w:bCs/>
              </w:rPr>
            </w:pPr>
          </w:p>
        </w:tc>
        <w:tc>
          <w:tcPr>
            <w:tcW w:w="2031" w:type="dxa"/>
            <w:vAlign w:val="center"/>
          </w:tcPr>
          <w:p w14:paraId="426B5A3D">
            <w:pPr>
              <w:jc w:val="center"/>
              <w:rPr>
                <w:b/>
                <w:bCs/>
              </w:rPr>
            </w:pPr>
          </w:p>
        </w:tc>
        <w:tc>
          <w:tcPr>
            <w:tcW w:w="2495" w:type="dxa"/>
            <w:vAlign w:val="center"/>
          </w:tcPr>
          <w:p w14:paraId="67A0440B">
            <w:pPr>
              <w:jc w:val="center"/>
              <w:rPr>
                <w:b/>
                <w:bCs/>
              </w:rPr>
            </w:pPr>
          </w:p>
        </w:tc>
      </w:tr>
      <w:tr w14:paraId="3F86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C55B6D7">
            <w:pPr>
              <w:jc w:val="center"/>
              <w:rPr>
                <w:b/>
                <w:bCs/>
              </w:rPr>
            </w:pPr>
            <w:r>
              <w:rPr>
                <w:rFonts w:hint="eastAsia"/>
              </w:rPr>
              <w:t>4</w:t>
            </w:r>
          </w:p>
        </w:tc>
        <w:tc>
          <w:tcPr>
            <w:tcW w:w="1537" w:type="dxa"/>
            <w:vAlign w:val="center"/>
          </w:tcPr>
          <w:p w14:paraId="2CB3C158">
            <w:pPr>
              <w:jc w:val="center"/>
              <w:rPr>
                <w:b/>
                <w:bCs/>
              </w:rPr>
            </w:pPr>
          </w:p>
        </w:tc>
        <w:tc>
          <w:tcPr>
            <w:tcW w:w="1390" w:type="dxa"/>
            <w:vAlign w:val="center"/>
          </w:tcPr>
          <w:p w14:paraId="62717D28">
            <w:pPr>
              <w:jc w:val="center"/>
              <w:rPr>
                <w:b/>
                <w:bCs/>
              </w:rPr>
            </w:pPr>
          </w:p>
        </w:tc>
        <w:tc>
          <w:tcPr>
            <w:tcW w:w="2031" w:type="dxa"/>
            <w:vAlign w:val="center"/>
          </w:tcPr>
          <w:p w14:paraId="293819B8">
            <w:pPr>
              <w:jc w:val="center"/>
              <w:rPr>
                <w:b/>
                <w:bCs/>
              </w:rPr>
            </w:pPr>
          </w:p>
        </w:tc>
        <w:tc>
          <w:tcPr>
            <w:tcW w:w="2495" w:type="dxa"/>
            <w:vAlign w:val="center"/>
          </w:tcPr>
          <w:p w14:paraId="1CD9E6D7">
            <w:pPr>
              <w:jc w:val="center"/>
              <w:rPr>
                <w:b/>
                <w:bCs/>
              </w:rPr>
            </w:pPr>
          </w:p>
        </w:tc>
      </w:tr>
      <w:tr w14:paraId="1386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19A164F3">
            <w:pPr>
              <w:jc w:val="center"/>
              <w:rPr>
                <w:b/>
                <w:bCs/>
              </w:rPr>
            </w:pPr>
            <w:r>
              <w:rPr>
                <w:rFonts w:hint="eastAsia"/>
              </w:rPr>
              <w:t>5</w:t>
            </w:r>
          </w:p>
        </w:tc>
        <w:tc>
          <w:tcPr>
            <w:tcW w:w="1537" w:type="dxa"/>
            <w:vAlign w:val="center"/>
          </w:tcPr>
          <w:p w14:paraId="66039B6B">
            <w:pPr>
              <w:jc w:val="center"/>
              <w:rPr>
                <w:b/>
                <w:bCs/>
              </w:rPr>
            </w:pPr>
          </w:p>
        </w:tc>
        <w:tc>
          <w:tcPr>
            <w:tcW w:w="1390" w:type="dxa"/>
            <w:vAlign w:val="center"/>
          </w:tcPr>
          <w:p w14:paraId="2ADFAABC">
            <w:pPr>
              <w:jc w:val="center"/>
              <w:rPr>
                <w:b/>
                <w:bCs/>
              </w:rPr>
            </w:pPr>
          </w:p>
        </w:tc>
        <w:tc>
          <w:tcPr>
            <w:tcW w:w="2031" w:type="dxa"/>
            <w:vAlign w:val="center"/>
          </w:tcPr>
          <w:p w14:paraId="13F0AC4B">
            <w:pPr>
              <w:jc w:val="center"/>
              <w:rPr>
                <w:b/>
                <w:bCs/>
              </w:rPr>
            </w:pPr>
          </w:p>
        </w:tc>
        <w:tc>
          <w:tcPr>
            <w:tcW w:w="2495" w:type="dxa"/>
            <w:vAlign w:val="center"/>
          </w:tcPr>
          <w:p w14:paraId="755741EE">
            <w:pPr>
              <w:jc w:val="center"/>
              <w:rPr>
                <w:b/>
                <w:bCs/>
              </w:rPr>
            </w:pPr>
          </w:p>
        </w:tc>
      </w:tr>
      <w:tr w14:paraId="25AF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6FE2890F">
            <w:pPr>
              <w:jc w:val="center"/>
              <w:rPr>
                <w:b/>
                <w:bCs/>
              </w:rPr>
            </w:pPr>
            <w:r>
              <w:rPr>
                <w:rFonts w:hint="eastAsia" w:ascii="宋体" w:hAnsi="宋体"/>
              </w:rPr>
              <w:t>…</w:t>
            </w:r>
          </w:p>
        </w:tc>
        <w:tc>
          <w:tcPr>
            <w:tcW w:w="1537" w:type="dxa"/>
            <w:vAlign w:val="center"/>
          </w:tcPr>
          <w:p w14:paraId="4E6DB631">
            <w:pPr>
              <w:jc w:val="center"/>
              <w:rPr>
                <w:b/>
                <w:bCs/>
              </w:rPr>
            </w:pPr>
          </w:p>
        </w:tc>
        <w:tc>
          <w:tcPr>
            <w:tcW w:w="1390" w:type="dxa"/>
            <w:vAlign w:val="center"/>
          </w:tcPr>
          <w:p w14:paraId="1B1DD577">
            <w:pPr>
              <w:jc w:val="center"/>
              <w:rPr>
                <w:b/>
                <w:bCs/>
              </w:rPr>
            </w:pPr>
          </w:p>
        </w:tc>
        <w:tc>
          <w:tcPr>
            <w:tcW w:w="2031" w:type="dxa"/>
            <w:vAlign w:val="center"/>
          </w:tcPr>
          <w:p w14:paraId="6893A044">
            <w:pPr>
              <w:jc w:val="center"/>
              <w:rPr>
                <w:b/>
                <w:bCs/>
              </w:rPr>
            </w:pPr>
          </w:p>
        </w:tc>
        <w:tc>
          <w:tcPr>
            <w:tcW w:w="2495" w:type="dxa"/>
            <w:vAlign w:val="center"/>
          </w:tcPr>
          <w:p w14:paraId="72909A76">
            <w:pPr>
              <w:jc w:val="center"/>
              <w:rPr>
                <w:b/>
                <w:bCs/>
              </w:rPr>
            </w:pPr>
          </w:p>
        </w:tc>
      </w:tr>
      <w:tr w14:paraId="02F8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549DA960">
            <w:pPr>
              <w:jc w:val="left"/>
              <w:rPr>
                <w:rFonts w:ascii="宋体" w:hAnsi="宋体"/>
                <w:szCs w:val="44"/>
              </w:rPr>
            </w:pPr>
            <w:r>
              <w:rPr>
                <w:rFonts w:hint="eastAsia"/>
              </w:rPr>
              <w:t>评标委员会全体成员签名：</w:t>
            </w:r>
            <w:r>
              <w:t xml:space="preserve"> </w:t>
            </w:r>
          </w:p>
          <w:p w14:paraId="352E7018">
            <w:pPr>
              <w:jc w:val="left"/>
              <w:rPr>
                <w:rFonts w:ascii="宋体" w:hAnsi="宋体"/>
                <w:szCs w:val="44"/>
              </w:rPr>
            </w:pPr>
          </w:p>
          <w:p w14:paraId="6899F04D">
            <w:pPr>
              <w:jc w:val="left"/>
              <w:rPr>
                <w:rFonts w:ascii="宋体" w:hAnsi="宋体"/>
                <w:szCs w:val="44"/>
              </w:rPr>
            </w:pPr>
          </w:p>
          <w:p w14:paraId="78A27414">
            <w:pPr>
              <w:jc w:val="left"/>
              <w:rPr>
                <w:rFonts w:ascii="宋体" w:hAnsi="宋体"/>
                <w:szCs w:val="44"/>
              </w:rPr>
            </w:pPr>
          </w:p>
          <w:p w14:paraId="23255E11">
            <w:pPr>
              <w:jc w:val="left"/>
              <w:rPr>
                <w:rFonts w:ascii="宋体" w:hAnsi="宋体"/>
                <w:szCs w:val="44"/>
              </w:rPr>
            </w:pPr>
          </w:p>
          <w:p w14:paraId="63CE8A9F">
            <w:pPr>
              <w:jc w:val="left"/>
              <w:rPr>
                <w:rFonts w:ascii="宋体" w:hAnsi="宋体"/>
                <w:szCs w:val="44"/>
              </w:rPr>
            </w:pPr>
          </w:p>
          <w:p w14:paraId="3DD0B70F">
            <w:pPr>
              <w:jc w:val="left"/>
              <w:rPr>
                <w:rFonts w:ascii="宋体" w:hAnsi="宋体"/>
                <w:szCs w:val="44"/>
              </w:rPr>
            </w:pPr>
          </w:p>
          <w:p w14:paraId="04E712C5">
            <w:pPr>
              <w:jc w:val="left"/>
            </w:pPr>
          </w:p>
        </w:tc>
      </w:tr>
      <w:bookmarkEnd w:id="714"/>
    </w:tbl>
    <w:p w14:paraId="43E7B26B"/>
    <w:p w14:paraId="4FB21A96">
      <w:pPr>
        <w:ind w:left="210" w:leftChars="100" w:firstLine="5460" w:firstLineChars="2600"/>
        <w:rPr>
          <w:szCs w:val="44"/>
        </w:rPr>
      </w:pPr>
      <w:r>
        <w:rPr>
          <w:rFonts w:hint="eastAsia"/>
        </w:rPr>
        <w:t xml:space="preserve">日期：  </w:t>
      </w:r>
      <w:r>
        <w:t xml:space="preserve">  </w:t>
      </w:r>
      <w:r>
        <w:rPr>
          <w:rFonts w:hint="eastAsia"/>
        </w:rPr>
        <w:t xml:space="preserve">  年   月 </w:t>
      </w:r>
      <w:r>
        <w:t xml:space="preserve">  </w:t>
      </w:r>
      <w:r>
        <w:rPr>
          <w:rFonts w:hint="eastAsia"/>
        </w:rPr>
        <w:t xml:space="preserve">  日</w:t>
      </w:r>
    </w:p>
    <w:p w14:paraId="79CBAFED"/>
    <w:p w14:paraId="74AB85FA"/>
    <w:p w14:paraId="165F9B6E">
      <w:pPr>
        <w:sectPr>
          <w:pgSz w:w="11906" w:h="16838"/>
          <w:pgMar w:top="1440" w:right="1797" w:bottom="1440" w:left="1797" w:header="851" w:footer="851" w:gutter="0"/>
          <w:cols w:space="720" w:num="1"/>
          <w:docGrid w:linePitch="312" w:charSpace="0"/>
        </w:sectPr>
      </w:pPr>
    </w:p>
    <w:p w14:paraId="27A1F479">
      <w:pPr>
        <w:pStyle w:val="25"/>
      </w:pPr>
      <w:bookmarkStart w:id="715" w:name="_Toc256000147"/>
      <w:bookmarkStart w:id="716" w:name="_Toc165804464"/>
      <w:r>
        <w:rPr>
          <w:rFonts w:hint="eastAsia"/>
        </w:rPr>
        <w:t>附表</w:t>
      </w:r>
      <w:r>
        <w:t>C</w:t>
      </w:r>
      <w:r>
        <w:rPr>
          <w:rFonts w:hint="eastAsia"/>
        </w:rPr>
        <w:t>-1：成本评审结论记录表</w:t>
      </w:r>
      <w:bookmarkEnd w:id="715"/>
      <w:bookmarkEnd w:id="716"/>
    </w:p>
    <w:p w14:paraId="2DE633A9">
      <w:pPr>
        <w:spacing w:before="312" w:beforeLines="100" w:after="312" w:afterLines="100"/>
        <w:jc w:val="center"/>
        <w:rPr>
          <w:rFonts w:ascii="黑体" w:eastAsia="黑体"/>
          <w:sz w:val="32"/>
          <w:szCs w:val="32"/>
        </w:rPr>
      </w:pPr>
      <w:r>
        <w:rPr>
          <w:rFonts w:hint="eastAsia" w:ascii="黑体" w:eastAsia="黑体"/>
          <w:sz w:val="32"/>
          <w:szCs w:val="32"/>
        </w:rPr>
        <w:t>成本评审结论记录表</w:t>
      </w:r>
    </w:p>
    <w:p w14:paraId="007C345B">
      <w:pPr>
        <w:rPr>
          <w:rFonts w:ascii="宋体" w:hAnsi="宋体"/>
          <w:szCs w:val="21"/>
        </w:rPr>
      </w:pPr>
      <w:r>
        <w:rPr>
          <w:rFonts w:hint="eastAsia" w:ascii="宋体" w:hAnsi="宋体"/>
          <w:szCs w:val="21"/>
        </w:rPr>
        <w:t>投标人名称：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188B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C3100C6">
            <w:pPr>
              <w:spacing w:before="94" w:beforeLines="30"/>
              <w:rPr>
                <w:rFonts w:ascii="宋体" w:hAnsi="宋体"/>
                <w:szCs w:val="21"/>
              </w:rPr>
            </w:pPr>
            <w:r>
              <w:rPr>
                <w:rFonts w:hint="eastAsia" w:ascii="宋体" w:hAnsi="宋体"/>
                <w:szCs w:val="21"/>
              </w:rPr>
              <w:t>需投标人澄清和说明的主要事项概要：</w:t>
            </w:r>
          </w:p>
        </w:tc>
      </w:tr>
      <w:tr w14:paraId="2D68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092C7858">
            <w:pPr>
              <w:spacing w:before="94" w:beforeLines="30"/>
              <w:rPr>
                <w:rFonts w:ascii="宋体" w:hAnsi="宋体"/>
                <w:szCs w:val="21"/>
              </w:rPr>
            </w:pPr>
            <w:r>
              <w:rPr>
                <w:rFonts w:hint="eastAsia" w:ascii="宋体" w:hAnsi="宋体"/>
                <w:szCs w:val="21"/>
              </w:rPr>
              <w:t>投标人澄清、说明、补正和提供</w:t>
            </w:r>
            <w:r>
              <w:rPr>
                <w:rFonts w:hint="eastAsia" w:hAnsi="宋体"/>
              </w:rPr>
              <w:t>证明材料</w:t>
            </w:r>
            <w:r>
              <w:rPr>
                <w:rFonts w:hint="eastAsia" w:ascii="宋体" w:hAnsi="宋体"/>
                <w:szCs w:val="21"/>
              </w:rPr>
              <w:t>的情况说明：</w:t>
            </w:r>
          </w:p>
        </w:tc>
      </w:tr>
      <w:tr w14:paraId="21EA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04023E53">
            <w:pPr>
              <w:jc w:val="center"/>
              <w:rPr>
                <w:rFonts w:ascii="宋体" w:hAnsi="宋体"/>
                <w:szCs w:val="21"/>
              </w:rPr>
            </w:pPr>
            <w:r>
              <w:rPr>
                <w:rFonts w:hint="eastAsia" w:ascii="宋体" w:hAnsi="宋体"/>
                <w:szCs w:val="21"/>
              </w:rPr>
              <w:t>评审结论</w:t>
            </w:r>
          </w:p>
        </w:tc>
        <w:tc>
          <w:tcPr>
            <w:tcW w:w="7532" w:type="dxa"/>
            <w:vAlign w:val="center"/>
          </w:tcPr>
          <w:p w14:paraId="7101C988">
            <w:pPr>
              <w:ind w:firstLine="210" w:firstLineChars="100"/>
              <w:rPr>
                <w:rFonts w:ascii="宋体" w:hAnsi="宋体"/>
                <w:szCs w:val="21"/>
              </w:rPr>
            </w:pPr>
            <w:r>
              <w:rPr>
                <w:rFonts w:hint="eastAsia" w:ascii="宋体" w:hAnsi="宋体"/>
                <w:szCs w:val="21"/>
              </w:rPr>
              <w:t xml:space="preserve"> □低于成本     □不低于成本</w:t>
            </w:r>
          </w:p>
        </w:tc>
      </w:tr>
      <w:tr w14:paraId="2B85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42CF7F45">
            <w:pPr>
              <w:jc w:val="center"/>
              <w:rPr>
                <w:rFonts w:ascii="宋体" w:hAnsi="宋体"/>
                <w:szCs w:val="21"/>
              </w:rPr>
            </w:pPr>
            <w:r>
              <w:rPr>
                <w:rFonts w:hint="eastAsia" w:ascii="宋体" w:hAnsi="宋体"/>
                <w:szCs w:val="21"/>
              </w:rPr>
              <w:t>评</w:t>
            </w:r>
          </w:p>
          <w:p w14:paraId="6B1318F3">
            <w:pPr>
              <w:jc w:val="center"/>
              <w:rPr>
                <w:rFonts w:ascii="宋体" w:hAnsi="宋体"/>
                <w:szCs w:val="21"/>
              </w:rPr>
            </w:pPr>
            <w:r>
              <w:rPr>
                <w:rFonts w:hint="eastAsia" w:ascii="宋体" w:hAnsi="宋体"/>
                <w:szCs w:val="21"/>
              </w:rPr>
              <w:t>审</w:t>
            </w:r>
          </w:p>
          <w:p w14:paraId="71FD6CB8">
            <w:pPr>
              <w:jc w:val="center"/>
              <w:rPr>
                <w:rFonts w:ascii="宋体" w:hAnsi="宋体"/>
                <w:szCs w:val="21"/>
              </w:rPr>
            </w:pPr>
            <w:r>
              <w:rPr>
                <w:rFonts w:hint="eastAsia" w:ascii="宋体" w:hAnsi="宋体"/>
                <w:szCs w:val="21"/>
              </w:rPr>
              <w:t>意</w:t>
            </w:r>
          </w:p>
          <w:p w14:paraId="2132D71C">
            <w:pPr>
              <w:jc w:val="center"/>
              <w:rPr>
                <w:rFonts w:ascii="宋体" w:hAnsi="宋体"/>
                <w:szCs w:val="21"/>
              </w:rPr>
            </w:pPr>
            <w:r>
              <w:rPr>
                <w:rFonts w:hint="eastAsia" w:ascii="宋体" w:hAnsi="宋体"/>
                <w:szCs w:val="21"/>
              </w:rPr>
              <w:t>见</w:t>
            </w:r>
          </w:p>
          <w:p w14:paraId="14E7E851">
            <w:pPr>
              <w:jc w:val="center"/>
              <w:rPr>
                <w:rFonts w:ascii="宋体" w:hAnsi="宋体"/>
                <w:szCs w:val="21"/>
              </w:rPr>
            </w:pPr>
            <w:r>
              <w:rPr>
                <w:rFonts w:hint="eastAsia" w:ascii="宋体" w:hAnsi="宋体"/>
                <w:szCs w:val="21"/>
              </w:rPr>
              <w:t>概</w:t>
            </w:r>
          </w:p>
          <w:p w14:paraId="51F975FE">
            <w:pPr>
              <w:jc w:val="center"/>
              <w:rPr>
                <w:rFonts w:ascii="宋体" w:hAnsi="宋体"/>
                <w:szCs w:val="21"/>
              </w:rPr>
            </w:pPr>
            <w:r>
              <w:rPr>
                <w:rFonts w:hint="eastAsia" w:ascii="宋体" w:hAnsi="宋体"/>
                <w:szCs w:val="21"/>
              </w:rPr>
              <w:t>要</w:t>
            </w:r>
          </w:p>
        </w:tc>
        <w:tc>
          <w:tcPr>
            <w:tcW w:w="7532" w:type="dxa"/>
            <w:vAlign w:val="center"/>
          </w:tcPr>
          <w:p w14:paraId="6ECA606E">
            <w:pPr>
              <w:jc w:val="center"/>
              <w:rPr>
                <w:rFonts w:ascii="宋体" w:hAnsi="宋体"/>
                <w:szCs w:val="21"/>
              </w:rPr>
            </w:pPr>
          </w:p>
        </w:tc>
      </w:tr>
      <w:tr w14:paraId="61B0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24031E96">
            <w:pPr>
              <w:jc w:val="center"/>
              <w:rPr>
                <w:rFonts w:ascii="宋体" w:hAnsi="宋体"/>
                <w:szCs w:val="21"/>
              </w:rPr>
            </w:pPr>
            <w:r>
              <w:rPr>
                <w:rFonts w:hint="eastAsia" w:ascii="宋体" w:hAnsi="宋体"/>
                <w:szCs w:val="21"/>
              </w:rPr>
              <w:t>评</w:t>
            </w:r>
          </w:p>
          <w:p w14:paraId="102ED021">
            <w:pPr>
              <w:jc w:val="center"/>
              <w:rPr>
                <w:rFonts w:ascii="宋体" w:hAnsi="宋体"/>
                <w:szCs w:val="21"/>
              </w:rPr>
            </w:pPr>
            <w:r>
              <w:rPr>
                <w:rFonts w:hint="eastAsia" w:ascii="宋体" w:hAnsi="宋体"/>
                <w:szCs w:val="21"/>
              </w:rPr>
              <w:t>标</w:t>
            </w:r>
          </w:p>
          <w:p w14:paraId="71FAFD58">
            <w:pPr>
              <w:jc w:val="center"/>
              <w:rPr>
                <w:rFonts w:ascii="宋体" w:hAnsi="宋体"/>
                <w:szCs w:val="21"/>
              </w:rPr>
            </w:pPr>
            <w:r>
              <w:rPr>
                <w:rFonts w:hint="eastAsia" w:ascii="宋体" w:hAnsi="宋体"/>
                <w:szCs w:val="21"/>
              </w:rPr>
              <w:t>委</w:t>
            </w:r>
          </w:p>
          <w:p w14:paraId="1B330F2C">
            <w:pPr>
              <w:jc w:val="center"/>
              <w:rPr>
                <w:rFonts w:ascii="宋体" w:hAnsi="宋体"/>
                <w:szCs w:val="21"/>
              </w:rPr>
            </w:pPr>
            <w:r>
              <w:rPr>
                <w:rFonts w:hint="eastAsia" w:ascii="宋体" w:hAnsi="宋体"/>
                <w:szCs w:val="21"/>
              </w:rPr>
              <w:t>员</w:t>
            </w:r>
          </w:p>
          <w:p w14:paraId="4A7CD93E">
            <w:pPr>
              <w:jc w:val="center"/>
              <w:rPr>
                <w:rFonts w:ascii="宋体" w:hAnsi="宋体"/>
                <w:szCs w:val="21"/>
              </w:rPr>
            </w:pPr>
            <w:r>
              <w:rPr>
                <w:rFonts w:hint="eastAsia" w:ascii="宋体" w:hAnsi="宋体"/>
                <w:szCs w:val="21"/>
              </w:rPr>
              <w:t>会</w:t>
            </w:r>
          </w:p>
          <w:p w14:paraId="00EF8738">
            <w:pPr>
              <w:jc w:val="center"/>
              <w:rPr>
                <w:rFonts w:ascii="宋体" w:hAnsi="宋体"/>
                <w:szCs w:val="21"/>
              </w:rPr>
            </w:pPr>
            <w:r>
              <w:rPr>
                <w:rFonts w:hint="eastAsia" w:ascii="宋体" w:hAnsi="宋体"/>
                <w:szCs w:val="21"/>
              </w:rPr>
              <w:t>全</w:t>
            </w:r>
          </w:p>
          <w:p w14:paraId="6F8DB8DC">
            <w:pPr>
              <w:jc w:val="center"/>
              <w:rPr>
                <w:rFonts w:ascii="宋体" w:hAnsi="宋体"/>
                <w:szCs w:val="21"/>
              </w:rPr>
            </w:pPr>
            <w:r>
              <w:rPr>
                <w:rFonts w:hint="eastAsia" w:ascii="宋体" w:hAnsi="宋体"/>
                <w:szCs w:val="21"/>
              </w:rPr>
              <w:t>体</w:t>
            </w:r>
          </w:p>
          <w:p w14:paraId="2FD1C779">
            <w:pPr>
              <w:jc w:val="center"/>
              <w:rPr>
                <w:rFonts w:ascii="宋体" w:hAnsi="宋体"/>
                <w:szCs w:val="21"/>
              </w:rPr>
            </w:pPr>
            <w:r>
              <w:rPr>
                <w:rFonts w:hint="eastAsia" w:ascii="宋体" w:hAnsi="宋体"/>
                <w:szCs w:val="21"/>
              </w:rPr>
              <w:t>成</w:t>
            </w:r>
          </w:p>
          <w:p w14:paraId="0195507E">
            <w:pPr>
              <w:jc w:val="center"/>
              <w:rPr>
                <w:rFonts w:ascii="宋体" w:hAnsi="宋体"/>
                <w:szCs w:val="21"/>
              </w:rPr>
            </w:pPr>
            <w:r>
              <w:rPr>
                <w:rFonts w:hint="eastAsia" w:ascii="宋体" w:hAnsi="宋体"/>
                <w:szCs w:val="21"/>
              </w:rPr>
              <w:t>员</w:t>
            </w:r>
          </w:p>
          <w:p w14:paraId="73E3313B">
            <w:pPr>
              <w:jc w:val="center"/>
              <w:rPr>
                <w:rFonts w:ascii="宋体" w:hAnsi="宋体"/>
                <w:szCs w:val="21"/>
              </w:rPr>
            </w:pPr>
            <w:r>
              <w:rPr>
                <w:rFonts w:hint="eastAsia" w:ascii="宋体" w:hAnsi="宋体"/>
                <w:szCs w:val="21"/>
              </w:rPr>
              <w:t>签</w:t>
            </w:r>
          </w:p>
          <w:p w14:paraId="524DF789">
            <w:pPr>
              <w:jc w:val="center"/>
              <w:rPr>
                <w:rFonts w:ascii="宋体" w:hAnsi="宋体"/>
                <w:szCs w:val="21"/>
              </w:rPr>
            </w:pPr>
            <w:r>
              <w:rPr>
                <w:rFonts w:hint="eastAsia" w:ascii="宋体" w:hAnsi="宋体"/>
                <w:szCs w:val="21"/>
              </w:rPr>
              <w:t>名</w:t>
            </w:r>
          </w:p>
        </w:tc>
        <w:tc>
          <w:tcPr>
            <w:tcW w:w="7532" w:type="dxa"/>
            <w:vAlign w:val="bottom"/>
          </w:tcPr>
          <w:p w14:paraId="327740E0">
            <w:pPr>
              <w:wordWrap w:val="0"/>
              <w:spacing w:after="156" w:afterLines="50"/>
              <w:jc w:val="right"/>
              <w:rPr>
                <w:rFonts w:ascii="宋体" w:hAnsi="宋体"/>
                <w:szCs w:val="21"/>
              </w:rPr>
            </w:pPr>
            <w:r>
              <w:rPr>
                <w:rFonts w:hint="eastAsia" w:ascii="宋体" w:hAnsi="宋体"/>
                <w:szCs w:val="21"/>
              </w:rPr>
              <w:t xml:space="preserve">年   月   日       </w:t>
            </w:r>
          </w:p>
        </w:tc>
      </w:tr>
    </w:tbl>
    <w:p w14:paraId="5B9E4079">
      <w:pPr>
        <w:sectPr>
          <w:footerReference r:id="rId16" w:type="default"/>
          <w:pgSz w:w="11906" w:h="16838"/>
          <w:pgMar w:top="1440" w:right="1800" w:bottom="1440" w:left="1800" w:header="851" w:footer="992" w:gutter="0"/>
          <w:cols w:space="425" w:num="1"/>
          <w:docGrid w:type="lines" w:linePitch="312" w:charSpace="0"/>
        </w:sectPr>
      </w:pPr>
    </w:p>
    <w:p w14:paraId="7C82A1C2">
      <w:pPr>
        <w:bidi w:val="0"/>
        <w:rPr>
          <w:rFonts w:hint="eastAsia"/>
        </w:rPr>
      </w:pPr>
      <w:bookmarkStart w:id="717" w:name="_Toc152264507"/>
    </w:p>
    <w:p w14:paraId="6AE47D86">
      <w:pPr>
        <w:bidi w:val="0"/>
        <w:rPr>
          <w:rFonts w:hint="eastAsia"/>
        </w:rPr>
      </w:pPr>
    </w:p>
    <w:p w14:paraId="2C2708F8">
      <w:pPr>
        <w:bidi w:val="0"/>
        <w:rPr>
          <w:rFonts w:hint="eastAsia"/>
        </w:rPr>
      </w:pPr>
    </w:p>
    <w:p w14:paraId="321361C6">
      <w:pPr>
        <w:bidi w:val="0"/>
        <w:rPr>
          <w:rFonts w:hint="eastAsia"/>
        </w:rPr>
      </w:pPr>
    </w:p>
    <w:p w14:paraId="738D736C">
      <w:pPr>
        <w:bidi w:val="0"/>
        <w:rPr>
          <w:rFonts w:hint="eastAsia"/>
        </w:rPr>
      </w:pPr>
    </w:p>
    <w:p w14:paraId="2AA12269">
      <w:pPr>
        <w:bidi w:val="0"/>
        <w:rPr>
          <w:rFonts w:hint="eastAsia"/>
        </w:rPr>
      </w:pPr>
    </w:p>
    <w:p w14:paraId="7A2DF982">
      <w:pPr>
        <w:bidi w:val="0"/>
        <w:rPr>
          <w:rFonts w:hint="eastAsia"/>
        </w:rPr>
      </w:pPr>
    </w:p>
    <w:p w14:paraId="409E6F93">
      <w:pPr>
        <w:bidi w:val="0"/>
        <w:rPr>
          <w:rFonts w:hint="eastAsia"/>
        </w:rPr>
      </w:pPr>
    </w:p>
    <w:p w14:paraId="456FD450">
      <w:pPr>
        <w:bidi w:val="0"/>
        <w:rPr>
          <w:rFonts w:hint="eastAsia"/>
        </w:rPr>
      </w:pPr>
    </w:p>
    <w:p w14:paraId="6E82B98D">
      <w:pPr>
        <w:bidi w:val="0"/>
        <w:rPr>
          <w:rFonts w:hint="eastAsia"/>
        </w:rPr>
      </w:pPr>
    </w:p>
    <w:p w14:paraId="03A6ABF7">
      <w:pPr>
        <w:bidi w:val="0"/>
        <w:rPr>
          <w:rFonts w:hint="eastAsia"/>
        </w:rPr>
      </w:pPr>
    </w:p>
    <w:p w14:paraId="29245AB6">
      <w:pPr>
        <w:bidi w:val="0"/>
        <w:rPr>
          <w:rFonts w:hint="eastAsia"/>
        </w:rPr>
      </w:pPr>
    </w:p>
    <w:p w14:paraId="71BA8F90">
      <w:pPr>
        <w:bidi w:val="0"/>
        <w:rPr>
          <w:rFonts w:hint="eastAsia"/>
        </w:rPr>
      </w:pPr>
    </w:p>
    <w:p w14:paraId="4601E351">
      <w:pPr>
        <w:bidi w:val="0"/>
        <w:rPr>
          <w:rFonts w:hint="eastAsia"/>
        </w:rPr>
      </w:pPr>
    </w:p>
    <w:p w14:paraId="173380D0">
      <w:pPr>
        <w:bidi w:val="0"/>
        <w:rPr>
          <w:rFonts w:hint="eastAsia"/>
        </w:rPr>
      </w:pPr>
    </w:p>
    <w:p w14:paraId="13C4D0D1">
      <w:pPr>
        <w:bidi w:val="0"/>
        <w:rPr>
          <w:rFonts w:hint="eastAsia"/>
        </w:rPr>
      </w:pPr>
    </w:p>
    <w:p w14:paraId="5B0D19BA">
      <w:pPr>
        <w:bidi w:val="0"/>
        <w:rPr>
          <w:rFonts w:hint="eastAsia"/>
        </w:rPr>
      </w:pPr>
    </w:p>
    <w:p w14:paraId="6A03CF7E">
      <w:pPr>
        <w:pStyle w:val="2"/>
        <w:spacing w:before="120" w:after="120" w:line="400" w:lineRule="exact"/>
        <w:jc w:val="center"/>
        <w:rPr>
          <w:rFonts w:ascii="黑体" w:hAnsi="黑体" w:eastAsia="黑体"/>
          <w:b w:val="0"/>
          <w:bCs w:val="0"/>
          <w:sz w:val="32"/>
        </w:rPr>
      </w:pPr>
      <w:bookmarkStart w:id="718" w:name="_Toc256000148"/>
      <w:r>
        <w:rPr>
          <w:rFonts w:hint="eastAsia" w:ascii="黑体" w:hAnsi="黑体" w:eastAsia="黑体"/>
          <w:b w:val="0"/>
          <w:bCs w:val="0"/>
          <w:sz w:val="32"/>
        </w:rPr>
        <w:t>第四章  合同条款及格式</w:t>
      </w:r>
      <w:bookmarkEnd w:id="717"/>
      <w:bookmarkEnd w:id="718"/>
    </w:p>
    <w:p w14:paraId="67352FBF">
      <w:pPr>
        <w:jc w:val="center"/>
        <w:rPr>
          <w:rFonts w:ascii="黑体" w:eastAsia="黑体"/>
          <w:sz w:val="30"/>
          <w:szCs w:val="30"/>
        </w:rPr>
      </w:pPr>
    </w:p>
    <w:p w14:paraId="0A65B898">
      <w:pPr>
        <w:jc w:val="center"/>
        <w:rPr>
          <w:rFonts w:ascii="黑体" w:eastAsia="黑体"/>
          <w:sz w:val="30"/>
          <w:szCs w:val="30"/>
        </w:rPr>
      </w:pPr>
    </w:p>
    <w:p w14:paraId="1D38212F">
      <w:pPr>
        <w:jc w:val="center"/>
        <w:rPr>
          <w:rFonts w:ascii="黑体" w:eastAsia="黑体"/>
          <w:sz w:val="30"/>
          <w:szCs w:val="30"/>
        </w:rPr>
      </w:pPr>
    </w:p>
    <w:p w14:paraId="59558886">
      <w:pPr>
        <w:jc w:val="center"/>
        <w:rPr>
          <w:rFonts w:ascii="黑体" w:eastAsia="黑体"/>
          <w:sz w:val="30"/>
          <w:szCs w:val="30"/>
        </w:rPr>
      </w:pPr>
    </w:p>
    <w:p w14:paraId="41C69B80">
      <w:pPr>
        <w:jc w:val="center"/>
        <w:rPr>
          <w:rFonts w:ascii="黑体" w:eastAsia="黑体"/>
          <w:sz w:val="30"/>
          <w:szCs w:val="30"/>
        </w:rPr>
      </w:pPr>
    </w:p>
    <w:p w14:paraId="40BC5022">
      <w:pPr>
        <w:jc w:val="center"/>
        <w:rPr>
          <w:rFonts w:ascii="黑体" w:eastAsia="黑体"/>
          <w:sz w:val="30"/>
          <w:szCs w:val="30"/>
        </w:rPr>
      </w:pPr>
    </w:p>
    <w:p w14:paraId="28157807">
      <w:pPr>
        <w:jc w:val="center"/>
        <w:rPr>
          <w:rFonts w:ascii="黑体" w:eastAsia="黑体"/>
          <w:sz w:val="30"/>
          <w:szCs w:val="30"/>
        </w:rPr>
      </w:pPr>
    </w:p>
    <w:p w14:paraId="4BB06DB7">
      <w:pPr>
        <w:spacing w:line="320" w:lineRule="exact"/>
        <w:sectPr>
          <w:pgSz w:w="11906" w:h="16838"/>
          <w:pgMar w:top="1440" w:right="1800" w:bottom="1440" w:left="1800" w:header="851" w:footer="992" w:gutter="0"/>
          <w:cols w:space="425" w:num="1"/>
          <w:docGrid w:type="lines" w:linePitch="312" w:charSpace="0"/>
        </w:sectPr>
      </w:pPr>
    </w:p>
    <w:p w14:paraId="33CE9917">
      <w:pPr>
        <w:pStyle w:val="23"/>
        <w:jc w:val="center"/>
        <w:rPr>
          <w:sz w:val="36"/>
          <w:szCs w:val="22"/>
        </w:rPr>
      </w:pPr>
      <w:bookmarkStart w:id="719" w:name="_Toc152264508"/>
      <w:bookmarkStart w:id="720" w:name="_Toc256000149"/>
      <w:r>
        <w:rPr>
          <w:rFonts w:hint="eastAsia"/>
          <w:sz w:val="36"/>
          <w:szCs w:val="22"/>
        </w:rPr>
        <w:t>第一部分 合同协议书</w:t>
      </w:r>
      <w:bookmarkEnd w:id="719"/>
      <w:bookmarkEnd w:id="720"/>
    </w:p>
    <w:p w14:paraId="79621C35">
      <w:pPr>
        <w:spacing w:line="400" w:lineRule="exact"/>
        <w:rPr>
          <w:rFonts w:ascii="黑体" w:eastAsia="黑体"/>
          <w:sz w:val="28"/>
          <w:szCs w:val="28"/>
        </w:rPr>
      </w:pPr>
    </w:p>
    <w:p w14:paraId="677743B2">
      <w:pPr>
        <w:spacing w:line="360" w:lineRule="auto"/>
        <w:ind w:firstLine="420" w:firstLineChars="200"/>
        <w:rPr>
          <w:rFonts w:hint="eastAsia" w:ascii="宋体" w:hAnsi="宋体" w:cs="宋体"/>
        </w:rPr>
      </w:pPr>
      <w:r>
        <w:rPr>
          <w:rFonts w:hint="eastAsia" w:ascii="宋体" w:hAnsi="宋体" w:cs="宋体"/>
        </w:rPr>
        <w:t>发包人（全称）：</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p>
    <w:p w14:paraId="563497FD">
      <w:pPr>
        <w:spacing w:line="360" w:lineRule="auto"/>
        <w:ind w:firstLine="420" w:firstLineChars="200"/>
        <w:rPr>
          <w:rFonts w:hint="eastAsia" w:ascii="宋体" w:hAnsi="宋体" w:cs="宋体"/>
        </w:rPr>
      </w:pPr>
      <w:r>
        <w:rPr>
          <w:rFonts w:hint="eastAsia" w:ascii="宋体" w:hAnsi="宋体" w:cs="宋体"/>
        </w:rPr>
        <w:t>承包人（全称）：</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p>
    <w:p w14:paraId="70D89C62">
      <w:pPr>
        <w:spacing w:line="360" w:lineRule="auto"/>
        <w:ind w:firstLine="420" w:firstLineChars="200"/>
        <w:rPr>
          <w:rFonts w:ascii="宋体" w:hAnsi="宋体" w:cs="宋体"/>
        </w:rPr>
      </w:pPr>
      <w:r>
        <w:rPr>
          <w:rFonts w:hint="eastAsia" w:ascii="宋体" w:hAnsi="宋体" w:cs="宋体"/>
        </w:rPr>
        <w:t>根据《中华人民共和国民法典》、《中华人民共和国建筑法》及有关法律规定，遵循平等、自愿、公平和诚实信用的原则，双方就</w:t>
      </w:r>
      <w:r>
        <w:rPr>
          <w:rFonts w:hint="eastAsia" w:ascii="宋体" w:hAnsi="宋体" w:cs="宋体"/>
          <w:u w:val="single"/>
        </w:rPr>
        <w:t xml:space="preserve">                     </w:t>
      </w:r>
      <w:r>
        <w:rPr>
          <w:rFonts w:hint="eastAsia" w:ascii="宋体" w:hAnsi="宋体" w:cs="宋体"/>
        </w:rPr>
        <w:t>工程施工及有关事项协商一致，共同达成如下协议：</w:t>
      </w:r>
    </w:p>
    <w:p w14:paraId="191B78B6">
      <w:pPr>
        <w:spacing w:line="360" w:lineRule="auto"/>
        <w:rPr>
          <w:rFonts w:ascii="黑体" w:hAnsi="宋体" w:eastAsia="黑体" w:cs="黑体"/>
          <w:bCs/>
          <w:kern w:val="0"/>
          <w:sz w:val="24"/>
          <w:lang w:bidi="ar"/>
        </w:rPr>
      </w:pPr>
      <w:bookmarkStart w:id="721" w:name="_Toc351203481"/>
      <w:r>
        <w:rPr>
          <w:rFonts w:hint="eastAsia" w:ascii="黑体" w:hAnsi="宋体" w:eastAsia="黑体" w:cs="黑体"/>
          <w:bCs/>
          <w:kern w:val="0"/>
          <w:sz w:val="24"/>
          <w:lang w:bidi="ar"/>
        </w:rPr>
        <w:t>一、工程概况</w:t>
      </w:r>
      <w:bookmarkEnd w:id="721"/>
    </w:p>
    <w:p w14:paraId="5BB82F81">
      <w:pPr>
        <w:spacing w:line="360" w:lineRule="auto"/>
        <w:ind w:firstLine="420" w:firstLineChars="200"/>
        <w:rPr>
          <w:rFonts w:ascii="宋体" w:hAnsi="宋体" w:cs="宋体"/>
        </w:rPr>
      </w:pPr>
      <w:r>
        <w:t>1.</w:t>
      </w:r>
      <w:r>
        <w:rPr>
          <w:rFonts w:hint="eastAsia" w:ascii="宋体" w:hAnsi="宋体" w:cs="宋体"/>
        </w:rPr>
        <w:t>工程名称：</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p>
    <w:p w14:paraId="5EBD8293">
      <w:pPr>
        <w:spacing w:line="360" w:lineRule="auto"/>
        <w:ind w:firstLine="420" w:firstLineChars="200"/>
      </w:pPr>
      <w:r>
        <w:rPr>
          <w:rFonts w:hint="eastAsia"/>
        </w:rPr>
        <w:t>2.工程地点：</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w:t>
      </w:r>
    </w:p>
    <w:p w14:paraId="17F37115">
      <w:pPr>
        <w:spacing w:line="360" w:lineRule="auto"/>
        <w:ind w:firstLine="420" w:firstLineChars="200"/>
      </w:pPr>
      <w:r>
        <w:rPr>
          <w:rFonts w:hint="eastAsia"/>
        </w:rPr>
        <w:t>3.工程立项批准文号：</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67E75D40">
      <w:pPr>
        <w:spacing w:line="360" w:lineRule="auto"/>
        <w:ind w:firstLine="420" w:firstLineChars="200"/>
      </w:pPr>
      <w:r>
        <w:rPr>
          <w:rFonts w:hint="eastAsia"/>
        </w:rPr>
        <w:t>4.资金来源：</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481ED572">
      <w:pPr>
        <w:spacing w:line="360" w:lineRule="auto"/>
        <w:ind w:firstLine="420" w:firstLineChars="200"/>
      </w:pPr>
      <w:r>
        <w:rPr>
          <w:rFonts w:hint="eastAsia"/>
        </w:rPr>
        <w:t>5.工程内容：</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7F4A75F7">
      <w:pPr>
        <w:spacing w:line="360" w:lineRule="auto"/>
        <w:ind w:firstLine="420" w:firstLineChars="200"/>
      </w:pPr>
      <w:r>
        <w:rPr>
          <w:rFonts w:hint="eastAsia"/>
        </w:rPr>
        <w:t>群体工程应附《承包人承揽工程项目一览表》（附件1）。</w:t>
      </w:r>
    </w:p>
    <w:p w14:paraId="1D58078E">
      <w:pPr>
        <w:spacing w:line="360" w:lineRule="auto"/>
        <w:ind w:firstLine="420" w:firstLineChars="200"/>
        <w:rPr>
          <w:u w:val="single"/>
        </w:rPr>
      </w:pPr>
      <w:r>
        <w:rPr>
          <w:rFonts w:hint="eastAsia"/>
        </w:rPr>
        <w:t>6.工程承包范围：</w:t>
      </w:r>
      <w:r>
        <w:rPr>
          <w:rFonts w:hint="eastAsia"/>
          <w:u w:val="single"/>
        </w:rPr>
        <w:t xml:space="preserve">                                                                                                         </w:t>
      </w:r>
    </w:p>
    <w:p w14:paraId="03B8038F">
      <w:pPr>
        <w:spacing w:line="360" w:lineRule="auto"/>
        <w:ind w:firstLine="420" w:firstLineChars="200"/>
      </w:pPr>
      <w:r>
        <w:rPr>
          <w:rFonts w:hint="eastAsia"/>
          <w:lang w:eastAsia="zh-CN"/>
        </w:rPr>
        <w:t xml:space="preserve">  </w:t>
      </w:r>
      <w:r>
        <w:rPr>
          <w:rFonts w:hint="eastAsia"/>
          <w:u w:val="single"/>
        </w:rPr>
        <w:t xml:space="preserve">                                                                                                         </w:t>
      </w:r>
    </w:p>
    <w:p w14:paraId="2F4C6A8B">
      <w:pPr>
        <w:spacing w:line="360" w:lineRule="auto"/>
        <w:rPr>
          <w:rFonts w:ascii="黑体" w:hAnsi="宋体" w:eastAsia="黑体" w:cs="黑体"/>
          <w:bCs/>
          <w:kern w:val="0"/>
          <w:sz w:val="24"/>
          <w:lang w:bidi="ar"/>
        </w:rPr>
      </w:pPr>
      <w:bookmarkStart w:id="722" w:name="_Toc351203482"/>
      <w:r>
        <w:rPr>
          <w:rFonts w:hint="eastAsia" w:ascii="黑体" w:hAnsi="宋体" w:eastAsia="黑体" w:cs="黑体"/>
          <w:bCs/>
          <w:kern w:val="0"/>
          <w:sz w:val="24"/>
          <w:lang w:bidi="ar"/>
        </w:rPr>
        <w:t>二、合同工期</w:t>
      </w:r>
      <w:bookmarkEnd w:id="722"/>
    </w:p>
    <w:p w14:paraId="5903729A">
      <w:pPr>
        <w:spacing w:line="360" w:lineRule="auto"/>
        <w:ind w:firstLine="420" w:firstLineChars="200"/>
      </w:pPr>
      <w:r>
        <w:rPr>
          <w:rFonts w:hint="eastAsia"/>
        </w:rPr>
        <w:t>计划开工日期：</w:t>
      </w:r>
      <w:r>
        <w:rPr>
          <w:rFonts w:hint="eastAsia"/>
          <w:u w:val="single"/>
          <w:lang w:eastAsia="zh-CN"/>
        </w:rPr>
        <w:t xml:space="preserve">          </w:t>
      </w:r>
      <w:r>
        <w:rPr>
          <w:rFonts w:hint="eastAsia"/>
        </w:rPr>
        <w:t>年</w:t>
      </w:r>
      <w:r>
        <w:rPr>
          <w:rFonts w:hint="eastAsia"/>
          <w:u w:val="single"/>
          <w:lang w:eastAsia="zh-CN"/>
        </w:rPr>
        <w:t xml:space="preserve">          </w:t>
      </w:r>
      <w:r>
        <w:rPr>
          <w:rFonts w:hint="eastAsia"/>
        </w:rPr>
        <w:t>月</w:t>
      </w:r>
      <w:r>
        <w:rPr>
          <w:rFonts w:hint="eastAsia"/>
          <w:u w:val="single"/>
          <w:lang w:eastAsia="zh-CN"/>
        </w:rPr>
        <w:t xml:space="preserve">          </w:t>
      </w:r>
      <w:r>
        <w:rPr>
          <w:rFonts w:hint="eastAsia"/>
        </w:rPr>
        <w:t>日。</w:t>
      </w:r>
    </w:p>
    <w:p w14:paraId="2A0BAF0F">
      <w:pPr>
        <w:spacing w:line="360" w:lineRule="auto"/>
        <w:ind w:firstLine="420" w:firstLineChars="200"/>
      </w:pPr>
      <w:r>
        <w:rPr>
          <w:rFonts w:hint="eastAsia"/>
        </w:rPr>
        <w:t>计划竣工日期：</w:t>
      </w:r>
      <w:r>
        <w:rPr>
          <w:rFonts w:hint="eastAsia"/>
          <w:u w:val="single"/>
          <w:lang w:eastAsia="zh-CN"/>
        </w:rPr>
        <w:t xml:space="preserve">          </w:t>
      </w:r>
      <w:r>
        <w:rPr>
          <w:rFonts w:hint="eastAsia"/>
        </w:rPr>
        <w:t>年</w:t>
      </w:r>
      <w:r>
        <w:rPr>
          <w:rFonts w:hint="eastAsia"/>
          <w:u w:val="single"/>
          <w:lang w:eastAsia="zh-CN"/>
        </w:rPr>
        <w:t xml:space="preserve">          </w:t>
      </w:r>
      <w:r>
        <w:rPr>
          <w:rFonts w:hint="eastAsia"/>
        </w:rPr>
        <w:t>月</w:t>
      </w:r>
      <w:r>
        <w:rPr>
          <w:rFonts w:hint="eastAsia"/>
          <w:u w:val="single"/>
          <w:lang w:eastAsia="zh-CN"/>
        </w:rPr>
        <w:t xml:space="preserve">          </w:t>
      </w:r>
      <w:r>
        <w:rPr>
          <w:rFonts w:hint="eastAsia"/>
        </w:rPr>
        <w:t>日。</w:t>
      </w:r>
    </w:p>
    <w:p w14:paraId="0BB600CD">
      <w:pPr>
        <w:spacing w:line="360" w:lineRule="auto"/>
        <w:ind w:firstLine="420" w:firstLineChars="200"/>
        <w:rPr>
          <w:rFonts w:ascii="黑体" w:hAnsi="宋体" w:eastAsia="黑体" w:cs="黑体"/>
          <w:bCs/>
          <w:kern w:val="0"/>
          <w:sz w:val="32"/>
          <w:szCs w:val="20"/>
          <w:lang w:bidi="ar"/>
        </w:rPr>
      </w:pPr>
      <w:r>
        <w:rPr>
          <w:rFonts w:hint="eastAsia"/>
        </w:rPr>
        <w:t>工期总日历天数：</w:t>
      </w:r>
      <w:r>
        <w:rPr>
          <w:rFonts w:hint="eastAsia"/>
          <w:u w:val="single"/>
          <w:lang w:eastAsia="zh-CN"/>
        </w:rPr>
        <w:t xml:space="preserve">          </w:t>
      </w:r>
      <w:r>
        <w:rPr>
          <w:rFonts w:hint="eastAsia"/>
        </w:rPr>
        <w:t>天。工期总日历天数与根据前述计划开竣工日期计算的工期天数不一致的，以工期总日历天数为准。</w:t>
      </w:r>
    </w:p>
    <w:p w14:paraId="6B4898AB">
      <w:pPr>
        <w:spacing w:line="360" w:lineRule="auto"/>
        <w:rPr>
          <w:rFonts w:ascii="黑体" w:hAnsi="宋体" w:eastAsia="黑体" w:cs="黑体"/>
          <w:bCs/>
          <w:kern w:val="0"/>
          <w:sz w:val="24"/>
          <w:lang w:bidi="ar"/>
        </w:rPr>
      </w:pPr>
      <w:r>
        <w:rPr>
          <w:rFonts w:hint="eastAsia" w:ascii="黑体" w:hAnsi="宋体" w:eastAsia="黑体" w:cs="黑体"/>
          <w:bCs/>
          <w:kern w:val="0"/>
          <w:sz w:val="24"/>
          <w:lang w:bidi="ar"/>
        </w:rPr>
        <w:t xml:space="preserve"> </w:t>
      </w:r>
      <w:bookmarkStart w:id="723" w:name="_Toc351203483"/>
      <w:r>
        <w:rPr>
          <w:rFonts w:hint="eastAsia" w:ascii="黑体" w:hAnsi="宋体" w:eastAsia="黑体" w:cs="黑体"/>
          <w:bCs/>
          <w:kern w:val="0"/>
          <w:sz w:val="24"/>
          <w:lang w:bidi="ar"/>
        </w:rPr>
        <w:t>三、质量标准</w:t>
      </w:r>
      <w:bookmarkEnd w:id="723"/>
    </w:p>
    <w:p w14:paraId="58A09EB3">
      <w:pPr>
        <w:spacing w:line="360" w:lineRule="auto"/>
        <w:ind w:firstLine="420" w:firstLineChars="200"/>
      </w:pPr>
      <w:r>
        <w:rPr>
          <w:rFonts w:hint="eastAsia"/>
        </w:rPr>
        <w:t>工程质量符合</w:t>
      </w:r>
      <w:r>
        <w:rPr>
          <w:rFonts w:hint="eastAsia"/>
          <w:u w:val="single"/>
          <w:lang w:eastAsia="zh-CN"/>
        </w:rPr>
        <w:t xml:space="preserve">                                  </w:t>
      </w:r>
      <w:r>
        <w:rPr>
          <w:rFonts w:hint="eastAsia"/>
        </w:rPr>
        <w:t>标准。</w:t>
      </w:r>
    </w:p>
    <w:p w14:paraId="720FB797">
      <w:pPr>
        <w:spacing w:line="360" w:lineRule="auto"/>
        <w:rPr>
          <w:rFonts w:ascii="黑体" w:hAnsi="宋体" w:eastAsia="黑体" w:cs="黑体"/>
          <w:bCs/>
          <w:kern w:val="0"/>
          <w:sz w:val="24"/>
          <w:lang w:bidi="ar"/>
        </w:rPr>
      </w:pPr>
      <w:bookmarkStart w:id="724" w:name="_Toc351203484"/>
      <w:r>
        <w:rPr>
          <w:rFonts w:hint="eastAsia" w:ascii="黑体" w:hAnsi="宋体" w:eastAsia="黑体" w:cs="黑体"/>
          <w:bCs/>
          <w:kern w:val="0"/>
          <w:sz w:val="24"/>
          <w:lang w:bidi="ar"/>
        </w:rPr>
        <w:t xml:space="preserve"> 四、签约合同价与合同价格形式</w:t>
      </w:r>
      <w:bookmarkEnd w:id="724"/>
      <w:r>
        <w:rPr>
          <w:rFonts w:hint="eastAsia" w:ascii="黑体" w:hAnsi="宋体" w:eastAsia="黑体" w:cs="黑体"/>
          <w:bCs/>
          <w:kern w:val="0"/>
          <w:sz w:val="24"/>
          <w:lang w:bidi="ar"/>
        </w:rPr>
        <w:tab/>
      </w:r>
    </w:p>
    <w:p w14:paraId="3FE7B888">
      <w:pPr>
        <w:spacing w:line="360" w:lineRule="auto"/>
        <w:ind w:firstLine="420" w:firstLineChars="200"/>
      </w:pPr>
      <w:r>
        <w:rPr>
          <w:rFonts w:hint="eastAsia"/>
        </w:rPr>
        <w:t>1.签约合同价为：</w:t>
      </w:r>
      <w:r>
        <w:rPr>
          <w:rFonts w:hint="eastAsia"/>
          <w:u w:val="single"/>
          <w:lang w:eastAsia="zh-CN"/>
        </w:rPr>
        <w:t xml:space="preserve">          </w:t>
      </w:r>
      <w:r>
        <w:rPr>
          <w:rFonts w:hint="eastAsia"/>
          <w:u w:val="single"/>
        </w:rPr>
        <w:t xml:space="preserve">                     </w:t>
      </w:r>
    </w:p>
    <w:p w14:paraId="1AEF0312">
      <w:pPr>
        <w:spacing w:line="360" w:lineRule="auto"/>
        <w:ind w:firstLine="420" w:firstLineChars="200"/>
      </w:pPr>
      <w:r>
        <w:rPr>
          <w:rFonts w:hint="eastAsia"/>
        </w:rPr>
        <w:t>人民币（大写）</w:t>
      </w:r>
      <w:r>
        <w:rPr>
          <w:rFonts w:hint="eastAsia"/>
          <w:u w:val="single"/>
        </w:rPr>
        <w:t xml:space="preserve">                     </w:t>
      </w:r>
      <w:r>
        <w:rPr>
          <w:rFonts w:hint="eastAsia"/>
        </w:rPr>
        <w:t xml:space="preserve">   （¥ </w:t>
      </w:r>
      <w:r>
        <w:rPr>
          <w:rFonts w:hint="eastAsia"/>
          <w:u w:val="single"/>
        </w:rPr>
        <w:t xml:space="preserve">           </w:t>
      </w:r>
      <w:r>
        <w:rPr>
          <w:rFonts w:hint="eastAsia"/>
        </w:rPr>
        <w:t>元）；</w:t>
      </w:r>
    </w:p>
    <w:p w14:paraId="39D8F728">
      <w:pPr>
        <w:spacing w:line="360" w:lineRule="auto"/>
        <w:ind w:firstLine="420" w:firstLineChars="200"/>
      </w:pPr>
      <w:r>
        <w:rPr>
          <w:rFonts w:hint="eastAsia"/>
        </w:rPr>
        <w:t>其中：</w:t>
      </w:r>
    </w:p>
    <w:p w14:paraId="61938603">
      <w:pPr>
        <w:spacing w:line="360" w:lineRule="auto"/>
        <w:ind w:firstLine="420" w:firstLineChars="200"/>
      </w:pPr>
      <w:r>
        <w:rPr>
          <w:rFonts w:hint="eastAsia"/>
        </w:rPr>
        <w:t>（1）安全文明施工费：</w:t>
      </w:r>
    </w:p>
    <w:p w14:paraId="701F4FE5">
      <w:pPr>
        <w:spacing w:line="360" w:lineRule="auto"/>
        <w:ind w:firstLine="420" w:firstLineChars="200"/>
      </w:pPr>
      <w:r>
        <w:rPr>
          <w:rFonts w:hint="eastAsia"/>
        </w:rPr>
        <w:t xml:space="preserve">人民币（大写） </w:t>
      </w:r>
      <w:r>
        <w:rPr>
          <w:rFonts w:hint="eastAsia"/>
          <w:u w:val="single"/>
        </w:rPr>
        <w:t xml:space="preserve">                </w:t>
      </w:r>
      <w:r>
        <w:rPr>
          <w:rFonts w:hint="eastAsia"/>
        </w:rPr>
        <w:t xml:space="preserve">    （¥</w:t>
      </w:r>
      <w:r>
        <w:rPr>
          <w:rFonts w:hint="eastAsia"/>
          <w:u w:val="single"/>
        </w:rPr>
        <w:t xml:space="preserve">            </w:t>
      </w:r>
      <w:r>
        <w:rPr>
          <w:rFonts w:hint="eastAsia"/>
        </w:rPr>
        <w:t>元）；</w:t>
      </w:r>
    </w:p>
    <w:p w14:paraId="62B6AAE7">
      <w:pPr>
        <w:spacing w:line="360" w:lineRule="auto"/>
        <w:ind w:firstLine="420" w:firstLineChars="200"/>
      </w:pPr>
      <w:r>
        <w:rPr>
          <w:rFonts w:hint="eastAsia"/>
        </w:rPr>
        <w:t>（2）材料和工程设备暂估价金额：</w:t>
      </w:r>
    </w:p>
    <w:p w14:paraId="1917FDC6">
      <w:pPr>
        <w:spacing w:line="360" w:lineRule="auto"/>
        <w:ind w:firstLine="420" w:firstLineChars="200"/>
      </w:pPr>
      <w:r>
        <w:rPr>
          <w:rFonts w:hint="eastAsia"/>
        </w:rPr>
        <w:t>人民币（大写）</w:t>
      </w:r>
      <w:r>
        <w:rPr>
          <w:rFonts w:hint="eastAsia"/>
          <w:u w:val="single"/>
        </w:rPr>
        <w:t xml:space="preserve">                   </w:t>
      </w:r>
      <w:r>
        <w:rPr>
          <w:rFonts w:hint="eastAsia"/>
        </w:rPr>
        <w:t xml:space="preserve">  （¥ </w:t>
      </w:r>
      <w:r>
        <w:rPr>
          <w:rFonts w:hint="eastAsia"/>
          <w:u w:val="single"/>
        </w:rPr>
        <w:t xml:space="preserve">          </w:t>
      </w:r>
      <w:r>
        <w:rPr>
          <w:rFonts w:hint="eastAsia"/>
        </w:rPr>
        <w:t xml:space="preserve"> 元）；</w:t>
      </w:r>
    </w:p>
    <w:p w14:paraId="5DEFE20B">
      <w:pPr>
        <w:spacing w:line="360" w:lineRule="auto"/>
        <w:ind w:firstLine="420" w:firstLineChars="200"/>
      </w:pPr>
      <w:r>
        <w:rPr>
          <w:rFonts w:hint="eastAsia"/>
        </w:rPr>
        <w:t>（3）专业工程暂估价金额：</w:t>
      </w:r>
    </w:p>
    <w:p w14:paraId="17A33FA5">
      <w:pPr>
        <w:spacing w:line="360" w:lineRule="auto"/>
        <w:ind w:firstLine="420" w:firstLineChars="200"/>
      </w:pPr>
      <w:r>
        <w:rPr>
          <w:rFonts w:hint="eastAsia"/>
        </w:rPr>
        <w:t>人民币（大写）</w:t>
      </w:r>
      <w:r>
        <w:rPr>
          <w:rFonts w:hint="eastAsia"/>
          <w:u w:val="single"/>
        </w:rPr>
        <w:t xml:space="preserve">                    </w:t>
      </w:r>
      <w:r>
        <w:rPr>
          <w:rFonts w:hint="eastAsia"/>
        </w:rPr>
        <w:t xml:space="preserve"> （¥</w:t>
      </w:r>
      <w:r>
        <w:rPr>
          <w:rFonts w:hint="eastAsia"/>
          <w:u w:val="single"/>
        </w:rPr>
        <w:t xml:space="preserve">           </w:t>
      </w:r>
      <w:r>
        <w:rPr>
          <w:rFonts w:hint="eastAsia"/>
        </w:rPr>
        <w:t xml:space="preserve"> 元）；</w:t>
      </w:r>
    </w:p>
    <w:p w14:paraId="792BE7A2">
      <w:pPr>
        <w:spacing w:line="360" w:lineRule="auto"/>
        <w:ind w:firstLine="420" w:firstLineChars="200"/>
      </w:pPr>
      <w:r>
        <w:rPr>
          <w:rFonts w:hint="eastAsia"/>
        </w:rPr>
        <w:t>（4）暂列金额：</w:t>
      </w:r>
    </w:p>
    <w:p w14:paraId="67D39448">
      <w:pPr>
        <w:spacing w:line="360" w:lineRule="auto"/>
        <w:ind w:firstLine="420" w:firstLineChars="200"/>
      </w:pPr>
      <w:r>
        <w:rPr>
          <w:rFonts w:hint="eastAsia"/>
        </w:rPr>
        <w:t>人民币（大写）</w:t>
      </w:r>
      <w:r>
        <w:rPr>
          <w:rFonts w:hint="eastAsia"/>
          <w:u w:val="single"/>
        </w:rPr>
        <w:t xml:space="preserve">                  </w:t>
      </w:r>
      <w:r>
        <w:rPr>
          <w:rFonts w:hint="eastAsia"/>
        </w:rPr>
        <w:t xml:space="preserve">   （¥ </w:t>
      </w:r>
      <w:r>
        <w:rPr>
          <w:rFonts w:hint="eastAsia"/>
          <w:u w:val="single"/>
        </w:rPr>
        <w:t xml:space="preserve">          </w:t>
      </w:r>
      <w:r>
        <w:rPr>
          <w:rFonts w:hint="eastAsia"/>
        </w:rPr>
        <w:t xml:space="preserve"> 元）。</w:t>
      </w:r>
    </w:p>
    <w:p w14:paraId="7A00B4D9">
      <w:pPr>
        <w:spacing w:line="360" w:lineRule="auto"/>
        <w:ind w:firstLine="420" w:firstLineChars="200"/>
      </w:pPr>
      <w:r>
        <w:rPr>
          <w:rFonts w:hint="eastAsia"/>
        </w:rPr>
        <w:t>2.合同价格形式：</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rPr>
        <w:t>。</w:t>
      </w:r>
    </w:p>
    <w:p w14:paraId="0F386333">
      <w:pPr>
        <w:spacing w:line="360" w:lineRule="auto"/>
        <w:rPr>
          <w:rFonts w:ascii="黑体" w:hAnsi="宋体" w:eastAsia="黑体" w:cs="黑体"/>
          <w:bCs/>
          <w:kern w:val="0"/>
          <w:sz w:val="24"/>
          <w:lang w:bidi="ar"/>
        </w:rPr>
      </w:pPr>
      <w:bookmarkStart w:id="725" w:name="_Toc351203485"/>
      <w:r>
        <w:rPr>
          <w:rFonts w:hint="eastAsia" w:ascii="黑体" w:hAnsi="宋体" w:eastAsia="黑体" w:cs="黑体"/>
          <w:bCs/>
          <w:kern w:val="0"/>
          <w:sz w:val="24"/>
          <w:lang w:bidi="ar"/>
        </w:rPr>
        <w:t>五、</w:t>
      </w:r>
      <w:bookmarkEnd w:id="725"/>
      <w:r>
        <w:rPr>
          <w:rFonts w:hint="eastAsia" w:ascii="黑体" w:hAnsi="宋体" w:eastAsia="黑体" w:cs="黑体"/>
          <w:bCs/>
          <w:kern w:val="0"/>
          <w:sz w:val="24"/>
          <w:lang w:bidi="ar"/>
        </w:rPr>
        <w:t>项目经理</w:t>
      </w:r>
    </w:p>
    <w:p w14:paraId="7CBD7051">
      <w:pPr>
        <w:spacing w:line="360" w:lineRule="auto"/>
        <w:ind w:firstLine="420" w:firstLineChars="200"/>
      </w:pPr>
      <w:r>
        <w:rPr>
          <w:rFonts w:hint="eastAsia"/>
        </w:rPr>
        <w:t>承包人项目经理：</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rPr>
        <w:t>。</w:t>
      </w:r>
    </w:p>
    <w:p w14:paraId="65ED1806">
      <w:pPr>
        <w:spacing w:line="360" w:lineRule="auto"/>
        <w:rPr>
          <w:rFonts w:ascii="黑体" w:hAnsi="宋体" w:eastAsia="黑体" w:cs="黑体"/>
          <w:bCs/>
          <w:kern w:val="0"/>
          <w:sz w:val="24"/>
          <w:lang w:bidi="ar"/>
        </w:rPr>
      </w:pPr>
      <w:bookmarkStart w:id="726" w:name="_Toc351203486"/>
      <w:r>
        <w:rPr>
          <w:rFonts w:hint="eastAsia" w:ascii="黑体" w:hAnsi="宋体" w:eastAsia="黑体" w:cs="黑体"/>
          <w:bCs/>
          <w:kern w:val="0"/>
          <w:sz w:val="24"/>
          <w:lang w:bidi="ar"/>
        </w:rPr>
        <w:t>六、合同文件构成</w:t>
      </w:r>
      <w:bookmarkEnd w:id="726"/>
    </w:p>
    <w:p w14:paraId="7EDBA868">
      <w:pPr>
        <w:spacing w:line="360" w:lineRule="auto"/>
        <w:ind w:firstLine="420" w:firstLineChars="200"/>
      </w:pPr>
      <w:r>
        <w:rPr>
          <w:rFonts w:hint="eastAsia"/>
        </w:rPr>
        <w:t>本协议书与下列文件一起构成合同文件：</w:t>
      </w:r>
    </w:p>
    <w:p w14:paraId="1DE61FD0">
      <w:pPr>
        <w:spacing w:line="360" w:lineRule="auto"/>
        <w:ind w:firstLine="420" w:firstLineChars="200"/>
      </w:pPr>
      <w:r>
        <w:rPr>
          <w:rFonts w:hint="eastAsia"/>
        </w:rPr>
        <w:t>（1）中标通知书（如果有）；</w:t>
      </w:r>
    </w:p>
    <w:p w14:paraId="5A90544C">
      <w:pPr>
        <w:spacing w:line="360" w:lineRule="auto"/>
        <w:ind w:firstLine="420" w:firstLineChars="200"/>
      </w:pPr>
      <w:r>
        <w:rPr>
          <w:rFonts w:hint="eastAsia"/>
        </w:rPr>
        <w:t xml:space="preserve">（2）投标函及其附录（如果有）； </w:t>
      </w:r>
    </w:p>
    <w:p w14:paraId="41DA005C">
      <w:pPr>
        <w:spacing w:line="360" w:lineRule="auto"/>
        <w:ind w:firstLine="420" w:firstLineChars="200"/>
      </w:pPr>
      <w:r>
        <w:rPr>
          <w:rFonts w:hint="eastAsia"/>
        </w:rPr>
        <w:t>（3）专用合同条款及其附件；</w:t>
      </w:r>
    </w:p>
    <w:p w14:paraId="218717B5">
      <w:pPr>
        <w:spacing w:line="360" w:lineRule="auto"/>
        <w:ind w:firstLine="420" w:firstLineChars="200"/>
      </w:pPr>
      <w:r>
        <w:rPr>
          <w:rFonts w:hint="eastAsia"/>
        </w:rPr>
        <w:t>（4）通用合同条款；</w:t>
      </w:r>
    </w:p>
    <w:p w14:paraId="3491A327">
      <w:pPr>
        <w:spacing w:line="360" w:lineRule="auto"/>
        <w:ind w:firstLine="420" w:firstLineChars="200"/>
      </w:pPr>
      <w:r>
        <w:rPr>
          <w:rFonts w:hint="eastAsia"/>
        </w:rPr>
        <w:t>（5）技术标准和要求；</w:t>
      </w:r>
    </w:p>
    <w:p w14:paraId="52C8C5B9">
      <w:pPr>
        <w:spacing w:line="360" w:lineRule="auto"/>
        <w:ind w:firstLine="420" w:firstLineChars="200"/>
      </w:pPr>
      <w:r>
        <w:rPr>
          <w:rFonts w:hint="eastAsia"/>
        </w:rPr>
        <w:t>（6）图纸；</w:t>
      </w:r>
    </w:p>
    <w:p w14:paraId="2062AE14">
      <w:pPr>
        <w:spacing w:line="360" w:lineRule="auto"/>
        <w:ind w:firstLine="420" w:firstLineChars="200"/>
      </w:pPr>
      <w:r>
        <w:rPr>
          <w:rFonts w:hint="eastAsia"/>
        </w:rPr>
        <w:t>（7）已标价工程量清单或预算书；</w:t>
      </w:r>
    </w:p>
    <w:p w14:paraId="2C81ED0B">
      <w:pPr>
        <w:spacing w:line="360" w:lineRule="auto"/>
        <w:ind w:firstLine="420" w:firstLineChars="200"/>
      </w:pPr>
      <w:r>
        <w:rPr>
          <w:rFonts w:hint="eastAsia"/>
        </w:rPr>
        <w:t>（8）其他合同文件。</w:t>
      </w:r>
    </w:p>
    <w:p w14:paraId="2677999E">
      <w:pPr>
        <w:spacing w:line="360" w:lineRule="auto"/>
        <w:ind w:firstLine="420" w:firstLineChars="200"/>
      </w:pPr>
      <w:r>
        <w:rPr>
          <w:rFonts w:hint="eastAsia"/>
        </w:rPr>
        <w:t>在合同订立及履行过程中形成的与合同有关的文件均构成合同文件组成部分。</w:t>
      </w:r>
    </w:p>
    <w:p w14:paraId="74E23203">
      <w:pPr>
        <w:spacing w:line="360" w:lineRule="auto"/>
        <w:ind w:firstLine="420" w:firstLineChars="200"/>
      </w:pPr>
      <w:r>
        <w:rPr>
          <w:rFonts w:hint="eastAsia"/>
        </w:rPr>
        <w:t>上述各项合同文件包括合同当事人就该项合同文件所作出的补充和修改，属于同一类内容的文件，应以最新签署的为准。专用合同条款及其附件须经合同当事人签字或盖章。</w:t>
      </w:r>
    </w:p>
    <w:p w14:paraId="28E1D8D6">
      <w:pPr>
        <w:spacing w:line="360" w:lineRule="auto"/>
        <w:rPr>
          <w:rFonts w:ascii="黑体" w:hAnsi="宋体" w:eastAsia="黑体" w:cs="黑体"/>
          <w:bCs/>
          <w:kern w:val="0"/>
          <w:sz w:val="24"/>
          <w:lang w:bidi="ar"/>
        </w:rPr>
      </w:pPr>
      <w:bookmarkStart w:id="727" w:name="_Toc351203487"/>
      <w:r>
        <w:rPr>
          <w:rFonts w:hint="eastAsia" w:ascii="黑体" w:hAnsi="宋体" w:eastAsia="黑体" w:cs="黑体"/>
          <w:bCs/>
          <w:kern w:val="0"/>
          <w:sz w:val="24"/>
          <w:lang w:bidi="ar"/>
        </w:rPr>
        <w:t>七、承诺</w:t>
      </w:r>
      <w:bookmarkEnd w:id="727"/>
    </w:p>
    <w:p w14:paraId="77ACEB65">
      <w:pPr>
        <w:spacing w:line="360" w:lineRule="auto"/>
        <w:ind w:firstLine="420" w:firstLineChars="200"/>
      </w:pPr>
      <w:r>
        <w:rPr>
          <w:rFonts w:hint="eastAsia"/>
        </w:rPr>
        <w:t>1.发包人承诺按照法律规定履行项目审批手续、筹集工程建设资金并按照合同约定的期限和方式支付合同价款。</w:t>
      </w:r>
    </w:p>
    <w:p w14:paraId="6D6634BB">
      <w:pPr>
        <w:spacing w:line="360" w:lineRule="auto"/>
        <w:ind w:firstLine="420" w:firstLineChars="200"/>
      </w:pPr>
      <w:r>
        <w:rPr>
          <w:rFonts w:hint="eastAsia"/>
        </w:rPr>
        <w:t>2.承包人承诺按照法律规定及合同约定组织完成工程施工，确保工程质量和安全，不进行转包及违法分包，并在缺陷责任期及保修期内承担相应的工程维修责任。</w:t>
      </w:r>
    </w:p>
    <w:p w14:paraId="4CD52F24">
      <w:pPr>
        <w:spacing w:line="360" w:lineRule="auto"/>
        <w:ind w:firstLine="420" w:firstLineChars="200"/>
      </w:pPr>
      <w:r>
        <w:rPr>
          <w:rFonts w:hint="eastAsia"/>
        </w:rPr>
        <w:t>3.发包人和承包人通过招投标形式签订合同的，双方理解并承诺不再就同一工程另行签订与合同实质性内容相背离的协议。</w:t>
      </w:r>
    </w:p>
    <w:p w14:paraId="7537DCBD">
      <w:pPr>
        <w:spacing w:line="360" w:lineRule="auto"/>
        <w:rPr>
          <w:rFonts w:ascii="黑体" w:hAnsi="宋体" w:eastAsia="黑体" w:cs="黑体"/>
          <w:bCs/>
          <w:kern w:val="0"/>
          <w:sz w:val="24"/>
          <w:lang w:bidi="ar"/>
        </w:rPr>
      </w:pPr>
      <w:bookmarkStart w:id="728" w:name="_Toc351203488"/>
      <w:r>
        <w:rPr>
          <w:rFonts w:hint="eastAsia" w:ascii="黑体" w:hAnsi="宋体" w:eastAsia="黑体" w:cs="黑体"/>
          <w:bCs/>
          <w:kern w:val="0"/>
          <w:sz w:val="24"/>
          <w:lang w:bidi="ar"/>
        </w:rPr>
        <w:t>八、词语含义</w:t>
      </w:r>
      <w:bookmarkEnd w:id="728"/>
    </w:p>
    <w:p w14:paraId="484D652A">
      <w:pPr>
        <w:spacing w:line="360" w:lineRule="auto"/>
        <w:ind w:firstLine="420" w:firstLineChars="200"/>
      </w:pPr>
      <w:r>
        <w:rPr>
          <w:rFonts w:hint="eastAsia"/>
        </w:rPr>
        <w:t>本协议书中词语含义与第二部分通用合同条款中赋予的含义相同。</w:t>
      </w:r>
    </w:p>
    <w:p w14:paraId="675F846E">
      <w:pPr>
        <w:spacing w:line="360" w:lineRule="auto"/>
        <w:rPr>
          <w:rFonts w:ascii="黑体" w:hAnsi="宋体" w:eastAsia="黑体" w:cs="黑体"/>
          <w:bCs/>
          <w:kern w:val="0"/>
          <w:sz w:val="24"/>
          <w:lang w:bidi="ar"/>
        </w:rPr>
      </w:pPr>
      <w:bookmarkStart w:id="729" w:name="_Toc351203489"/>
      <w:r>
        <w:rPr>
          <w:rFonts w:hint="eastAsia" w:ascii="黑体" w:hAnsi="宋体" w:eastAsia="黑体" w:cs="黑体"/>
          <w:bCs/>
          <w:kern w:val="0"/>
          <w:sz w:val="24"/>
          <w:lang w:bidi="ar"/>
        </w:rPr>
        <w:t>九、签订时间</w:t>
      </w:r>
      <w:bookmarkEnd w:id="729"/>
    </w:p>
    <w:p w14:paraId="53D2C955">
      <w:pPr>
        <w:spacing w:line="360" w:lineRule="auto"/>
        <w:ind w:firstLine="420" w:firstLineChars="200"/>
      </w:pPr>
      <w:r>
        <w:rPr>
          <w:rFonts w:hint="eastAsia"/>
        </w:rPr>
        <w:t xml:space="preserve">本合同于 </w:t>
      </w:r>
      <w:r>
        <w:rPr>
          <w:rFonts w:hint="eastAsia"/>
          <w:u w:val="single"/>
        </w:rPr>
        <w:t xml:space="preserve">        </w:t>
      </w:r>
      <w:r>
        <w:rPr>
          <w:rFonts w:hint="eastAsia"/>
        </w:rPr>
        <w:t>年</w:t>
      </w:r>
      <w:r>
        <w:rPr>
          <w:rFonts w:hint="eastAsia"/>
          <w:u w:val="single"/>
        </w:rPr>
        <w:t xml:space="preserve">     </w:t>
      </w:r>
      <w:r>
        <w:rPr>
          <w:rFonts w:hint="eastAsia"/>
        </w:rPr>
        <w:t xml:space="preserve"> 月</w:t>
      </w:r>
      <w:r>
        <w:rPr>
          <w:rFonts w:hint="eastAsia"/>
          <w:u w:val="single"/>
        </w:rPr>
        <w:t xml:space="preserve">     </w:t>
      </w:r>
      <w:r>
        <w:rPr>
          <w:rFonts w:hint="eastAsia"/>
        </w:rPr>
        <w:t>日签订。</w:t>
      </w:r>
    </w:p>
    <w:p w14:paraId="28C7D366">
      <w:pPr>
        <w:spacing w:line="360" w:lineRule="auto"/>
        <w:rPr>
          <w:rFonts w:ascii="黑体" w:hAnsi="宋体" w:eastAsia="黑体" w:cs="黑体"/>
          <w:bCs/>
          <w:kern w:val="0"/>
          <w:sz w:val="24"/>
          <w:lang w:bidi="ar"/>
        </w:rPr>
      </w:pPr>
      <w:bookmarkStart w:id="730" w:name="_Toc351203490"/>
      <w:r>
        <w:rPr>
          <w:rFonts w:hint="eastAsia" w:ascii="黑体" w:hAnsi="宋体" w:eastAsia="黑体" w:cs="黑体"/>
          <w:bCs/>
          <w:kern w:val="0"/>
          <w:sz w:val="24"/>
          <w:lang w:bidi="ar"/>
        </w:rPr>
        <w:t>十、签订地点</w:t>
      </w:r>
      <w:bookmarkEnd w:id="730"/>
    </w:p>
    <w:p w14:paraId="7CA01CFB">
      <w:pPr>
        <w:spacing w:line="360" w:lineRule="auto"/>
        <w:ind w:firstLine="420" w:firstLineChars="200"/>
      </w:pPr>
      <w:r>
        <w:rPr>
          <w:rFonts w:hint="eastAsia"/>
        </w:rPr>
        <w:t xml:space="preserve">本合同在  </w:t>
      </w:r>
      <w:r>
        <w:rPr>
          <w:rFonts w:hint="eastAsia"/>
          <w:u w:val="single"/>
        </w:rPr>
        <w:t xml:space="preserve">                                 </w:t>
      </w:r>
      <w:r>
        <w:rPr>
          <w:rFonts w:hint="eastAsia"/>
        </w:rPr>
        <w:t xml:space="preserve"> 签订。</w:t>
      </w:r>
    </w:p>
    <w:p w14:paraId="307F49C2">
      <w:pPr>
        <w:spacing w:line="360" w:lineRule="auto"/>
        <w:rPr>
          <w:rFonts w:ascii="黑体" w:hAnsi="宋体" w:eastAsia="黑体" w:cs="黑体"/>
          <w:bCs/>
          <w:kern w:val="0"/>
          <w:sz w:val="24"/>
          <w:lang w:bidi="ar"/>
        </w:rPr>
      </w:pPr>
      <w:bookmarkStart w:id="731" w:name="_Toc351203491"/>
      <w:r>
        <w:rPr>
          <w:rFonts w:hint="eastAsia" w:ascii="黑体" w:hAnsi="宋体" w:eastAsia="黑体" w:cs="黑体"/>
          <w:bCs/>
          <w:kern w:val="0"/>
          <w:sz w:val="24"/>
          <w:lang w:bidi="ar"/>
        </w:rPr>
        <w:t>十一、补充协议</w:t>
      </w:r>
      <w:bookmarkEnd w:id="731"/>
    </w:p>
    <w:p w14:paraId="1A2ADD21">
      <w:pPr>
        <w:spacing w:line="360" w:lineRule="auto"/>
        <w:ind w:firstLine="420" w:firstLineChars="200"/>
      </w:pPr>
      <w:r>
        <w:rPr>
          <w:rFonts w:hint="eastAsia"/>
        </w:rPr>
        <w:t>合同未尽事宜，合同当事人另行签订补充协议，补充协议是合同的组成部分。</w:t>
      </w:r>
    </w:p>
    <w:p w14:paraId="3EECB12B">
      <w:pPr>
        <w:spacing w:line="360" w:lineRule="auto"/>
        <w:rPr>
          <w:rFonts w:ascii="黑体" w:hAnsi="宋体" w:eastAsia="黑体" w:cs="黑体"/>
          <w:bCs/>
          <w:kern w:val="0"/>
          <w:sz w:val="24"/>
          <w:lang w:bidi="ar"/>
        </w:rPr>
      </w:pPr>
      <w:bookmarkStart w:id="732" w:name="_Toc351203492"/>
      <w:r>
        <w:rPr>
          <w:rFonts w:hint="eastAsia" w:ascii="黑体" w:hAnsi="宋体" w:eastAsia="黑体" w:cs="黑体"/>
          <w:bCs/>
          <w:kern w:val="0"/>
          <w:sz w:val="24"/>
          <w:lang w:bidi="ar"/>
        </w:rPr>
        <w:t>十二、合同生效</w:t>
      </w:r>
      <w:bookmarkEnd w:id="732"/>
    </w:p>
    <w:p w14:paraId="0EE84CF5">
      <w:pPr>
        <w:spacing w:line="360" w:lineRule="auto"/>
        <w:ind w:firstLine="420" w:firstLineChars="200"/>
      </w:pPr>
      <w:r>
        <w:rPr>
          <w:rFonts w:hint="eastAsia"/>
        </w:rPr>
        <w:t>本合同自</w:t>
      </w:r>
      <w:r>
        <w:rPr>
          <w:rFonts w:hint="eastAsia"/>
          <w:u w:val="single"/>
        </w:rPr>
        <w:t xml:space="preserve">                                  </w:t>
      </w:r>
      <w:r>
        <w:rPr>
          <w:rFonts w:hint="eastAsia"/>
        </w:rPr>
        <w:t xml:space="preserve"> 生效。</w:t>
      </w:r>
    </w:p>
    <w:p w14:paraId="5409A8FA">
      <w:pPr>
        <w:spacing w:line="360" w:lineRule="auto"/>
        <w:rPr>
          <w:rFonts w:ascii="黑体" w:hAnsi="宋体" w:eastAsia="黑体" w:cs="黑体"/>
          <w:bCs/>
          <w:kern w:val="0"/>
          <w:sz w:val="24"/>
          <w:lang w:bidi="ar"/>
        </w:rPr>
      </w:pPr>
      <w:bookmarkStart w:id="733" w:name="_Toc351203493"/>
      <w:r>
        <w:rPr>
          <w:rFonts w:hint="eastAsia" w:ascii="黑体" w:hAnsi="宋体" w:eastAsia="黑体" w:cs="黑体"/>
          <w:bCs/>
          <w:kern w:val="0"/>
          <w:sz w:val="24"/>
          <w:lang w:bidi="ar"/>
        </w:rPr>
        <w:t>十三、合同份数</w:t>
      </w:r>
      <w:bookmarkEnd w:id="733"/>
    </w:p>
    <w:p w14:paraId="3437FC33">
      <w:pPr>
        <w:spacing w:line="360" w:lineRule="auto"/>
        <w:ind w:firstLine="420" w:firstLineChars="200"/>
      </w:pPr>
      <w:r>
        <w:rPr>
          <w:rFonts w:hint="eastAsia"/>
        </w:rPr>
        <w:t xml:space="preserve">本合同一式  </w:t>
      </w:r>
      <w:r>
        <w:rPr>
          <w:rFonts w:hint="eastAsia"/>
          <w:i/>
          <w:iCs/>
          <w:u w:val="single"/>
        </w:rPr>
        <w:t xml:space="preserve">    </w:t>
      </w:r>
      <w:r>
        <w:rPr>
          <w:rFonts w:hint="eastAsia"/>
        </w:rPr>
        <w:t>份，均具有同等法律效力，发包人执</w:t>
      </w:r>
      <w:r>
        <w:rPr>
          <w:rFonts w:hint="eastAsia"/>
          <w:u w:val="single"/>
        </w:rPr>
        <w:t xml:space="preserve">   </w:t>
      </w:r>
      <w:r>
        <w:rPr>
          <w:rFonts w:hint="eastAsia"/>
        </w:rPr>
        <w:t>份，承包人执</w:t>
      </w:r>
      <w:r>
        <w:rPr>
          <w:rFonts w:hint="eastAsia"/>
          <w:u w:val="single"/>
        </w:rPr>
        <w:t xml:space="preserve">       </w:t>
      </w:r>
      <w:r>
        <w:rPr>
          <w:rFonts w:hint="eastAsia"/>
        </w:rPr>
        <w:t>份。</w:t>
      </w:r>
    </w:p>
    <w:p w14:paraId="448EF1F8">
      <w:pPr>
        <w:spacing w:line="360" w:lineRule="auto"/>
        <w:ind w:firstLine="420" w:firstLineChars="200"/>
        <w:rPr>
          <w:rFonts w:ascii="宋体" w:hAnsi="宋体" w:cs="宋体"/>
        </w:rPr>
      </w:pPr>
    </w:p>
    <w:p w14:paraId="63265D6F">
      <w:pPr>
        <w:spacing w:line="360" w:lineRule="auto"/>
        <w:ind w:firstLine="420" w:firstLineChars="200"/>
        <w:rPr>
          <w:rFonts w:ascii="宋体" w:hAnsi="宋体" w:cs="宋体"/>
        </w:rPr>
      </w:pPr>
    </w:p>
    <w:p w14:paraId="472E3487">
      <w:pPr>
        <w:spacing w:line="360" w:lineRule="auto"/>
        <w:ind w:firstLine="420" w:firstLineChars="200"/>
        <w:rPr>
          <w:rFonts w:ascii="宋体" w:hAnsi="宋体" w:cs="宋体"/>
        </w:rPr>
      </w:pPr>
    </w:p>
    <w:p w14:paraId="25E1564F">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发包人：  （公章）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承包人：  （公章）</w:t>
      </w:r>
    </w:p>
    <w:p w14:paraId="69B3B09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                                 </w:t>
      </w:r>
    </w:p>
    <w:p w14:paraId="0EFD656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法定代表人或其委托代理人：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法定代表人或其委托代理人：</w:t>
      </w:r>
    </w:p>
    <w:p w14:paraId="4DF4317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（签字）                           </w:t>
      </w:r>
      <w:r>
        <w:rPr>
          <w:rFonts w:hint="eastAsia"/>
          <w:lang w:val="en-US" w:eastAsia="zh-CN"/>
        </w:rPr>
        <w:t xml:space="preserve">      </w:t>
      </w:r>
      <w:r>
        <w:rPr>
          <w:rFonts w:hint="eastAsia"/>
        </w:rPr>
        <w:t>（签字）</w:t>
      </w:r>
    </w:p>
    <w:p w14:paraId="30DC99A2">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组织机构代码：</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eastAsia="zh-CN"/>
        </w:rPr>
        <w:t xml:space="preserve"> </w:t>
      </w:r>
      <w:r>
        <w:rPr>
          <w:rFonts w:hint="eastAsia"/>
          <w:lang w:val="en-US" w:eastAsia="zh-CN"/>
        </w:rPr>
        <w:t xml:space="preserve">       </w:t>
      </w:r>
      <w:r>
        <w:rPr>
          <w:rFonts w:hint="eastAsia"/>
        </w:rPr>
        <w:t>组织机构代码：</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p>
    <w:p w14:paraId="7AE722E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地  址： </w:t>
      </w:r>
      <w:r>
        <w:rPr>
          <w:rFonts w:hint="eastAsia"/>
          <w:lang w:eastAsia="zh-CN"/>
        </w:rPr>
        <w:t xml:space="preserve">              </w:t>
      </w:r>
      <w:r>
        <w:rPr>
          <w:rFonts w:hint="eastAsia"/>
        </w:rPr>
        <w:t xml:space="preserve">           </w:t>
      </w:r>
      <w:r>
        <w:rPr>
          <w:rFonts w:hint="eastAsia"/>
          <w:lang w:val="en-US" w:eastAsia="zh-CN"/>
        </w:rPr>
        <w:t xml:space="preserve">       </w:t>
      </w:r>
      <w:r>
        <w:rPr>
          <w:rFonts w:hint="eastAsia"/>
        </w:rPr>
        <w:t>地  址：</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p>
    <w:p w14:paraId="0DE1E7A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邮政编码： </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val="en-US" w:eastAsia="zh-CN"/>
        </w:rPr>
        <w:t xml:space="preserve">      </w:t>
      </w:r>
      <w:r>
        <w:rPr>
          <w:rFonts w:hint="eastAsia"/>
        </w:rPr>
        <w:t xml:space="preserve"> 邮政编码：</w:t>
      </w:r>
      <w:r>
        <w:rPr>
          <w:rFonts w:hint="eastAsia"/>
          <w:lang w:eastAsia="zh-CN"/>
        </w:rPr>
        <w:t xml:space="preserve">                </w:t>
      </w:r>
      <w:r>
        <w:rPr>
          <w:rFonts w:hint="eastAsia"/>
        </w:rPr>
        <w:t xml:space="preserve">   </w:t>
      </w:r>
    </w:p>
    <w:p w14:paraId="77C277A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法定代表人：</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val="en-US" w:eastAsia="zh-CN"/>
        </w:rPr>
        <w:t xml:space="preserve">      </w:t>
      </w:r>
      <w:r>
        <w:rPr>
          <w:rFonts w:hint="eastAsia"/>
        </w:rPr>
        <w:t>法定代表人：</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p>
    <w:p w14:paraId="35F7BC6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委托代理人：</w:t>
      </w:r>
      <w:r>
        <w:rPr>
          <w:rFonts w:hint="eastAsia"/>
          <w:lang w:eastAsia="zh-CN"/>
        </w:rPr>
        <w:t xml:space="preserve">    </w:t>
      </w:r>
      <w:r>
        <w:rPr>
          <w:rFonts w:hint="eastAsia"/>
        </w:rPr>
        <w:t xml:space="preserve">                   </w:t>
      </w:r>
      <w:r>
        <w:rPr>
          <w:rFonts w:hint="eastAsia"/>
          <w:lang w:val="en-US" w:eastAsia="zh-CN"/>
        </w:rPr>
        <w:t xml:space="preserve">      </w:t>
      </w:r>
      <w:r>
        <w:rPr>
          <w:rFonts w:hint="eastAsia"/>
        </w:rPr>
        <w:t>委托代理人：</w:t>
      </w:r>
      <w:r>
        <w:rPr>
          <w:rFonts w:hint="eastAsia"/>
          <w:lang w:eastAsia="zh-CN"/>
        </w:rPr>
        <w:t xml:space="preserve">    </w:t>
      </w:r>
      <w:r>
        <w:rPr>
          <w:rFonts w:hint="eastAsia"/>
        </w:rPr>
        <w:t xml:space="preserve">             </w:t>
      </w:r>
    </w:p>
    <w:p w14:paraId="42022321">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电  话：</w:t>
      </w:r>
      <w:r>
        <w:rPr>
          <w:rFonts w:hint="eastAsia"/>
          <w:lang w:eastAsia="zh-CN"/>
        </w:rPr>
        <w:t xml:space="preserve">                </w:t>
      </w:r>
      <w:r>
        <w:rPr>
          <w:rFonts w:hint="eastAsia"/>
        </w:rPr>
        <w:t xml:space="preserve">          </w:t>
      </w:r>
      <w:r>
        <w:rPr>
          <w:rFonts w:hint="eastAsia"/>
          <w:lang w:val="en-US" w:eastAsia="zh-CN"/>
        </w:rPr>
        <w:t xml:space="preserve">      </w:t>
      </w:r>
      <w:r>
        <w:rPr>
          <w:rFonts w:hint="eastAsia"/>
        </w:rPr>
        <w:t xml:space="preserve"> 电  话：</w:t>
      </w:r>
      <w:r>
        <w:rPr>
          <w:rFonts w:hint="eastAsia"/>
          <w:lang w:eastAsia="zh-CN"/>
        </w:rPr>
        <w:t xml:space="preserve">                </w:t>
      </w:r>
      <w:r>
        <w:rPr>
          <w:rFonts w:hint="eastAsia"/>
        </w:rPr>
        <w:t xml:space="preserve">     </w:t>
      </w:r>
    </w:p>
    <w:p w14:paraId="6E65DC1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传  真：</w:t>
      </w:r>
      <w:r>
        <w:rPr>
          <w:rFonts w:hint="eastAsia"/>
          <w:lang w:eastAsia="zh-CN"/>
        </w:rPr>
        <w:t xml:space="preserve">                </w:t>
      </w:r>
      <w:r>
        <w:rPr>
          <w:rFonts w:hint="eastAsia"/>
        </w:rPr>
        <w:t xml:space="preserve">          </w:t>
      </w:r>
      <w:r>
        <w:rPr>
          <w:rFonts w:hint="eastAsia"/>
          <w:lang w:val="en-US" w:eastAsia="zh-CN"/>
        </w:rPr>
        <w:t xml:space="preserve">      </w:t>
      </w:r>
      <w:r>
        <w:rPr>
          <w:rFonts w:hint="eastAsia"/>
        </w:rPr>
        <w:t xml:space="preserve"> 传  真：</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p>
    <w:p w14:paraId="073FC4B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 xml:space="preserve">电子信箱：                         </w:t>
      </w:r>
      <w:r>
        <w:rPr>
          <w:rFonts w:hint="eastAsia"/>
          <w:lang w:val="en-US" w:eastAsia="zh-CN"/>
        </w:rPr>
        <w:t xml:space="preserve">      </w:t>
      </w:r>
      <w:r>
        <w:rPr>
          <w:rFonts w:hint="eastAsia"/>
        </w:rPr>
        <w:t>电子信箱：</w:t>
      </w:r>
      <w:r>
        <w:rPr>
          <w:rFonts w:hint="eastAsia"/>
          <w:lang w:eastAsia="zh-CN"/>
        </w:rPr>
        <w:t xml:space="preserve">                </w:t>
      </w:r>
      <w:r>
        <w:rPr>
          <w:rFonts w:hint="eastAsia"/>
        </w:rPr>
        <w:t xml:space="preserve">   </w:t>
      </w:r>
    </w:p>
    <w:p w14:paraId="2831269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r>
        <w:rPr>
          <w:rFonts w:hint="eastAsia"/>
        </w:rPr>
        <w:t>开户银行：</w:t>
      </w:r>
      <w:r>
        <w:rPr>
          <w:rFonts w:hint="eastAsia"/>
          <w:lang w:eastAsia="zh-CN"/>
        </w:rPr>
        <w:t xml:space="preserve">              </w:t>
      </w:r>
      <w:r>
        <w:rPr>
          <w:rFonts w:hint="eastAsia"/>
        </w:rPr>
        <w:t xml:space="preserve">          </w:t>
      </w:r>
      <w:r>
        <w:rPr>
          <w:rFonts w:hint="eastAsia"/>
          <w:lang w:val="en-US" w:eastAsia="zh-CN"/>
        </w:rPr>
        <w:t xml:space="preserve">      </w:t>
      </w:r>
      <w:r>
        <w:rPr>
          <w:rFonts w:hint="eastAsia"/>
        </w:rPr>
        <w:t xml:space="preserve"> 开户银行：</w:t>
      </w:r>
      <w:r>
        <w:rPr>
          <w:rFonts w:hint="eastAsia"/>
          <w:lang w:eastAsia="zh-CN"/>
        </w:rPr>
        <w:t xml:space="preserve">                </w:t>
      </w:r>
      <w:r>
        <w:rPr>
          <w:rFonts w:hint="eastAsia"/>
        </w:rPr>
        <w:t xml:space="preserve">   </w:t>
      </w:r>
    </w:p>
    <w:p w14:paraId="1C39F11E">
      <w:pPr>
        <w:ind w:left="420" w:leftChars="200"/>
        <w:rPr>
          <w:u w:val="single"/>
        </w:rPr>
      </w:pPr>
      <w:r>
        <w:rPr>
          <w:rFonts w:hint="eastAsia"/>
        </w:rPr>
        <w:t>账  号：</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val="en-US" w:eastAsia="zh-CN"/>
        </w:rPr>
        <w:t xml:space="preserve">      </w:t>
      </w:r>
      <w:r>
        <w:rPr>
          <w:rFonts w:hint="eastAsia"/>
        </w:rPr>
        <w:t xml:space="preserve">   账  号：</w:t>
      </w:r>
      <w:r>
        <w:rPr>
          <w:rFonts w:hint="eastAsia"/>
          <w:lang w:eastAsia="zh-CN"/>
        </w:rPr>
        <w:t xml:space="preserve"> </w:t>
      </w:r>
    </w:p>
    <w:p w14:paraId="3F60450A">
      <w:r>
        <w:br w:type="page"/>
      </w:r>
    </w:p>
    <w:p w14:paraId="39CD0E3F">
      <w:pPr>
        <w:pStyle w:val="23"/>
        <w:jc w:val="center"/>
        <w:rPr>
          <w:sz w:val="36"/>
          <w:szCs w:val="22"/>
        </w:rPr>
      </w:pPr>
      <w:bookmarkStart w:id="734" w:name="_Toc152264509"/>
      <w:bookmarkStart w:id="735" w:name="_Toc256000150"/>
      <w:bookmarkStart w:id="736" w:name="_Toc351203494"/>
      <w:bookmarkStart w:id="737" w:name="_Hlk154575269"/>
      <w:r>
        <w:rPr>
          <w:rFonts w:hint="eastAsia"/>
          <w:sz w:val="36"/>
          <w:szCs w:val="22"/>
        </w:rPr>
        <w:t>第二部分 通用合同条款</w:t>
      </w:r>
      <w:bookmarkEnd w:id="734"/>
      <w:bookmarkEnd w:id="735"/>
      <w:bookmarkEnd w:id="736"/>
      <w:bookmarkStart w:id="738" w:name="_Toc337558727"/>
    </w:p>
    <w:p w14:paraId="4DB49153">
      <w:pPr>
        <w:pStyle w:val="23"/>
        <w:ind w:firstLine="640" w:firstLineChars="200"/>
        <w:rPr>
          <w:rFonts w:ascii="黑体" w:hAnsi="宋体" w:cs="黑体"/>
          <w:kern w:val="0"/>
          <w:sz w:val="32"/>
          <w:lang w:bidi="ar"/>
        </w:rPr>
      </w:pPr>
      <w:bookmarkStart w:id="739" w:name="_Toc256000151"/>
      <w:bookmarkStart w:id="740" w:name="_Toc351203495"/>
      <w:bookmarkStart w:id="741" w:name="_Toc152264510"/>
      <w:r>
        <w:rPr>
          <w:rFonts w:hint="eastAsia" w:ascii="黑体" w:hAnsi="宋体" w:cs="黑体"/>
          <w:kern w:val="0"/>
          <w:sz w:val="32"/>
          <w:lang w:bidi="ar"/>
        </w:rPr>
        <w:t>1.</w:t>
      </w:r>
      <w:bookmarkStart w:id="742" w:name="_Toc303538973"/>
      <w:bookmarkEnd w:id="742"/>
      <w:bookmarkStart w:id="743" w:name="_Toc303538972"/>
      <w:bookmarkEnd w:id="743"/>
      <w:bookmarkStart w:id="744" w:name="_Toc303538976"/>
      <w:bookmarkEnd w:id="744"/>
      <w:bookmarkStart w:id="745" w:name="_Toc303538974"/>
      <w:bookmarkEnd w:id="745"/>
      <w:bookmarkStart w:id="746" w:name="_Toc303538975"/>
      <w:bookmarkEnd w:id="746"/>
      <w:bookmarkStart w:id="747" w:name="_Toc296346528"/>
      <w:bookmarkStart w:id="748" w:name="_Toc296503027"/>
      <w:r>
        <w:rPr>
          <w:rFonts w:hint="eastAsia" w:ascii="黑体" w:hAnsi="宋体" w:cs="黑体"/>
          <w:kern w:val="0"/>
          <w:sz w:val="32"/>
          <w:lang w:bidi="ar"/>
        </w:rPr>
        <w:t>一般约定</w:t>
      </w:r>
      <w:bookmarkEnd w:id="738"/>
      <w:bookmarkEnd w:id="739"/>
      <w:bookmarkEnd w:id="740"/>
      <w:bookmarkEnd w:id="741"/>
      <w:bookmarkEnd w:id="747"/>
      <w:bookmarkEnd w:id="748"/>
    </w:p>
    <w:p w14:paraId="169BC656">
      <w:pPr>
        <w:pStyle w:val="25"/>
        <w:ind w:firstLine="482" w:firstLineChars="200"/>
        <w:rPr>
          <w:b/>
        </w:rPr>
      </w:pPr>
      <w:bookmarkStart w:id="749" w:name="_Toc296503028"/>
      <w:bookmarkStart w:id="750" w:name="_Toc296346529"/>
      <w:bookmarkStart w:id="751" w:name="_Toc337558728"/>
      <w:bookmarkStart w:id="752" w:name="_Toc256000152"/>
      <w:bookmarkStart w:id="753" w:name="_Toc152264511"/>
      <w:bookmarkStart w:id="754" w:name="_Toc351203496"/>
      <w:r>
        <w:rPr>
          <w:b/>
        </w:rPr>
        <w:t>1.1词语定义</w:t>
      </w:r>
      <w:bookmarkEnd w:id="749"/>
      <w:bookmarkEnd w:id="750"/>
      <w:bookmarkEnd w:id="751"/>
      <w:r>
        <w:rPr>
          <w:b/>
        </w:rPr>
        <w:t>与解释</w:t>
      </w:r>
      <w:bookmarkEnd w:id="752"/>
      <w:bookmarkEnd w:id="753"/>
      <w:bookmarkEnd w:id="754"/>
    </w:p>
    <w:p w14:paraId="07B35D45">
      <w:pPr>
        <w:spacing w:line="400" w:lineRule="exact"/>
        <w:ind w:firstLine="420" w:firstLineChars="200"/>
      </w:pPr>
      <w:r>
        <w:t>合同协议书、通用合同条款、专用合同条款中的下列词语具有本款所赋予的含义：</w:t>
      </w:r>
    </w:p>
    <w:p w14:paraId="237CDE82">
      <w:pPr>
        <w:spacing w:line="400" w:lineRule="exact"/>
        <w:ind w:firstLine="420" w:firstLineChars="200"/>
      </w:pPr>
      <w:r>
        <w:t>1.1.1 合同</w:t>
      </w:r>
    </w:p>
    <w:p w14:paraId="474CED1C">
      <w:pPr>
        <w:spacing w:line="400" w:lineRule="exact"/>
        <w:ind w:firstLine="420" w:firstLineChars="200"/>
      </w:pPr>
      <w: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EF7D186">
      <w:pPr>
        <w:spacing w:line="400" w:lineRule="exact"/>
        <w:ind w:firstLine="420" w:firstLineChars="200"/>
      </w:pPr>
      <w:r>
        <w:t>1.1.1.2 合同协议书：是指构成合同的由发包人和承包人共同签署的称为“合同协议书”的书面文件</w:t>
      </w:r>
      <w:r>
        <w:rPr>
          <w:rFonts w:hint="eastAsia"/>
        </w:rPr>
        <w:t>。</w:t>
      </w:r>
    </w:p>
    <w:p w14:paraId="07A116F6">
      <w:pPr>
        <w:spacing w:line="400" w:lineRule="exact"/>
        <w:ind w:firstLine="420" w:firstLineChars="200"/>
      </w:pPr>
      <w:r>
        <w:t>1.1.1.3 中标通知书：是指构成合同的</w:t>
      </w:r>
      <w:r>
        <w:rPr>
          <w:rFonts w:hint="eastAsia"/>
        </w:rPr>
        <w:t>由</w:t>
      </w:r>
      <w:r>
        <w:t>发包人通知承包人中标的书面文件。</w:t>
      </w:r>
    </w:p>
    <w:p w14:paraId="676A658C">
      <w:pPr>
        <w:spacing w:line="400" w:lineRule="exact"/>
        <w:ind w:firstLine="420" w:firstLineChars="200"/>
      </w:pPr>
      <w:r>
        <w:t>1.1.1.4 投标函：是指构成合同的由承包人填写并签署的用于投标的称为“投标函”的文件。</w:t>
      </w:r>
    </w:p>
    <w:p w14:paraId="7F9024B8">
      <w:pPr>
        <w:spacing w:line="400" w:lineRule="exact"/>
        <w:ind w:firstLine="420" w:firstLineChars="200"/>
      </w:pPr>
      <w:r>
        <w:t>1.1.1.5 投标函附录：是指构成合同的附在投标函后的称为“投标函附录”的文件。</w:t>
      </w:r>
    </w:p>
    <w:p w14:paraId="631BC6B7">
      <w:pPr>
        <w:spacing w:line="400" w:lineRule="exact"/>
        <w:ind w:firstLine="420" w:firstLineChars="200"/>
      </w:pPr>
      <w:r>
        <w:t>1.1.1.6 技术标准和要求：是指构成合同的施工应当遵守的或指导施工的国家、行业或地方的技术标准和要求，以及合同约定的技术标准和要求。</w:t>
      </w:r>
    </w:p>
    <w:p w14:paraId="0A9DAED2">
      <w:pPr>
        <w:spacing w:line="400" w:lineRule="exact"/>
        <w:ind w:firstLine="420" w:firstLineChars="200"/>
      </w:pPr>
      <w:r>
        <w:t>1.1.1.7 图纸：是指构成合同的图纸，包括由发包人按照合同约定提供或经发包人批准的设计文件、</w:t>
      </w:r>
      <w:r>
        <w:rPr>
          <w:rFonts w:hint="eastAsia"/>
        </w:rPr>
        <w:t>施工图、</w:t>
      </w:r>
      <w:r>
        <w:t>鸟瞰图及模型等，</w:t>
      </w:r>
      <w:r>
        <w:rPr>
          <w:rFonts w:hint="eastAsia"/>
        </w:rPr>
        <w:t>以及在合同履行过程中形成的图纸文件。图纸</w:t>
      </w:r>
      <w:r>
        <w:t>应当按照法律规定审查合格。</w:t>
      </w:r>
    </w:p>
    <w:p w14:paraId="10546EF0">
      <w:pPr>
        <w:spacing w:line="400" w:lineRule="exact"/>
        <w:ind w:firstLine="420" w:firstLineChars="200"/>
      </w:pPr>
      <w:r>
        <w:t>1.1.1.8 已标价工程量清单：是指构成合同的由承包人按照规定的格式和要求填写并标明价格的工程量清单，包括说明和表格。</w:t>
      </w:r>
    </w:p>
    <w:p w14:paraId="54FFB407">
      <w:pPr>
        <w:spacing w:line="400" w:lineRule="exact"/>
        <w:ind w:firstLine="420" w:firstLineChars="200"/>
      </w:pPr>
      <w:r>
        <w:t>1.1.1.9 预算书：是指构成合同的由承包人按照发包人规定的格式和要求编制的工程预算文件。</w:t>
      </w:r>
    </w:p>
    <w:p w14:paraId="2753DA18">
      <w:pPr>
        <w:spacing w:line="400" w:lineRule="exact"/>
        <w:ind w:firstLine="420" w:firstLineChars="200"/>
      </w:pPr>
      <w:r>
        <w:t>1.1.1.10 其他合同文件：是指经合同当事人约定的与工程施工有关的具有合同约束力的文件或书面协议。合同当事人可以在专用合同条款中进行约定。</w:t>
      </w:r>
    </w:p>
    <w:p w14:paraId="406BC6C6">
      <w:pPr>
        <w:spacing w:line="400" w:lineRule="exact"/>
        <w:ind w:firstLine="420" w:firstLineChars="200"/>
      </w:pPr>
      <w:r>
        <w:t>1.1.2 合同当事人及其他相关方</w:t>
      </w:r>
    </w:p>
    <w:p w14:paraId="68BD05C2">
      <w:pPr>
        <w:spacing w:line="400" w:lineRule="exact"/>
        <w:ind w:firstLine="420" w:firstLineChars="200"/>
      </w:pPr>
      <w:r>
        <w:t>1.1.2.1 合同当事人：是指发包人和（或）承包人。</w:t>
      </w:r>
    </w:p>
    <w:p w14:paraId="5261BDD8">
      <w:pPr>
        <w:spacing w:line="400" w:lineRule="exact"/>
        <w:ind w:firstLine="420" w:firstLineChars="200"/>
      </w:pPr>
      <w:r>
        <w:t>1.1.2.2 发包人：是指与承包人签订合同协议书的当事人及取得该当事人资格的合法继承人。</w:t>
      </w:r>
    </w:p>
    <w:p w14:paraId="1DE16E15">
      <w:pPr>
        <w:spacing w:line="400" w:lineRule="exact"/>
        <w:ind w:firstLine="420" w:firstLineChars="200"/>
      </w:pPr>
      <w:r>
        <w:t>1.1.2.3 承包人：是指与发包人签订合同协议书的，具有相应工程施工承包资质的当事人及取得该当事人资格的合法继承人。</w:t>
      </w:r>
    </w:p>
    <w:p w14:paraId="34AC5008">
      <w:pPr>
        <w:spacing w:line="400" w:lineRule="exact"/>
        <w:ind w:firstLine="420" w:firstLineChars="200"/>
      </w:pPr>
      <w:r>
        <w:t>1.1.2.4 监理人：是指在专用合同条款中指明的，受发包人委托按照法律规定进行工程监督管理的法人或其他组织。</w:t>
      </w:r>
    </w:p>
    <w:p w14:paraId="612A6938">
      <w:pPr>
        <w:spacing w:line="400" w:lineRule="exact"/>
        <w:ind w:firstLine="420" w:firstLineChars="200"/>
      </w:pPr>
      <w:r>
        <w:t>1.1.2.5 设计人：是指在专用合同条款中指明的，受发包人委托负责工程设计并具备相应工程设计资质的法人或其他组织。</w:t>
      </w:r>
    </w:p>
    <w:p w14:paraId="625C655A">
      <w:pPr>
        <w:spacing w:line="400" w:lineRule="exact"/>
        <w:ind w:firstLine="420" w:firstLineChars="200"/>
      </w:pPr>
      <w:r>
        <w:t>1.1.2.6 分包人：</w:t>
      </w:r>
      <w:bookmarkStart w:id="755" w:name="#go5"/>
      <w:bookmarkEnd w:id="755"/>
      <w:r>
        <w:t>是指</w:t>
      </w:r>
      <w:r>
        <w:rPr>
          <w:rFonts w:hint="eastAsia"/>
        </w:rPr>
        <w:t>按照法律规定和</w:t>
      </w:r>
      <w:r>
        <w:t>合同约定，分包</w:t>
      </w:r>
      <w:r>
        <w:rPr>
          <w:rFonts w:hint="eastAsia"/>
        </w:rPr>
        <w:t>部分</w:t>
      </w:r>
      <w:r>
        <w:t>工程</w:t>
      </w:r>
      <w:r>
        <w:rPr>
          <w:rFonts w:hint="eastAsia"/>
        </w:rPr>
        <w:t>或工作</w:t>
      </w:r>
      <w:r>
        <w:t>，并与</w:t>
      </w:r>
      <w:r>
        <w:rPr>
          <w:rFonts w:hint="eastAsia"/>
        </w:rPr>
        <w:t>承包人</w:t>
      </w:r>
      <w:r>
        <w:t>签订分包合同的具有相应资质的法人。</w:t>
      </w:r>
    </w:p>
    <w:p w14:paraId="21F87B3B">
      <w:pPr>
        <w:spacing w:line="400" w:lineRule="exact"/>
        <w:ind w:firstLine="420" w:firstLineChars="200"/>
      </w:pPr>
      <w:r>
        <w:t>1.1.2.7 发包人代表：是指由发包人任命并派驻施工现场在发包人授权范围内行使发包人权利的人。</w:t>
      </w:r>
    </w:p>
    <w:p w14:paraId="5C23B1BC">
      <w:pPr>
        <w:spacing w:line="400" w:lineRule="exact"/>
        <w:ind w:firstLine="420" w:firstLineChars="200"/>
      </w:pPr>
      <w:r>
        <w:t>1.1.2.8 项目经理：是指由承包人任命并派驻施工现场，在承包人授权范围内负责合同履行，且按照法律规定具有相应资格的</w:t>
      </w:r>
      <w:r>
        <w:rPr>
          <w:rFonts w:hint="eastAsia"/>
        </w:rPr>
        <w:t>项目负责</w:t>
      </w:r>
      <w:r>
        <w:t>人。</w:t>
      </w:r>
    </w:p>
    <w:p w14:paraId="16C38EF4">
      <w:pPr>
        <w:spacing w:line="400" w:lineRule="exact"/>
        <w:ind w:firstLine="420" w:firstLineChars="200"/>
      </w:pPr>
      <w:r>
        <w:t>1.1.2.9 总监理工程师：是指由监理人任命并派驻施工现场进行工程监理的总负责人。</w:t>
      </w:r>
    </w:p>
    <w:p w14:paraId="44C4DD9E">
      <w:pPr>
        <w:spacing w:line="400" w:lineRule="exact"/>
        <w:ind w:firstLine="420" w:firstLineChars="200"/>
      </w:pPr>
      <w:r>
        <w:t>1.1.3 工程和设备</w:t>
      </w:r>
    </w:p>
    <w:p w14:paraId="03435AE2">
      <w:pPr>
        <w:spacing w:line="400" w:lineRule="exact"/>
        <w:ind w:firstLine="420" w:firstLineChars="200"/>
      </w:pPr>
      <w:r>
        <w:t>1.1.3.1 工程：是指与合同协议书中工程承包范围对应的永久工程和（或）临时工程。</w:t>
      </w:r>
    </w:p>
    <w:p w14:paraId="6CAF6B39">
      <w:pPr>
        <w:spacing w:line="400" w:lineRule="exact"/>
        <w:ind w:firstLine="420" w:firstLineChars="200"/>
      </w:pPr>
      <w:r>
        <w:t>1.1.3.2 永久工程：是指按合同约定建造并移交给发包人的工程，包括工程设备。</w:t>
      </w:r>
    </w:p>
    <w:p w14:paraId="060E8B9A">
      <w:pPr>
        <w:spacing w:line="400" w:lineRule="exact"/>
        <w:ind w:firstLine="420" w:firstLineChars="200"/>
      </w:pPr>
      <w:r>
        <w:t>1.1.3.3 临时工程：是指为完成合同约定的永久工程所修建的各类临时性工程，不包括施工设备。</w:t>
      </w:r>
    </w:p>
    <w:p w14:paraId="29CC0E88">
      <w:pPr>
        <w:spacing w:line="400" w:lineRule="exact"/>
        <w:ind w:firstLine="420" w:firstLineChars="200"/>
      </w:pPr>
      <w:r>
        <w:t>1.1.3.4 单位工程：是指在</w:t>
      </w:r>
      <w:r>
        <w:rPr>
          <w:rFonts w:hint="eastAsia"/>
        </w:rPr>
        <w:t>合同协议书</w:t>
      </w:r>
      <w:r>
        <w:t>中指明的，具备独立施工条件并能形成独立使用功能的永久工程。</w:t>
      </w:r>
    </w:p>
    <w:p w14:paraId="200AF3F9">
      <w:pPr>
        <w:spacing w:line="400" w:lineRule="exact"/>
        <w:ind w:firstLine="420" w:firstLineChars="200"/>
      </w:pPr>
      <w:r>
        <w:t>1.1.3.5 工程设备：是指构成永久工程的机电设备、金属结构设备、仪器及其他类似的设备和装置。</w:t>
      </w:r>
    </w:p>
    <w:p w14:paraId="6A541A0A">
      <w:pPr>
        <w:spacing w:line="400" w:lineRule="exact"/>
        <w:ind w:firstLine="420" w:firstLineChars="200"/>
      </w:pPr>
      <w:r>
        <w:t>1.1.3.6 施工设备：是指为完成合同约定的各项工作所需的设备、器具和其他物品，但不包括工程设备、临时工程和材料。</w:t>
      </w:r>
    </w:p>
    <w:p w14:paraId="17E9497A">
      <w:pPr>
        <w:spacing w:line="400" w:lineRule="exact"/>
        <w:ind w:firstLine="420" w:firstLineChars="200"/>
      </w:pPr>
      <w:r>
        <w:t>1.1.3.7 施工现场：是指用于工程施工的场所，以及在专用合同条款中</w:t>
      </w:r>
      <w:r>
        <w:rPr>
          <w:rFonts w:hint="eastAsia"/>
        </w:rPr>
        <w:t>指</w:t>
      </w:r>
      <w:r>
        <w:t>明作为施工场所组成部分的其他场所，包括永久占地和临时占地。</w:t>
      </w:r>
    </w:p>
    <w:p w14:paraId="15BA498E">
      <w:pPr>
        <w:spacing w:line="400" w:lineRule="exact"/>
        <w:ind w:firstLine="420" w:firstLineChars="200"/>
      </w:pPr>
      <w:r>
        <w:t>1.1.3.8临时设施：是指为完成合同约定的各项工作所服务的临时性生产和生活设施。</w:t>
      </w:r>
    </w:p>
    <w:p w14:paraId="4E5EE377">
      <w:pPr>
        <w:spacing w:line="400" w:lineRule="exact"/>
        <w:ind w:firstLine="420" w:firstLineChars="200"/>
      </w:pPr>
      <w:r>
        <w:t>1.1.3.9 永久占地：是指专用合同条款中指明为实施工程需永久占用的土地。</w:t>
      </w:r>
    </w:p>
    <w:p w14:paraId="680B6B52">
      <w:pPr>
        <w:spacing w:line="400" w:lineRule="exact"/>
        <w:ind w:firstLine="420" w:firstLineChars="200"/>
      </w:pPr>
      <w:r>
        <w:t>1.1.3.10 临时占地：是指专用合同条款中指明为实施工程需要临时占用的土地。</w:t>
      </w:r>
    </w:p>
    <w:p w14:paraId="680C9DE4">
      <w:pPr>
        <w:spacing w:line="400" w:lineRule="exact"/>
        <w:ind w:firstLine="420" w:firstLineChars="200"/>
      </w:pPr>
      <w:r>
        <w:t>1.1.4 日期和期限</w:t>
      </w:r>
    </w:p>
    <w:p w14:paraId="72A3F86E">
      <w:pPr>
        <w:spacing w:line="400" w:lineRule="exact"/>
        <w:ind w:firstLine="420" w:firstLineChars="200"/>
      </w:pPr>
      <w:r>
        <w:t>1.1.4.1 开工日期：包括计划开工日期和实际开工日期。计划开工日期是指合同协议书约定的开工日期；实际开工日期是指监理人按照第7.3.2项</w:t>
      </w:r>
      <w:r>
        <w:rPr>
          <w:rFonts w:hint="eastAsia"/>
        </w:rPr>
        <w:t>〔</w:t>
      </w:r>
      <w:r>
        <w:t>开工通知</w:t>
      </w:r>
      <w:r>
        <w:rPr>
          <w:rFonts w:hint="eastAsia"/>
        </w:rPr>
        <w:t>〕</w:t>
      </w:r>
      <w:r>
        <w:t>约定发出的符合法律规定的开工通知中载明的开工日期。</w:t>
      </w:r>
    </w:p>
    <w:p w14:paraId="7656AA2B">
      <w:pPr>
        <w:spacing w:line="400" w:lineRule="exact"/>
        <w:ind w:firstLine="420" w:firstLineChars="200"/>
      </w:pPr>
      <w:r>
        <w:t>1.1.4.2 竣工日期：包括计划竣工日期和实际竣工日期。计划竣工日期是指合同协议书约定的竣工日期</w:t>
      </w:r>
      <w:r>
        <w:rPr>
          <w:rFonts w:hint="eastAsia"/>
        </w:rPr>
        <w:t>；</w:t>
      </w:r>
      <w:r>
        <w:t>实际竣工日期按照第13.2.3项</w:t>
      </w:r>
      <w:r>
        <w:rPr>
          <w:rFonts w:hint="eastAsia"/>
        </w:rPr>
        <w:t>〔</w:t>
      </w:r>
      <w:r>
        <w:t>竣工日期</w:t>
      </w:r>
      <w:r>
        <w:rPr>
          <w:rFonts w:hint="eastAsia"/>
        </w:rPr>
        <w:t>〕</w:t>
      </w:r>
      <w:r>
        <w:t xml:space="preserve">的约定确定。 </w:t>
      </w:r>
    </w:p>
    <w:p w14:paraId="3B58BD8C">
      <w:pPr>
        <w:spacing w:line="400" w:lineRule="exact"/>
        <w:ind w:firstLine="420" w:firstLineChars="200"/>
      </w:pPr>
      <w:r>
        <w:t>1.1.4.3 工期：是指在合同协议书约定的承包人完成工程所需的期限，包括按照合同约定所作的</w:t>
      </w:r>
      <w:r>
        <w:rPr>
          <w:rFonts w:hint="eastAsia"/>
        </w:rPr>
        <w:t>期限</w:t>
      </w:r>
      <w:r>
        <w:t>变更。</w:t>
      </w:r>
    </w:p>
    <w:p w14:paraId="24C18584">
      <w:pPr>
        <w:spacing w:line="400" w:lineRule="exact"/>
        <w:ind w:firstLine="420" w:firstLineChars="200"/>
      </w:pPr>
      <w:r>
        <w:t>1.1.4.4 缺陷责任期：是指承包人按照合同约定承担缺陷修复义务，且发包人</w:t>
      </w:r>
      <w:r>
        <w:rPr>
          <w:rFonts w:hint="eastAsia"/>
        </w:rPr>
        <w:t>预</w:t>
      </w:r>
      <w:r>
        <w:t>留质量保证金</w:t>
      </w:r>
      <w:r>
        <w:rPr>
          <w:rFonts w:hint="eastAsia"/>
        </w:rPr>
        <w:t>（已</w:t>
      </w:r>
      <w:r>
        <w:t>缴纳履约保证金的除外</w:t>
      </w:r>
      <w:r>
        <w:rPr>
          <w:rFonts w:hint="eastAsia"/>
        </w:rPr>
        <w:t>）</w:t>
      </w:r>
      <w:r>
        <w:t>的期限，</w:t>
      </w:r>
      <w:r>
        <w:rPr>
          <w:rFonts w:hint="eastAsia"/>
        </w:rPr>
        <w:t>自</w:t>
      </w:r>
      <w:r>
        <w:t>工程</w:t>
      </w:r>
      <w:r>
        <w:rPr>
          <w:rFonts w:hint="eastAsia"/>
        </w:rPr>
        <w:t>实际竣工日期</w:t>
      </w:r>
      <w:r>
        <w:t>起计算。</w:t>
      </w:r>
    </w:p>
    <w:p w14:paraId="5BE81989">
      <w:pPr>
        <w:spacing w:line="400" w:lineRule="exact"/>
        <w:ind w:firstLine="420" w:firstLineChars="200"/>
      </w:pPr>
      <w:r>
        <w:t>1.1.4.5 保修期：是指承包人按照合同约定对工程承担保修责任的期限，从工程竣工验收合格之日起计算。</w:t>
      </w:r>
    </w:p>
    <w:p w14:paraId="3674ECEE">
      <w:pPr>
        <w:spacing w:line="400" w:lineRule="exact"/>
        <w:ind w:firstLine="420" w:firstLineChars="200"/>
      </w:pPr>
      <w:r>
        <w:t>1.1.4.6 基准日期：招标发包的工程以投标截止日前28天的日期为基准日</w:t>
      </w:r>
      <w:r>
        <w:rPr>
          <w:rFonts w:hint="eastAsia"/>
        </w:rPr>
        <w:t>期</w:t>
      </w:r>
      <w:r>
        <w:t>，直接发包的工程以合同签订日前28天的日期为基准日</w:t>
      </w:r>
      <w:r>
        <w:rPr>
          <w:rFonts w:hint="eastAsia"/>
        </w:rPr>
        <w:t>期</w:t>
      </w:r>
      <w:r>
        <w:t>。</w:t>
      </w:r>
    </w:p>
    <w:p w14:paraId="48D06653">
      <w:pPr>
        <w:spacing w:line="400" w:lineRule="exact"/>
        <w:ind w:firstLine="420" w:firstLineChars="200"/>
      </w:pPr>
      <w:r>
        <w:t>1.1.4.7 天：除特别指明外，均指日历天。合同中按天计算时间的，开始当天不计入，从次日开始计算，期限最后一天的截止时间为当天24:00时。</w:t>
      </w:r>
    </w:p>
    <w:p w14:paraId="629C61E6">
      <w:pPr>
        <w:spacing w:line="400" w:lineRule="exact"/>
        <w:ind w:firstLine="420" w:firstLineChars="200"/>
      </w:pPr>
      <w:r>
        <w:t>1.1.5 合同价格和费用</w:t>
      </w:r>
    </w:p>
    <w:p w14:paraId="46AAF7C2">
      <w:pPr>
        <w:spacing w:line="400" w:lineRule="exact"/>
        <w:ind w:firstLine="420" w:firstLineChars="200"/>
      </w:pPr>
      <w:r>
        <w:t>1.1.5.1 签约合同价：是指发包人和承包人在合同协议书中确定的总金额，包括安全文明施工费、暂估价及暂列金额等。</w:t>
      </w:r>
    </w:p>
    <w:p w14:paraId="730A18FB">
      <w:pPr>
        <w:spacing w:line="400" w:lineRule="exact"/>
        <w:ind w:firstLine="420" w:firstLineChars="200"/>
      </w:pPr>
      <w:r>
        <w:t>1.1.5.2 合同价格：是指发包人用于支付承包人按照合同约定完成承包范围内全部工作的金额，包括合同履行过程中按合同约定</w:t>
      </w:r>
      <w:r>
        <w:rPr>
          <w:rFonts w:hint="eastAsia"/>
        </w:rPr>
        <w:t>发生的价格变化。</w:t>
      </w:r>
    </w:p>
    <w:p w14:paraId="1E4AB66C">
      <w:pPr>
        <w:spacing w:line="400" w:lineRule="exact"/>
        <w:ind w:firstLine="420" w:firstLineChars="200"/>
      </w:pPr>
      <w:r>
        <w:t>1.1.5.3 费用：是指为履行合同所发生的或将要发生的所有必需的开支，包括管理费和应分摊的其他费用，但不包括利润。</w:t>
      </w:r>
    </w:p>
    <w:p w14:paraId="3FC72C02">
      <w:pPr>
        <w:spacing w:line="400" w:lineRule="exact"/>
        <w:ind w:firstLine="420" w:firstLineChars="200"/>
      </w:pPr>
      <w:r>
        <w:t>1.1.5.4 暂估价：是指发包人在工程量清单或预算书中提供的用于支付必然发生但暂时不能确定价格的材料、工程设备的单价</w:t>
      </w:r>
      <w:r>
        <w:rPr>
          <w:rFonts w:hint="eastAsia"/>
        </w:rPr>
        <w:t>、</w:t>
      </w:r>
      <w:r>
        <w:t>专业工程以及</w:t>
      </w:r>
      <w:r>
        <w:rPr>
          <w:rFonts w:hint="eastAsia"/>
        </w:rPr>
        <w:t>服务工作</w:t>
      </w:r>
      <w:r>
        <w:t>的金额。</w:t>
      </w:r>
    </w:p>
    <w:p w14:paraId="4E9DB322">
      <w:pPr>
        <w:spacing w:line="400" w:lineRule="exact"/>
        <w:ind w:firstLine="420" w:firstLineChars="200"/>
      </w:pPr>
      <w:r>
        <w:t>1.1.5.5 暂列金额：是指发包人在工程量清单或预算书中暂定并包括在合同价格中的一笔款项</w:t>
      </w:r>
      <w:r>
        <w:rPr>
          <w:rFonts w:hint="eastAsia"/>
        </w:rPr>
        <w:t>，</w:t>
      </w:r>
      <w:r>
        <w:t>用于工程合同签订时尚未确定或者不可预见的所需材料、工程设备、服务的采购，施工中可能发生的工程变更、合同约定调整因素出现时的合同价格调整以及发生的索赔、现场签证确认等的费用。</w:t>
      </w:r>
    </w:p>
    <w:p w14:paraId="6C8821A0">
      <w:pPr>
        <w:spacing w:line="400" w:lineRule="exact"/>
        <w:ind w:firstLine="420" w:firstLineChars="200"/>
      </w:pPr>
      <w:r>
        <w:t>1.1.5.6 计日工：是指合同履行过程中，承包人完成发包人提出的零星工作或需要采用计日工计价的变更工作时，按合同中约定的单价计价的一种方式。</w:t>
      </w:r>
    </w:p>
    <w:p w14:paraId="5C71121E">
      <w:pPr>
        <w:spacing w:line="400" w:lineRule="exact"/>
        <w:ind w:firstLine="420" w:firstLineChars="200"/>
      </w:pPr>
      <w:r>
        <w:t>1.1.5.7 质量保证金</w:t>
      </w:r>
      <w:bookmarkStart w:id="756" w:name="#go2"/>
      <w:bookmarkEnd w:id="756"/>
      <w:r>
        <w:t>：是指按照第15.3款</w:t>
      </w:r>
      <w:r>
        <w:rPr>
          <w:rFonts w:hint="eastAsia"/>
        </w:rPr>
        <w:t>〔</w:t>
      </w:r>
      <w:r>
        <w:t>质量保证金</w:t>
      </w:r>
      <w:r>
        <w:rPr>
          <w:rFonts w:hint="eastAsia"/>
        </w:rPr>
        <w:t>〕</w:t>
      </w:r>
      <w:r>
        <w:t>约定承包人用于保证其在缺陷责任期内履行缺陷修补义务的担保。</w:t>
      </w:r>
    </w:p>
    <w:p w14:paraId="26E96975">
      <w:pPr>
        <w:spacing w:line="400" w:lineRule="exact"/>
        <w:ind w:firstLine="420" w:firstLineChars="200"/>
      </w:pPr>
      <w:r>
        <w:t>1.1.5.8 总价项目：是指在现行国家、行业以及地方的计量规则中无工程量计算规则，在已标价工程量清单或预算书中以总价或以费率形式计算的项目。</w:t>
      </w:r>
    </w:p>
    <w:p w14:paraId="2195548D">
      <w:pPr>
        <w:spacing w:line="400" w:lineRule="exact"/>
        <w:ind w:firstLine="420" w:firstLineChars="200"/>
      </w:pPr>
      <w:r>
        <w:t>1.1.6 其他</w:t>
      </w:r>
    </w:p>
    <w:p w14:paraId="04F0E31D">
      <w:pPr>
        <w:spacing w:line="400" w:lineRule="exact"/>
        <w:ind w:firstLine="420" w:firstLineChars="200"/>
      </w:pPr>
      <w:r>
        <w:t>1.1.6.1 书面形式：是指合同文件、信函、电报、传真等可以有形地表现所载内容的形式。</w:t>
      </w:r>
    </w:p>
    <w:p w14:paraId="239D482C">
      <w:pPr>
        <w:pStyle w:val="25"/>
        <w:ind w:firstLine="482" w:firstLineChars="200"/>
        <w:rPr>
          <w:b/>
        </w:rPr>
      </w:pPr>
      <w:bookmarkStart w:id="757" w:name="_Toc296346530"/>
      <w:bookmarkStart w:id="758" w:name="_Toc337558729"/>
      <w:bookmarkStart w:id="759" w:name="_Toc256000153"/>
      <w:bookmarkStart w:id="760" w:name="_Toc351203497"/>
      <w:bookmarkStart w:id="761" w:name="_Toc152264512"/>
      <w:bookmarkStart w:id="762" w:name="_Toc296503029"/>
      <w:r>
        <w:rPr>
          <w:b/>
        </w:rPr>
        <w:t>1.2语言文字</w:t>
      </w:r>
      <w:bookmarkEnd w:id="757"/>
      <w:bookmarkEnd w:id="758"/>
      <w:bookmarkEnd w:id="759"/>
      <w:bookmarkEnd w:id="760"/>
      <w:bookmarkEnd w:id="761"/>
      <w:bookmarkEnd w:id="762"/>
    </w:p>
    <w:p w14:paraId="0A73EE19">
      <w:pPr>
        <w:spacing w:line="400" w:lineRule="exact"/>
        <w:ind w:firstLine="420" w:firstLineChars="200"/>
      </w:pPr>
      <w:r>
        <w:t>合同以中国的汉语简体文字编写、解释和说明。合同当事人在专用合同条款中约定使用两种以上语言时，汉语为优先解释和说明合同的语言。</w:t>
      </w:r>
    </w:p>
    <w:p w14:paraId="0AE889F9">
      <w:pPr>
        <w:pStyle w:val="25"/>
        <w:ind w:firstLine="482" w:firstLineChars="200"/>
        <w:rPr>
          <w:b/>
        </w:rPr>
      </w:pPr>
      <w:bookmarkStart w:id="763" w:name="_Toc296503030"/>
      <w:bookmarkStart w:id="764" w:name="_Toc296346531"/>
      <w:bookmarkStart w:id="765" w:name="_Toc256000154"/>
      <w:bookmarkStart w:id="766" w:name="_Toc351203498"/>
      <w:bookmarkStart w:id="767" w:name="_Toc152264513"/>
      <w:bookmarkStart w:id="768" w:name="_Toc337558730"/>
      <w:r>
        <w:rPr>
          <w:b/>
        </w:rPr>
        <w:t>1.3法律</w:t>
      </w:r>
      <w:bookmarkEnd w:id="763"/>
      <w:bookmarkEnd w:id="764"/>
      <w:bookmarkEnd w:id="765"/>
      <w:bookmarkEnd w:id="766"/>
      <w:bookmarkEnd w:id="767"/>
      <w:bookmarkEnd w:id="768"/>
    </w:p>
    <w:p w14:paraId="421FEE85">
      <w:pPr>
        <w:spacing w:line="400" w:lineRule="exact"/>
        <w:ind w:firstLine="420" w:firstLineChars="200"/>
      </w:pPr>
      <w:r>
        <w:t>合同所称法律是指中华人民共和国法律、行政法规、部门规章，以及工程所在地的地方性法规、自治条例、单行条例和地方政府规章等。</w:t>
      </w:r>
    </w:p>
    <w:p w14:paraId="2B1136AD">
      <w:pPr>
        <w:spacing w:line="400" w:lineRule="exact"/>
        <w:ind w:firstLine="420" w:firstLineChars="200"/>
      </w:pPr>
      <w:r>
        <w:t>合同当事人可以在专用合同条款中约定合同适用的其他规范性文件。</w:t>
      </w:r>
    </w:p>
    <w:p w14:paraId="6F71844C">
      <w:pPr>
        <w:pStyle w:val="25"/>
        <w:ind w:firstLine="482" w:firstLineChars="200"/>
        <w:rPr>
          <w:b/>
        </w:rPr>
      </w:pPr>
      <w:bookmarkStart w:id="769" w:name="_Toc152264514"/>
      <w:bookmarkStart w:id="770" w:name="_Toc256000155"/>
      <w:bookmarkStart w:id="771" w:name="_Toc351203499"/>
      <w:r>
        <w:rPr>
          <w:b/>
        </w:rPr>
        <w:t>1.4 标准和规范</w:t>
      </w:r>
      <w:bookmarkEnd w:id="769"/>
      <w:bookmarkEnd w:id="770"/>
      <w:bookmarkEnd w:id="771"/>
    </w:p>
    <w:p w14:paraId="2BEF7E09">
      <w:pPr>
        <w:spacing w:line="400" w:lineRule="exact"/>
        <w:ind w:firstLine="420" w:firstLineChars="200"/>
      </w:pPr>
      <w:r>
        <w:t>1.4.1 适用于工程的国家标准、行业标准、工程所在地的地方性标准，以及相应的规范、规程等，合同当事人有特别要求的，应在专用合同条款中约定。</w:t>
      </w:r>
    </w:p>
    <w:p w14:paraId="49BC2053">
      <w:pPr>
        <w:spacing w:line="400" w:lineRule="exact"/>
        <w:ind w:firstLine="420" w:firstLineChars="200"/>
      </w:pPr>
      <w:r>
        <w:t>1.4.2 发包人要求使用国外标准、规范的，发包人负责提供原文版本和中文译本，并在专用合同条款中约定提供标准规范的名称、份数和时间。</w:t>
      </w:r>
    </w:p>
    <w:p w14:paraId="75C5FF9E">
      <w:pPr>
        <w:spacing w:line="400" w:lineRule="exact"/>
        <w:ind w:firstLine="420" w:firstLineChars="200"/>
      </w:pPr>
      <w:r>
        <w:t>1.4.3 发包人对工程的技术标准、功能要求高于或严于现行国家、行业或地方标准的，应当在专用合同条款中予以明确。除专用合同条款另有约定外，应视为</w:t>
      </w:r>
      <w:r>
        <w:rPr>
          <w:rFonts w:hint="eastAsia"/>
        </w:rPr>
        <w:t>承包人</w:t>
      </w:r>
      <w:r>
        <w:t>在签订合同前已充分预见前述技术标准和功能要求的复杂程度，签约合同价中已包含由此产生的费用。</w:t>
      </w:r>
    </w:p>
    <w:p w14:paraId="12100FD1">
      <w:pPr>
        <w:pStyle w:val="25"/>
        <w:ind w:firstLine="482" w:firstLineChars="200"/>
        <w:rPr>
          <w:b/>
        </w:rPr>
      </w:pPr>
      <w:bookmarkStart w:id="772" w:name="_Toc351203500"/>
      <w:bookmarkStart w:id="773" w:name="_Toc152264515"/>
      <w:bookmarkStart w:id="774" w:name="_Toc256000156"/>
      <w:r>
        <w:rPr>
          <w:b/>
        </w:rPr>
        <w:t>1</w:t>
      </w:r>
      <w:bookmarkStart w:id="775" w:name="_Toc337558731"/>
      <w:bookmarkStart w:id="776" w:name="_Toc296503031"/>
      <w:bookmarkStart w:id="777" w:name="_Toc296346532"/>
      <w:r>
        <w:rPr>
          <w:b/>
        </w:rPr>
        <w:t>.5 合同文件的优先顺序</w:t>
      </w:r>
      <w:bookmarkEnd w:id="772"/>
      <w:bookmarkEnd w:id="773"/>
      <w:bookmarkEnd w:id="774"/>
    </w:p>
    <w:bookmarkEnd w:id="775"/>
    <w:bookmarkEnd w:id="776"/>
    <w:bookmarkEnd w:id="777"/>
    <w:p w14:paraId="1282DDB4">
      <w:pPr>
        <w:spacing w:line="400" w:lineRule="exact"/>
        <w:ind w:firstLine="420" w:firstLineChars="200"/>
      </w:pPr>
      <w:r>
        <w:t>组成合同的各项文件应互相解释，互为说明。除专用合同条款另有约定外，解释合同文件的优先顺序如下：</w:t>
      </w:r>
    </w:p>
    <w:p w14:paraId="5177EDB4">
      <w:pPr>
        <w:spacing w:line="400" w:lineRule="exact"/>
        <w:ind w:firstLine="420" w:firstLineChars="200"/>
      </w:pPr>
      <w:r>
        <w:t>（1）合同协议书；</w:t>
      </w:r>
    </w:p>
    <w:p w14:paraId="776DF9EE">
      <w:pPr>
        <w:spacing w:line="400" w:lineRule="exact"/>
        <w:ind w:firstLine="420" w:firstLineChars="200"/>
      </w:pPr>
      <w:r>
        <w:t>（2）中标通知书（如果有）；</w:t>
      </w:r>
    </w:p>
    <w:p w14:paraId="50B389E7">
      <w:pPr>
        <w:spacing w:line="400" w:lineRule="exact"/>
        <w:ind w:firstLine="420" w:firstLineChars="200"/>
      </w:pPr>
      <w:r>
        <w:t>（3）投标函及其附录（如果有）；</w:t>
      </w:r>
    </w:p>
    <w:p w14:paraId="60108B21">
      <w:pPr>
        <w:spacing w:line="400" w:lineRule="exact"/>
        <w:ind w:firstLine="420" w:firstLineChars="200"/>
      </w:pPr>
      <w:r>
        <w:t>（4）专用合同条款及其附件；</w:t>
      </w:r>
    </w:p>
    <w:p w14:paraId="24E973B9">
      <w:pPr>
        <w:spacing w:line="400" w:lineRule="exact"/>
        <w:ind w:firstLine="420" w:firstLineChars="200"/>
      </w:pPr>
      <w:r>
        <w:t>（5）通用合同条款；</w:t>
      </w:r>
    </w:p>
    <w:p w14:paraId="05D75790">
      <w:pPr>
        <w:spacing w:line="400" w:lineRule="exact"/>
        <w:ind w:firstLine="420" w:firstLineChars="200"/>
      </w:pPr>
      <w:r>
        <w:t>（6）技术标准和要求；</w:t>
      </w:r>
    </w:p>
    <w:p w14:paraId="2978AAE2">
      <w:pPr>
        <w:spacing w:line="400" w:lineRule="exact"/>
        <w:ind w:firstLine="420" w:firstLineChars="200"/>
      </w:pPr>
      <w:r>
        <w:t>（7）图纸；</w:t>
      </w:r>
    </w:p>
    <w:p w14:paraId="3A69F9FD">
      <w:pPr>
        <w:spacing w:line="400" w:lineRule="exact"/>
        <w:ind w:firstLine="420" w:firstLineChars="200"/>
      </w:pPr>
      <w:r>
        <w:t>（8）已标价工程量清单或预算书；</w:t>
      </w:r>
    </w:p>
    <w:p w14:paraId="15962072">
      <w:pPr>
        <w:spacing w:line="400" w:lineRule="exact"/>
        <w:ind w:firstLine="420" w:firstLineChars="200"/>
      </w:pPr>
      <w:r>
        <w:t>（9）其他合同文件。</w:t>
      </w:r>
    </w:p>
    <w:p w14:paraId="0D64EA6B">
      <w:pPr>
        <w:spacing w:line="400" w:lineRule="exact"/>
        <w:ind w:firstLine="420" w:firstLineChars="200"/>
      </w:pPr>
      <w:r>
        <w:t>上述各项合同文件包括合同当事人就该项合同文件所作出的补充和修改，属于同一类内容的文件，应以最新签署的为准。</w:t>
      </w:r>
    </w:p>
    <w:p w14:paraId="46F3B8E1">
      <w:pPr>
        <w:spacing w:line="400" w:lineRule="exact"/>
        <w:ind w:firstLine="420" w:firstLineChars="200"/>
      </w:pPr>
      <w:r>
        <w:t>在合同订立及履行过程中形成的与合同有关的文件均构成合同文件组成部分，并根据其性质确定优先解释顺序。</w:t>
      </w:r>
    </w:p>
    <w:p w14:paraId="0FEBA1C6">
      <w:pPr>
        <w:pStyle w:val="25"/>
        <w:ind w:firstLine="482" w:firstLineChars="200"/>
        <w:rPr>
          <w:b/>
        </w:rPr>
      </w:pPr>
      <w:bookmarkStart w:id="778" w:name="_Toc256000157"/>
      <w:bookmarkStart w:id="779" w:name="_Toc351203501"/>
      <w:bookmarkStart w:id="780" w:name="_Toc152264516"/>
      <w:r>
        <w:rPr>
          <w:b/>
        </w:rPr>
        <w:t>1</w:t>
      </w:r>
      <w:bookmarkStart w:id="781" w:name="_Toc296346533"/>
      <w:bookmarkStart w:id="782" w:name="_Toc296503032"/>
      <w:bookmarkStart w:id="783" w:name="_Toc337558732"/>
      <w:r>
        <w:rPr>
          <w:b/>
        </w:rPr>
        <w:t>.6图纸和承包人文件</w:t>
      </w:r>
      <w:bookmarkEnd w:id="778"/>
      <w:bookmarkEnd w:id="779"/>
      <w:bookmarkEnd w:id="780"/>
    </w:p>
    <w:bookmarkEnd w:id="781"/>
    <w:bookmarkEnd w:id="782"/>
    <w:bookmarkEnd w:id="783"/>
    <w:p w14:paraId="285C2B6B">
      <w:pPr>
        <w:spacing w:line="400" w:lineRule="exact"/>
        <w:ind w:firstLine="420" w:firstLineChars="200"/>
      </w:pPr>
      <w:r>
        <w:t>1.6.1 图纸的提供和交底</w:t>
      </w:r>
    </w:p>
    <w:p w14:paraId="5BAA82CC">
      <w:pPr>
        <w:spacing w:line="400" w:lineRule="exact"/>
        <w:ind w:firstLine="420" w:firstLineChars="200"/>
      </w:pPr>
      <w:r>
        <w:t>发包人应按照专用合同条款约定的期限、数量和内容向承包人免费提供图纸，并组织承包人、监理人和设计人进行图纸会审和设计交底。发包人至迟不得晚于第7.3.2项</w:t>
      </w:r>
      <w:r>
        <w:rPr>
          <w:rFonts w:hint="eastAsia"/>
        </w:rPr>
        <w:t>〔</w:t>
      </w:r>
      <w:r>
        <w:t>开工通知</w:t>
      </w:r>
      <w:r>
        <w:rPr>
          <w:rFonts w:hint="eastAsia"/>
        </w:rPr>
        <w:t>〕</w:t>
      </w:r>
      <w:r>
        <w:t>载明的开工日期前14天向承包人提供图纸。</w:t>
      </w:r>
    </w:p>
    <w:p w14:paraId="7569E014">
      <w:pPr>
        <w:spacing w:line="400" w:lineRule="exact"/>
        <w:ind w:firstLine="420" w:firstLineChars="200"/>
      </w:pPr>
      <w:r>
        <w:t>因发包人未按合同约定提供图纸导致承包人费用增加和（或）工期延误的，按照第7.5.1项</w:t>
      </w:r>
      <w:r>
        <w:rPr>
          <w:rFonts w:hint="eastAsia"/>
        </w:rPr>
        <w:t>〔</w:t>
      </w:r>
      <w:r>
        <w:t>因发包人原因导致工期延误</w:t>
      </w:r>
      <w:r>
        <w:rPr>
          <w:rFonts w:hint="eastAsia"/>
        </w:rPr>
        <w:t>〕</w:t>
      </w:r>
      <w:r>
        <w:t>约定办理。</w:t>
      </w:r>
    </w:p>
    <w:p w14:paraId="6F168213">
      <w:pPr>
        <w:spacing w:line="400" w:lineRule="exact"/>
        <w:ind w:firstLine="420" w:firstLineChars="200"/>
      </w:pPr>
      <w:r>
        <w:t>1.6.2 图纸的错误</w:t>
      </w:r>
    </w:p>
    <w:p w14:paraId="4273E3DD">
      <w:pPr>
        <w:spacing w:line="400" w:lineRule="exact"/>
        <w:ind w:firstLine="420" w:firstLineChars="200"/>
      </w:pPr>
      <w: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rPr>
        <w:t>合理时间是指发包人在收到监理人的报送通知后，尽其努力且不懈怠地完成图纸修改补充所需的时间。</w:t>
      </w:r>
    </w:p>
    <w:p w14:paraId="23B9ECD7">
      <w:pPr>
        <w:spacing w:line="400" w:lineRule="exact"/>
        <w:ind w:firstLine="420" w:firstLineChars="200"/>
      </w:pPr>
      <w:r>
        <w:t>1.6.3 图纸的修改和补充</w:t>
      </w:r>
    </w:p>
    <w:p w14:paraId="4B60181C">
      <w:pPr>
        <w:spacing w:line="400" w:lineRule="exact"/>
        <w:ind w:firstLine="420" w:firstLineChars="200"/>
      </w:pPr>
      <w:r>
        <w:t>图纸需要修改和补充的，应经图纸原设计人及审批部门同意，并由监理人在工程或工程相应部位施工前将修改后的图纸或补充图纸提交给承包人，承包人应按修改或补充后的图纸施工。</w:t>
      </w:r>
    </w:p>
    <w:p w14:paraId="39F50BAE">
      <w:pPr>
        <w:spacing w:line="400" w:lineRule="exact"/>
        <w:ind w:firstLine="420" w:firstLineChars="200"/>
      </w:pPr>
      <w:r>
        <w:t>1.6.4 承包人文件</w:t>
      </w:r>
    </w:p>
    <w:p w14:paraId="6A477538">
      <w:pPr>
        <w:spacing w:line="400" w:lineRule="exact"/>
        <w:ind w:firstLine="420" w:firstLineChars="200"/>
      </w:pPr>
      <w:r>
        <w:t>承包人应按照专用合同条款的约定提供应当由其编制的与工程施工有关的文件，并按照专用合同条款约定的期限、数量和形式提交监理人，并由监理人报送发包人。</w:t>
      </w:r>
    </w:p>
    <w:p w14:paraId="5A6FAEAC">
      <w:pPr>
        <w:spacing w:line="400" w:lineRule="exact"/>
        <w:ind w:firstLine="420" w:firstLineChars="200"/>
      </w:pPr>
      <w: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E324833">
      <w:pPr>
        <w:spacing w:line="400" w:lineRule="exact"/>
        <w:ind w:firstLine="420" w:firstLineChars="200"/>
      </w:pPr>
      <w:r>
        <w:t>1.6.5 图纸和承包人文件的保管</w:t>
      </w:r>
    </w:p>
    <w:p w14:paraId="504B81EB">
      <w:pPr>
        <w:spacing w:line="400" w:lineRule="exact"/>
        <w:ind w:firstLine="420" w:firstLineChars="200"/>
      </w:pPr>
      <w:r>
        <w:t>除专用合同条款另有约定外，承包人应在施工现场另外保存一套完整的图纸和承包人文件，供发包人、监理人及有关人员进行工程检查时使用。</w:t>
      </w:r>
    </w:p>
    <w:p w14:paraId="769058C4">
      <w:pPr>
        <w:pStyle w:val="25"/>
        <w:ind w:firstLine="482" w:firstLineChars="200"/>
        <w:rPr>
          <w:b/>
        </w:rPr>
      </w:pPr>
      <w:bookmarkStart w:id="784" w:name="_Toc351203502"/>
      <w:bookmarkStart w:id="785" w:name="_Toc256000158"/>
      <w:bookmarkStart w:id="786" w:name="_Toc152264517"/>
      <w:r>
        <w:rPr>
          <w:b/>
        </w:rPr>
        <w:t>1</w:t>
      </w:r>
      <w:bookmarkStart w:id="787" w:name="_Toc296346534"/>
      <w:bookmarkStart w:id="788" w:name="_Toc337558733"/>
      <w:bookmarkStart w:id="789" w:name="_Toc296503033"/>
      <w:r>
        <w:rPr>
          <w:b/>
        </w:rPr>
        <w:t>.7联络</w:t>
      </w:r>
      <w:bookmarkEnd w:id="784"/>
      <w:bookmarkEnd w:id="785"/>
      <w:bookmarkEnd w:id="786"/>
    </w:p>
    <w:bookmarkEnd w:id="787"/>
    <w:bookmarkEnd w:id="788"/>
    <w:bookmarkEnd w:id="789"/>
    <w:p w14:paraId="63DAD502">
      <w:pPr>
        <w:spacing w:line="400" w:lineRule="exact"/>
        <w:ind w:firstLine="420" w:firstLineChars="200"/>
      </w:pPr>
      <w:r>
        <w:t>1.7.1 与合同有关的通知、批准、证明、证书、指示、指令、要求、请求、同意、意见、确定和决定等，均应采用书面形式，并应在合同约定的期限内送达接收人和送达地点。</w:t>
      </w:r>
    </w:p>
    <w:p w14:paraId="2695A8EF">
      <w:pPr>
        <w:spacing w:line="400" w:lineRule="exact"/>
        <w:ind w:firstLine="420" w:firstLineChars="200"/>
      </w:pPr>
      <w:r>
        <w:t>1.7.2 发包人和承包人应在专用合同条款中约定各自的送达接收人和送达地点。任何一方合同当事人指定的接收人或送达地点发生变动的，应提前3天以书面形式通知对方。</w:t>
      </w:r>
    </w:p>
    <w:p w14:paraId="5621718D">
      <w:pPr>
        <w:spacing w:line="400" w:lineRule="exact"/>
        <w:ind w:firstLine="420" w:firstLineChars="200"/>
      </w:pPr>
      <w:r>
        <w:t>1.7.3 发包人和承包人应当及时签收另一方送达至送达地点和指定接收人的来往信函。拒不签收的，由此增加的费用和（或）延误的工期由拒绝接收一方承担。</w:t>
      </w:r>
    </w:p>
    <w:p w14:paraId="67236AC9">
      <w:pPr>
        <w:pStyle w:val="25"/>
        <w:ind w:firstLine="482" w:firstLineChars="200"/>
      </w:pPr>
      <w:bookmarkStart w:id="790" w:name="_Toc351203503"/>
      <w:bookmarkStart w:id="791" w:name="_Toc152264518"/>
      <w:bookmarkStart w:id="792" w:name="_Toc256000159"/>
      <w:r>
        <w:rPr>
          <w:b/>
        </w:rPr>
        <w:t>1</w:t>
      </w:r>
      <w:bookmarkStart w:id="793" w:name="_Toc296346536"/>
      <w:bookmarkStart w:id="794" w:name="_Toc337558734"/>
      <w:bookmarkStart w:id="795" w:name="_Toc296503035"/>
      <w:r>
        <w:rPr>
          <w:b/>
        </w:rPr>
        <w:t>.8严禁贿赂</w:t>
      </w:r>
      <w:bookmarkEnd w:id="790"/>
      <w:bookmarkEnd w:id="791"/>
      <w:bookmarkEnd w:id="792"/>
    </w:p>
    <w:bookmarkEnd w:id="793"/>
    <w:bookmarkEnd w:id="794"/>
    <w:bookmarkEnd w:id="795"/>
    <w:p w14:paraId="03C0B018">
      <w:pPr>
        <w:spacing w:line="400" w:lineRule="exact"/>
        <w:ind w:firstLine="420" w:firstLineChars="200"/>
      </w:pPr>
      <w:r>
        <w:t>合同当事人不得以贿赂或变相贿赂的方式，谋取非法利益或损害对方权益。因一方合同当事人的贿赂造成对方损失的，应赔偿损失，并承担相应的法律责任。</w:t>
      </w:r>
    </w:p>
    <w:p w14:paraId="383824A0">
      <w:pPr>
        <w:spacing w:line="400" w:lineRule="exact"/>
        <w:ind w:firstLine="420" w:firstLineChars="200"/>
      </w:pPr>
      <w:r>
        <w:t>承包人不得与监理人或发包人聘请的第三方串通损害发包人利益。未经发包人书面同意，承包人不得为监理人提供合同约定以外的通讯设备、交通工具及其他任何形式的利益，不得向监理人支付报酬。</w:t>
      </w:r>
    </w:p>
    <w:p w14:paraId="5E0BEB94">
      <w:pPr>
        <w:pStyle w:val="25"/>
        <w:ind w:firstLine="482" w:firstLineChars="200"/>
        <w:rPr>
          <w:b/>
        </w:rPr>
      </w:pPr>
      <w:bookmarkStart w:id="796" w:name="_Toc256000160"/>
      <w:bookmarkStart w:id="797" w:name="_Toc152264519"/>
      <w:bookmarkStart w:id="798" w:name="_Toc351203504"/>
      <w:r>
        <w:rPr>
          <w:b/>
        </w:rPr>
        <w:t>1</w:t>
      </w:r>
      <w:bookmarkStart w:id="799" w:name="_Toc296346537"/>
      <w:bookmarkStart w:id="800" w:name="_Toc337558735"/>
      <w:bookmarkStart w:id="801" w:name="_Toc296503036"/>
      <w:r>
        <w:rPr>
          <w:b/>
        </w:rPr>
        <w:t>.9化石、文物</w:t>
      </w:r>
      <w:bookmarkEnd w:id="796"/>
      <w:bookmarkEnd w:id="797"/>
      <w:bookmarkEnd w:id="798"/>
    </w:p>
    <w:bookmarkEnd w:id="799"/>
    <w:bookmarkEnd w:id="800"/>
    <w:bookmarkEnd w:id="801"/>
    <w:p w14:paraId="265728FE">
      <w:pPr>
        <w:spacing w:line="400" w:lineRule="exact"/>
        <w:ind w:firstLine="420" w:firstLineChars="200"/>
      </w:pPr>
      <w: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1422D79">
      <w:pPr>
        <w:spacing w:line="400" w:lineRule="exact"/>
        <w:ind w:firstLine="420" w:firstLineChars="200"/>
      </w:pPr>
      <w:r>
        <w:t>发包人、监理人和承包人应按有关政府行政管理部门要求采取妥善的保护措施，由此增加的费用和</w:t>
      </w:r>
      <w:r>
        <w:rPr>
          <w:rFonts w:hint="eastAsia"/>
        </w:rPr>
        <w:t>（</w:t>
      </w:r>
      <w:r>
        <w:t>或）延误的工期由发包人承担。</w:t>
      </w:r>
    </w:p>
    <w:p w14:paraId="382985D1">
      <w:pPr>
        <w:spacing w:line="400" w:lineRule="exact"/>
        <w:ind w:firstLine="420" w:firstLineChars="200"/>
      </w:pPr>
      <w:r>
        <w:t>承包人发现文物后不及时报告或隐瞒不报，致使文物丢失或损坏的，应赔偿损失，并承担相应的法律责任。</w:t>
      </w:r>
    </w:p>
    <w:p w14:paraId="7B2E2170">
      <w:pPr>
        <w:pStyle w:val="25"/>
        <w:ind w:firstLine="482" w:firstLineChars="200"/>
        <w:rPr>
          <w:b/>
        </w:rPr>
      </w:pPr>
      <w:bookmarkStart w:id="802" w:name="_Toc256000161"/>
      <w:bookmarkStart w:id="803" w:name="_Toc351203505"/>
      <w:bookmarkStart w:id="804" w:name="_Toc152264520"/>
      <w:r>
        <w:rPr>
          <w:b/>
        </w:rPr>
        <w:t>1</w:t>
      </w:r>
      <w:bookmarkStart w:id="805" w:name="_Toc337558736"/>
      <w:r>
        <w:rPr>
          <w:b/>
        </w:rPr>
        <w:t>.10交通运输</w:t>
      </w:r>
      <w:bookmarkEnd w:id="802"/>
      <w:bookmarkEnd w:id="803"/>
      <w:bookmarkEnd w:id="804"/>
    </w:p>
    <w:bookmarkEnd w:id="805"/>
    <w:p w14:paraId="7649EB61">
      <w:pPr>
        <w:spacing w:line="400" w:lineRule="exact"/>
        <w:ind w:firstLine="420" w:firstLineChars="200"/>
      </w:pPr>
      <w:r>
        <w:t>1.10.1</w:t>
      </w:r>
      <w:r>
        <w:rPr>
          <w:rFonts w:hint="eastAsia"/>
        </w:rPr>
        <w:t xml:space="preserve"> </w:t>
      </w:r>
      <w:r>
        <w:t>出入现场的权利</w:t>
      </w:r>
    </w:p>
    <w:p w14:paraId="041C5110">
      <w:pPr>
        <w:spacing w:line="400" w:lineRule="exact"/>
        <w:ind w:firstLine="420" w:firstLineChars="200"/>
      </w:pPr>
      <w:r>
        <w:t>除专用合同条款另有约定外，发包人应根据施工需要，负责取得出入施工现场所需的</w:t>
      </w:r>
      <w:r>
        <w:rPr>
          <w:rFonts w:hint="eastAsia"/>
        </w:rPr>
        <w:t>批准手续和</w:t>
      </w:r>
      <w:r>
        <w:t>全部权利，以及取得因施工所需修建道路、桥梁以及其他基础设施的权利，并承担相关手续费用和建设费用。承包人应协助发包人办理修建场内外道路、桥梁以及其他基础设施的手续。</w:t>
      </w:r>
    </w:p>
    <w:p w14:paraId="1688D399">
      <w:pPr>
        <w:spacing w:line="400" w:lineRule="exact"/>
        <w:ind w:firstLine="420" w:firstLineChars="200"/>
      </w:pPr>
      <w:r>
        <w:t>承包人应在订立合同前查勘施工现场，并根据工程规模及技术参数合理预见工程施工所需的进出施工现场的方式、手段、路径等。因承包人未合理预见所增加的费用和（或）延误的工期由承包人承担。</w:t>
      </w:r>
    </w:p>
    <w:p w14:paraId="647862FC">
      <w:pPr>
        <w:spacing w:line="400" w:lineRule="exact"/>
        <w:ind w:firstLine="420" w:firstLineChars="200"/>
      </w:pPr>
      <w:r>
        <w:t>1.10.2</w:t>
      </w:r>
      <w:r>
        <w:rPr>
          <w:rFonts w:hint="eastAsia"/>
        </w:rPr>
        <w:t xml:space="preserve"> </w:t>
      </w:r>
      <w:r>
        <w:t>场外交通</w:t>
      </w:r>
    </w:p>
    <w:p w14:paraId="0B226D2B">
      <w:pPr>
        <w:spacing w:line="400" w:lineRule="exact"/>
        <w:ind w:firstLine="420" w:firstLineChars="200"/>
      </w:pPr>
      <w: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9A761EC">
      <w:pPr>
        <w:spacing w:line="400" w:lineRule="exact"/>
        <w:ind w:firstLine="420" w:firstLineChars="200"/>
      </w:pPr>
      <w:r>
        <w:t>1.10.3场内交通</w:t>
      </w:r>
    </w:p>
    <w:p w14:paraId="0C5C1BB6">
      <w:pPr>
        <w:spacing w:line="400" w:lineRule="exact"/>
        <w:ind w:firstLine="420" w:firstLineChars="200"/>
      </w:pPr>
      <w: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96D24D9">
      <w:pPr>
        <w:spacing w:line="400" w:lineRule="exact"/>
        <w:ind w:firstLine="420" w:firstLineChars="200"/>
      </w:pPr>
      <w: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0C23E95">
      <w:pPr>
        <w:spacing w:line="400" w:lineRule="exact"/>
        <w:ind w:firstLine="420" w:firstLineChars="200"/>
      </w:pPr>
      <w:r>
        <w:t>场外交通和场内交通的边界由合同当事人在专用合同条款中约定。</w:t>
      </w:r>
    </w:p>
    <w:p w14:paraId="757BC5A3">
      <w:pPr>
        <w:spacing w:line="400" w:lineRule="exact"/>
        <w:ind w:firstLine="420" w:firstLineChars="200"/>
      </w:pPr>
      <w:r>
        <w:t>1.10.4</w:t>
      </w:r>
      <w:r>
        <w:rPr>
          <w:rFonts w:hint="eastAsia"/>
        </w:rPr>
        <w:t xml:space="preserve"> </w:t>
      </w:r>
      <w:r>
        <w:t>超大件和超重件的运输</w:t>
      </w:r>
    </w:p>
    <w:p w14:paraId="69FE5790">
      <w:pPr>
        <w:spacing w:line="400" w:lineRule="exact"/>
        <w:ind w:firstLine="420" w:firstLineChars="200"/>
      </w:pPr>
      <w: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26DC4CE">
      <w:pPr>
        <w:spacing w:line="400" w:lineRule="exact"/>
        <w:ind w:firstLine="420" w:firstLineChars="200"/>
      </w:pPr>
      <w:r>
        <w:t>1.10.5</w:t>
      </w:r>
      <w:r>
        <w:rPr>
          <w:rFonts w:hint="eastAsia"/>
        </w:rPr>
        <w:t xml:space="preserve"> </w:t>
      </w:r>
      <w:r>
        <w:t>道路和桥梁的损坏责任</w:t>
      </w:r>
    </w:p>
    <w:p w14:paraId="39452354">
      <w:pPr>
        <w:spacing w:line="400" w:lineRule="exact"/>
        <w:ind w:firstLine="420" w:firstLineChars="200"/>
      </w:pPr>
      <w:r>
        <w:t>因承包人运输造成施工场地内外公共道路和桥梁损坏的，由承包人承担修复损坏的全部费用和可能引起的赔偿。</w:t>
      </w:r>
    </w:p>
    <w:p w14:paraId="52F778BD">
      <w:pPr>
        <w:spacing w:line="400" w:lineRule="exact"/>
        <w:ind w:firstLine="420" w:firstLineChars="200"/>
      </w:pPr>
      <w:r>
        <w:t>1.10.6</w:t>
      </w:r>
      <w:r>
        <w:rPr>
          <w:rFonts w:hint="eastAsia"/>
        </w:rPr>
        <w:t xml:space="preserve"> </w:t>
      </w:r>
      <w:r>
        <w:t>水路和航空运输</w:t>
      </w:r>
    </w:p>
    <w:p w14:paraId="68208EA7">
      <w:pPr>
        <w:spacing w:line="400" w:lineRule="exact"/>
        <w:ind w:firstLine="420" w:firstLineChars="200"/>
      </w:pPr>
      <w:r>
        <w:t>本</w:t>
      </w:r>
      <w:r>
        <w:rPr>
          <w:rFonts w:hint="eastAsia"/>
        </w:rPr>
        <w:t>款</w:t>
      </w:r>
      <w:r>
        <w:t>前述各</w:t>
      </w:r>
      <w:r>
        <w:rPr>
          <w:rFonts w:hint="eastAsia"/>
        </w:rPr>
        <w:t>项</w:t>
      </w:r>
      <w:r>
        <w:t>的内容适用于水路运输和航空运输，其中“道路”一词的涵义包括河道、航线、船闸、机场、码头、堤防以及水路或航空运输中其他相似结构物；“车辆”一词的涵义包括船舶和飞机等。</w:t>
      </w:r>
    </w:p>
    <w:p w14:paraId="4243D06B">
      <w:pPr>
        <w:pStyle w:val="25"/>
        <w:ind w:firstLine="482" w:firstLineChars="200"/>
        <w:rPr>
          <w:b/>
        </w:rPr>
      </w:pPr>
      <w:bookmarkStart w:id="806" w:name="_Toc256000162"/>
      <w:bookmarkStart w:id="807" w:name="_Toc351203506"/>
      <w:bookmarkStart w:id="808" w:name="_Toc152264521"/>
      <w:r>
        <w:rPr>
          <w:b/>
        </w:rPr>
        <w:t>1</w:t>
      </w:r>
      <w:bookmarkStart w:id="809" w:name="_Toc337558737"/>
      <w:bookmarkStart w:id="810" w:name="_Toc296503037"/>
      <w:bookmarkStart w:id="811" w:name="_Toc296346538"/>
      <w:r>
        <w:rPr>
          <w:b/>
        </w:rPr>
        <w:t>.11知识产权</w:t>
      </w:r>
      <w:bookmarkEnd w:id="806"/>
      <w:bookmarkEnd w:id="807"/>
      <w:bookmarkEnd w:id="808"/>
      <w:r>
        <w:rPr>
          <w:b/>
        </w:rPr>
        <w:t xml:space="preserve"> </w:t>
      </w:r>
      <w:bookmarkEnd w:id="809"/>
    </w:p>
    <w:bookmarkEnd w:id="810"/>
    <w:bookmarkEnd w:id="811"/>
    <w:p w14:paraId="72C11FCB">
      <w:pPr>
        <w:spacing w:line="400" w:lineRule="exact"/>
        <w:ind w:firstLine="420" w:firstLineChars="200"/>
      </w:pPr>
      <w: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7A2F5EA">
      <w:pPr>
        <w:spacing w:line="400" w:lineRule="exact"/>
        <w:ind w:firstLine="420" w:firstLineChars="200"/>
      </w:pPr>
      <w: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6C71606">
      <w:pPr>
        <w:spacing w:line="400" w:lineRule="exact"/>
        <w:ind w:firstLine="420" w:firstLineChars="200"/>
      </w:pPr>
      <w: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DC28D77">
      <w:pPr>
        <w:spacing w:line="400" w:lineRule="exact"/>
        <w:ind w:firstLine="420" w:firstLineChars="200"/>
      </w:pPr>
      <w:r>
        <w:t>1.11.4 除专用合同条款另有约定外，承包人在合同签订前和签订时已确定采用的专利、专有技术、技术秘密的使用费已包含在签约合同价中。</w:t>
      </w:r>
    </w:p>
    <w:p w14:paraId="524A0763">
      <w:pPr>
        <w:pStyle w:val="25"/>
        <w:ind w:firstLine="482" w:firstLineChars="200"/>
        <w:rPr>
          <w:b/>
        </w:rPr>
      </w:pPr>
      <w:bookmarkStart w:id="812" w:name="_Toc256000163"/>
      <w:bookmarkStart w:id="813" w:name="_Toc351203507"/>
      <w:bookmarkStart w:id="814" w:name="_Toc152264522"/>
      <w:r>
        <w:rPr>
          <w:b/>
        </w:rPr>
        <w:t>1</w:t>
      </w:r>
      <w:bookmarkStart w:id="815" w:name="_Toc337558738"/>
      <w:r>
        <w:rPr>
          <w:b/>
        </w:rPr>
        <w:t>.12保密</w:t>
      </w:r>
      <w:bookmarkEnd w:id="812"/>
      <w:bookmarkEnd w:id="813"/>
      <w:bookmarkEnd w:id="814"/>
    </w:p>
    <w:bookmarkEnd w:id="815"/>
    <w:p w14:paraId="0F560671">
      <w:pPr>
        <w:spacing w:line="400" w:lineRule="exact"/>
        <w:ind w:firstLine="420" w:firstLineChars="200"/>
      </w:pPr>
      <w:r>
        <w:t>除法律规定或合同另有约定外，未经发包人同意，承包人不得将发包人提供的图纸、文件以及声明需要保密的资料信息等商业秘密泄露给第三方。</w:t>
      </w:r>
    </w:p>
    <w:p w14:paraId="465541F0">
      <w:pPr>
        <w:spacing w:line="400" w:lineRule="exact"/>
        <w:ind w:firstLine="420" w:firstLineChars="200"/>
      </w:pPr>
      <w:r>
        <w:t>除法律规定或合同另有约定外，未经承包人同意，发包人不得将承包人提供的技术秘密及声明需要保密的资料信息等商业秘密泄露给第三方。</w:t>
      </w:r>
    </w:p>
    <w:p w14:paraId="6B852580">
      <w:pPr>
        <w:pStyle w:val="25"/>
        <w:ind w:firstLine="482" w:firstLineChars="200"/>
        <w:rPr>
          <w:b/>
        </w:rPr>
      </w:pPr>
      <w:bookmarkStart w:id="816" w:name="_Toc351203508"/>
      <w:bookmarkStart w:id="817" w:name="_Toc152264523"/>
      <w:bookmarkStart w:id="818" w:name="_Toc256000164"/>
      <w:r>
        <w:rPr>
          <w:b/>
        </w:rPr>
        <w:t>1.13工程量清单错误的修正</w:t>
      </w:r>
      <w:bookmarkEnd w:id="816"/>
      <w:bookmarkEnd w:id="817"/>
      <w:bookmarkEnd w:id="818"/>
    </w:p>
    <w:p w14:paraId="6A4C7063">
      <w:pPr>
        <w:spacing w:line="400" w:lineRule="exact"/>
        <w:ind w:firstLine="420" w:firstLineChars="200"/>
      </w:pPr>
      <w:r>
        <w:rPr>
          <w:rFonts w:hint="eastAsia"/>
        </w:rPr>
        <w:t>除专用合同条款另有约定外，</w:t>
      </w:r>
      <w:r>
        <w:t>发包人提供的工程量清单，应被认为是准确的和完整的。出现下列情形之一时，发包人应予以修正，并相应调整合同价格：</w:t>
      </w:r>
    </w:p>
    <w:p w14:paraId="0ABD47AD">
      <w:pPr>
        <w:spacing w:line="400" w:lineRule="exact"/>
        <w:ind w:firstLine="420" w:firstLineChars="200"/>
      </w:pPr>
      <w:r>
        <w:t>（1）工程量清单存在缺项、漏项的；</w:t>
      </w:r>
    </w:p>
    <w:p w14:paraId="2DA6FB26">
      <w:pPr>
        <w:spacing w:line="400" w:lineRule="exact"/>
        <w:ind w:firstLine="420" w:firstLineChars="200"/>
      </w:pPr>
      <w:r>
        <w:t>（2）工程量清单偏差超出专用合同条款约定的工程量偏差范围的；</w:t>
      </w:r>
    </w:p>
    <w:p w14:paraId="7527BE54">
      <w:pPr>
        <w:spacing w:line="400" w:lineRule="exact"/>
        <w:ind w:firstLine="420" w:firstLineChars="200"/>
      </w:pPr>
      <w:r>
        <w:t>（3）未按照国家现行计量规范强制性规定计量的。</w:t>
      </w:r>
    </w:p>
    <w:p w14:paraId="5428D483">
      <w:pPr>
        <w:pStyle w:val="23"/>
        <w:ind w:firstLine="640" w:firstLineChars="200"/>
        <w:rPr>
          <w:rFonts w:ascii="黑体" w:hAnsi="宋体" w:cs="黑体"/>
          <w:kern w:val="0"/>
          <w:sz w:val="32"/>
          <w:lang w:bidi="ar"/>
        </w:rPr>
      </w:pPr>
      <w:bookmarkStart w:id="819" w:name="_Toc351203509"/>
      <w:bookmarkStart w:id="820" w:name="_Toc256000165"/>
      <w:bookmarkStart w:id="821" w:name="_Toc152264524"/>
      <w:r>
        <w:rPr>
          <w:rFonts w:hint="eastAsia" w:ascii="黑体" w:hAnsi="宋体" w:cs="黑体"/>
          <w:kern w:val="0"/>
          <w:sz w:val="32"/>
          <w:lang w:bidi="ar"/>
        </w:rPr>
        <w:t>2</w:t>
      </w:r>
      <w:bookmarkStart w:id="822" w:name="_Toc337558739"/>
      <w:bookmarkStart w:id="823" w:name="_Toc296346539"/>
      <w:bookmarkStart w:id="824" w:name="_Toc296503038"/>
      <w:bookmarkStart w:id="825" w:name="OLE_LINK2"/>
      <w:bookmarkStart w:id="826" w:name="OLE_LINK1"/>
      <w:r>
        <w:rPr>
          <w:rFonts w:hint="eastAsia" w:ascii="黑体" w:hAnsi="宋体" w:cs="黑体"/>
          <w:kern w:val="0"/>
          <w:sz w:val="32"/>
          <w:lang w:bidi="ar"/>
        </w:rPr>
        <w:t>.发包人</w:t>
      </w:r>
      <w:bookmarkEnd w:id="819"/>
      <w:bookmarkEnd w:id="820"/>
      <w:bookmarkEnd w:id="821"/>
    </w:p>
    <w:bookmarkEnd w:id="822"/>
    <w:bookmarkEnd w:id="823"/>
    <w:bookmarkEnd w:id="824"/>
    <w:p w14:paraId="66016BCA">
      <w:pPr>
        <w:pStyle w:val="25"/>
        <w:ind w:firstLine="482" w:firstLineChars="200"/>
        <w:rPr>
          <w:b/>
        </w:rPr>
      </w:pPr>
      <w:bookmarkStart w:id="827" w:name="_Toc351203510"/>
      <w:bookmarkStart w:id="828" w:name="_Toc256000166"/>
      <w:bookmarkStart w:id="829" w:name="_Toc152264525"/>
      <w:r>
        <w:rPr>
          <w:b/>
        </w:rPr>
        <w:t>2</w:t>
      </w:r>
      <w:bookmarkStart w:id="830" w:name="_Toc337558740"/>
      <w:bookmarkStart w:id="831" w:name="_Toc296346540"/>
      <w:bookmarkStart w:id="832" w:name="_Toc296503039"/>
      <w:r>
        <w:rPr>
          <w:b/>
        </w:rPr>
        <w:t>.1 许可或批准</w:t>
      </w:r>
      <w:bookmarkEnd w:id="827"/>
      <w:bookmarkEnd w:id="828"/>
      <w:bookmarkEnd w:id="829"/>
    </w:p>
    <w:p w14:paraId="47D63D5F">
      <w:pPr>
        <w:spacing w:line="400" w:lineRule="exact"/>
        <w:ind w:firstLine="420" w:firstLineChars="200"/>
      </w:pPr>
      <w: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DE3CF99">
      <w:pPr>
        <w:spacing w:line="400" w:lineRule="exact"/>
        <w:ind w:firstLine="420" w:firstLineChars="200"/>
      </w:pPr>
      <w:r>
        <w:t>因发包人原因未能及时办理完毕前述许可、批准或备案，由发包人承担由此增加的费用和（或）延误的工期，并支付承包人合理的利润。</w:t>
      </w:r>
    </w:p>
    <w:p w14:paraId="20CF27FD">
      <w:pPr>
        <w:pStyle w:val="25"/>
        <w:ind w:firstLine="482" w:firstLineChars="200"/>
        <w:rPr>
          <w:b/>
        </w:rPr>
      </w:pPr>
      <w:bookmarkStart w:id="833" w:name="_Toc351203511"/>
      <w:bookmarkStart w:id="834" w:name="_Toc256000167"/>
      <w:bookmarkStart w:id="835" w:name="_Toc152264526"/>
      <w:r>
        <w:rPr>
          <w:b/>
        </w:rPr>
        <w:t>2.2 发包人代表</w:t>
      </w:r>
      <w:bookmarkEnd w:id="833"/>
      <w:bookmarkEnd w:id="834"/>
      <w:bookmarkEnd w:id="835"/>
    </w:p>
    <w:p w14:paraId="2C100595">
      <w:pPr>
        <w:spacing w:line="400" w:lineRule="exact"/>
        <w:ind w:firstLine="420" w:firstLineChars="200"/>
      </w:pPr>
      <w: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1F13D16">
      <w:pPr>
        <w:spacing w:line="400" w:lineRule="exact"/>
        <w:ind w:firstLine="420" w:firstLineChars="200"/>
      </w:pPr>
      <w:r>
        <w:t>发包人代表不能按照合同约定履行其职责及义务，并导致合同无法继续正常履行的，承包人可以要求发包人撤换发包人代表。</w:t>
      </w:r>
    </w:p>
    <w:p w14:paraId="3FD71FC7">
      <w:pPr>
        <w:spacing w:line="400" w:lineRule="exact"/>
        <w:ind w:firstLine="420" w:firstLineChars="200"/>
      </w:pPr>
      <w:r>
        <w:rPr>
          <w:rFonts w:hint="eastAsia"/>
        </w:rPr>
        <w:t>不属于法定必须监理的工程，监理人的职权可以由发包人代表或发包人指定的其他人员行使。</w:t>
      </w:r>
    </w:p>
    <w:p w14:paraId="33EDF44D">
      <w:pPr>
        <w:pStyle w:val="25"/>
        <w:ind w:firstLine="482" w:firstLineChars="200"/>
        <w:rPr>
          <w:b/>
        </w:rPr>
      </w:pPr>
      <w:bookmarkStart w:id="836" w:name="_Toc152264527"/>
      <w:bookmarkStart w:id="837" w:name="_Toc351203512"/>
      <w:bookmarkStart w:id="838" w:name="_Toc256000168"/>
      <w:r>
        <w:rPr>
          <w:b/>
        </w:rPr>
        <w:t>2.3 发包人人员</w:t>
      </w:r>
      <w:bookmarkEnd w:id="836"/>
      <w:bookmarkEnd w:id="837"/>
      <w:bookmarkEnd w:id="838"/>
    </w:p>
    <w:p w14:paraId="01EB2DAE">
      <w:pPr>
        <w:spacing w:line="400" w:lineRule="exact"/>
        <w:ind w:firstLine="420" w:firstLineChars="200"/>
      </w:pPr>
      <w:r>
        <w:t>发包人应要求在施工现场的发包人人员遵守法律及有关安全、质量、环境保护、文明施工等规定，并保障承包人免于承受因发包人人员未遵守上述要求给承包人造成的损失和责任。</w:t>
      </w:r>
    </w:p>
    <w:p w14:paraId="1B28012E">
      <w:pPr>
        <w:spacing w:line="400" w:lineRule="exact"/>
        <w:ind w:firstLine="420" w:firstLineChars="200"/>
      </w:pPr>
      <w:r>
        <w:t>发包人人员包括发包人代表及其他由发包人派驻施工现场的人员。</w:t>
      </w:r>
      <w:bookmarkEnd w:id="830"/>
      <w:bookmarkEnd w:id="831"/>
      <w:bookmarkEnd w:id="832"/>
    </w:p>
    <w:p w14:paraId="143CE7D3">
      <w:pPr>
        <w:pStyle w:val="25"/>
        <w:ind w:firstLine="482" w:firstLineChars="200"/>
        <w:rPr>
          <w:b/>
        </w:rPr>
      </w:pPr>
      <w:bookmarkStart w:id="839" w:name="_Toc152264528"/>
      <w:bookmarkStart w:id="840" w:name="_Toc351203513"/>
      <w:bookmarkStart w:id="841" w:name="_Toc256000169"/>
      <w:r>
        <w:rPr>
          <w:b/>
        </w:rPr>
        <w:t>2</w:t>
      </w:r>
      <w:bookmarkStart w:id="842" w:name="_Toc337558741"/>
      <w:bookmarkStart w:id="843" w:name="_Toc296503040"/>
      <w:bookmarkStart w:id="844" w:name="_Toc296346541"/>
      <w:r>
        <w:rPr>
          <w:b/>
        </w:rPr>
        <w:t>.4 施工现场、施工条件和基础资料的提供</w:t>
      </w:r>
      <w:bookmarkEnd w:id="839"/>
      <w:bookmarkEnd w:id="840"/>
      <w:bookmarkEnd w:id="841"/>
      <w:r>
        <w:rPr>
          <w:b/>
        </w:rPr>
        <w:t xml:space="preserve"> </w:t>
      </w:r>
      <w:bookmarkEnd w:id="842"/>
      <w:bookmarkEnd w:id="843"/>
      <w:bookmarkEnd w:id="844"/>
      <w:r>
        <w:rPr>
          <w:b/>
        </w:rPr>
        <w:t xml:space="preserve"> </w:t>
      </w:r>
    </w:p>
    <w:p w14:paraId="2BFEB24A">
      <w:pPr>
        <w:spacing w:line="400" w:lineRule="exact"/>
        <w:ind w:firstLine="420" w:firstLineChars="200"/>
      </w:pPr>
      <w:r>
        <w:t>2.4.1 提供施工现场</w:t>
      </w:r>
    </w:p>
    <w:p w14:paraId="4420191E">
      <w:pPr>
        <w:spacing w:line="400" w:lineRule="exact"/>
        <w:ind w:firstLine="420" w:firstLineChars="200"/>
      </w:pPr>
      <w:r>
        <w:t>除</w:t>
      </w:r>
      <w:bookmarkEnd w:id="825"/>
      <w:bookmarkEnd w:id="826"/>
      <w:r>
        <w:t>专用合同条款另有约定外，发包人应</w:t>
      </w:r>
      <w:r>
        <w:rPr>
          <w:rFonts w:hint="eastAsia"/>
        </w:rPr>
        <w:t>最迟于</w:t>
      </w:r>
      <w:r>
        <w:t>开工日期7天前向承包人移交施工现场。</w:t>
      </w:r>
    </w:p>
    <w:p w14:paraId="0BC88639">
      <w:pPr>
        <w:spacing w:line="400" w:lineRule="exact"/>
        <w:ind w:firstLine="420" w:firstLineChars="200"/>
      </w:pPr>
      <w:r>
        <w:t>2.4.2 提供施工条件</w:t>
      </w:r>
    </w:p>
    <w:p w14:paraId="73A75127">
      <w:pPr>
        <w:spacing w:line="400" w:lineRule="exact"/>
        <w:ind w:firstLine="420" w:firstLineChars="200"/>
      </w:pPr>
      <w:r>
        <w:t>除专用合同条款另有约定外，发包人应负责提供施工所需要的条件，包括：</w:t>
      </w:r>
    </w:p>
    <w:p w14:paraId="3693D3ED">
      <w:pPr>
        <w:spacing w:line="400" w:lineRule="exact"/>
        <w:ind w:firstLine="420" w:firstLineChars="200"/>
      </w:pPr>
      <w:r>
        <w:t>（1）将施工用水、电力、通讯线路等施工所必需的条件接至施工现场内；</w:t>
      </w:r>
    </w:p>
    <w:p w14:paraId="2C7D674C">
      <w:pPr>
        <w:spacing w:line="400" w:lineRule="exact"/>
        <w:ind w:firstLine="420" w:firstLineChars="200"/>
      </w:pPr>
      <w:r>
        <w:t>（2）保证向承包人提供正常施工所需要的进入施工现场的交通条件；</w:t>
      </w:r>
    </w:p>
    <w:p w14:paraId="323AE0B0">
      <w:pPr>
        <w:spacing w:line="400" w:lineRule="exact"/>
        <w:ind w:firstLine="420" w:firstLineChars="200"/>
      </w:pPr>
      <w:r>
        <w:t>（3）协调处理施工现场周围地下管线和邻近建筑物、构筑物、古树名木的保护工作，并承担相关费用；</w:t>
      </w:r>
    </w:p>
    <w:p w14:paraId="14B44038">
      <w:pPr>
        <w:spacing w:line="400" w:lineRule="exact"/>
        <w:ind w:firstLine="420" w:firstLineChars="200"/>
      </w:pPr>
      <w:r>
        <w:t>（4）按照专用合同条款约定</w:t>
      </w:r>
      <w:r>
        <w:rPr>
          <w:rFonts w:hint="eastAsia"/>
        </w:rPr>
        <w:t>应</w:t>
      </w:r>
      <w:r>
        <w:t>提供的其他设施和条件。</w:t>
      </w:r>
    </w:p>
    <w:p w14:paraId="1BD45ECF">
      <w:pPr>
        <w:spacing w:line="400" w:lineRule="exact"/>
        <w:ind w:firstLine="420" w:firstLineChars="200"/>
      </w:pPr>
      <w:r>
        <w:t>2.4.3 提供基础资料</w:t>
      </w:r>
    </w:p>
    <w:p w14:paraId="623370DE">
      <w:pPr>
        <w:spacing w:line="400" w:lineRule="exact"/>
        <w:ind w:firstLine="420" w:firstLineChars="200"/>
      </w:pPr>
      <w: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4F8B1A4">
      <w:pPr>
        <w:spacing w:line="400" w:lineRule="exact"/>
        <w:ind w:firstLine="420" w:firstLineChars="200"/>
      </w:pPr>
      <w:r>
        <w:rPr>
          <w:rFonts w:hint="eastAsia"/>
        </w:rPr>
        <w:t>按照法律规定确需在开工后方能提供的基础资料，发包人应尽其努力及时地在相应工程施工前的合理期限内提供，合理期限应以不影响承包人的正常施工为限。</w:t>
      </w:r>
    </w:p>
    <w:p w14:paraId="3686D6C4">
      <w:pPr>
        <w:spacing w:line="400" w:lineRule="exact"/>
        <w:ind w:firstLine="420" w:firstLineChars="200"/>
      </w:pPr>
      <w:r>
        <w:t>2.4.4 逾期提供的责任</w:t>
      </w:r>
    </w:p>
    <w:p w14:paraId="43272F87">
      <w:pPr>
        <w:spacing w:line="400" w:lineRule="exact"/>
        <w:ind w:firstLine="420" w:firstLineChars="200"/>
      </w:pPr>
      <w:r>
        <w:t>因发包人原因未能按合同约定及时向承包人提供施工现场、施工条件、基础资料的，由发包人承担由此增加的费用和（或）延误的工期。</w:t>
      </w:r>
    </w:p>
    <w:p w14:paraId="2349C2A4">
      <w:pPr>
        <w:pStyle w:val="25"/>
        <w:ind w:firstLine="482" w:firstLineChars="200"/>
        <w:rPr>
          <w:b/>
        </w:rPr>
      </w:pPr>
      <w:bookmarkStart w:id="845" w:name="_Toc351203514"/>
      <w:bookmarkStart w:id="846" w:name="_Toc152264529"/>
      <w:bookmarkStart w:id="847" w:name="_Toc256000170"/>
      <w:r>
        <w:rPr>
          <w:b/>
        </w:rPr>
        <w:t>2</w:t>
      </w:r>
      <w:bookmarkStart w:id="848" w:name="_Toc296346543"/>
      <w:bookmarkStart w:id="849" w:name="_Toc296503042"/>
      <w:bookmarkStart w:id="850" w:name="_Toc337558745"/>
      <w:r>
        <w:rPr>
          <w:b/>
        </w:rPr>
        <w:t>.5 资</w:t>
      </w:r>
      <w:bookmarkEnd w:id="848"/>
      <w:bookmarkEnd w:id="849"/>
      <w:bookmarkEnd w:id="850"/>
      <w:r>
        <w:rPr>
          <w:b/>
        </w:rPr>
        <w:t>金来源证明及支付担保</w:t>
      </w:r>
      <w:bookmarkEnd w:id="845"/>
      <w:bookmarkEnd w:id="846"/>
      <w:bookmarkEnd w:id="847"/>
    </w:p>
    <w:p w14:paraId="5FEB2EA0">
      <w:pPr>
        <w:spacing w:line="400" w:lineRule="exact"/>
        <w:ind w:firstLine="420" w:firstLineChars="200"/>
      </w:pPr>
      <w:r>
        <w:t>除专用合同条款另有约定外，发包人应在收到承包人要求提供资金来源证明的书面通知后28天内，向承包人提供能够按照合同约定支付合同价款的相应资金来源证明。</w:t>
      </w:r>
    </w:p>
    <w:p w14:paraId="07743C18">
      <w:pPr>
        <w:spacing w:line="400" w:lineRule="exact"/>
        <w:ind w:firstLine="420" w:firstLineChars="200"/>
      </w:pPr>
      <w:r>
        <w:t>除专用合同条款另有约定外，发包人要求承包人提供履约担保的，发包人应当向承包人提供支付担保。支付担保可以采用银行保函或担保公司担保等形式，具体由合同当事人在专用合同条款中约定。</w:t>
      </w:r>
    </w:p>
    <w:p w14:paraId="246A570B">
      <w:pPr>
        <w:pStyle w:val="25"/>
        <w:ind w:firstLine="482" w:firstLineChars="200"/>
        <w:rPr>
          <w:b/>
        </w:rPr>
      </w:pPr>
      <w:bookmarkStart w:id="851" w:name="_Toc256000171"/>
      <w:bookmarkStart w:id="852" w:name="_Toc152264530"/>
      <w:bookmarkStart w:id="853" w:name="_Toc351203515"/>
      <w:r>
        <w:rPr>
          <w:b/>
        </w:rPr>
        <w:t>2.6 支付合同价款</w:t>
      </w:r>
      <w:bookmarkEnd w:id="851"/>
      <w:bookmarkEnd w:id="852"/>
      <w:bookmarkEnd w:id="853"/>
    </w:p>
    <w:p w14:paraId="006BF16D">
      <w:pPr>
        <w:spacing w:line="400" w:lineRule="exact"/>
        <w:ind w:firstLine="420" w:firstLineChars="200"/>
      </w:pPr>
      <w:r>
        <w:t>发包人应按合同约定向承包人及时支付合同价款。</w:t>
      </w:r>
    </w:p>
    <w:p w14:paraId="04CCE78B">
      <w:pPr>
        <w:pStyle w:val="25"/>
        <w:ind w:firstLine="482" w:firstLineChars="200"/>
        <w:rPr>
          <w:b/>
        </w:rPr>
      </w:pPr>
      <w:bookmarkStart w:id="854" w:name="_Toc152264531"/>
      <w:bookmarkStart w:id="855" w:name="_Toc256000172"/>
      <w:bookmarkStart w:id="856" w:name="_Toc351203516"/>
      <w:r>
        <w:rPr>
          <w:b/>
        </w:rPr>
        <w:t>2.7 组织竣工验收</w:t>
      </w:r>
      <w:bookmarkEnd w:id="854"/>
      <w:bookmarkEnd w:id="855"/>
      <w:bookmarkEnd w:id="856"/>
    </w:p>
    <w:p w14:paraId="08F7BE60">
      <w:pPr>
        <w:spacing w:line="400" w:lineRule="exact"/>
        <w:ind w:firstLine="420" w:firstLineChars="200"/>
      </w:pPr>
      <w:r>
        <w:t>发包人应按合同约定及时组织竣工验收。</w:t>
      </w:r>
    </w:p>
    <w:p w14:paraId="13B92E25">
      <w:pPr>
        <w:pStyle w:val="25"/>
        <w:ind w:firstLine="482" w:firstLineChars="200"/>
        <w:rPr>
          <w:b/>
        </w:rPr>
      </w:pPr>
      <w:bookmarkStart w:id="857" w:name="_Toc152264532"/>
      <w:bookmarkStart w:id="858" w:name="_Toc351203517"/>
      <w:bookmarkStart w:id="859" w:name="_Toc256000173"/>
      <w:r>
        <w:rPr>
          <w:b/>
        </w:rPr>
        <w:t>2.8 现场统一管理协议</w:t>
      </w:r>
      <w:bookmarkEnd w:id="857"/>
      <w:bookmarkEnd w:id="858"/>
      <w:bookmarkEnd w:id="859"/>
    </w:p>
    <w:p w14:paraId="242DF611">
      <w:pPr>
        <w:spacing w:line="400" w:lineRule="exact"/>
        <w:ind w:firstLine="420" w:firstLineChars="200"/>
      </w:pPr>
      <w:r>
        <w:t>发包人应与承包人、由发包人直接发包的专业工程的承包人签订施工现场统一管理协议，明确各方的权利义务。施工现场统一管理协议作为专用合同条款的附件。</w:t>
      </w:r>
    </w:p>
    <w:p w14:paraId="272BF36E">
      <w:pPr>
        <w:pStyle w:val="23"/>
        <w:ind w:firstLine="640" w:firstLineChars="200"/>
        <w:rPr>
          <w:rFonts w:ascii="黑体" w:hAnsi="宋体" w:cs="黑体"/>
          <w:kern w:val="0"/>
          <w:sz w:val="32"/>
          <w:lang w:bidi="ar"/>
        </w:rPr>
      </w:pPr>
      <w:bookmarkStart w:id="860" w:name="_Toc152264533"/>
      <w:bookmarkStart w:id="861" w:name="_Toc256000174"/>
      <w:bookmarkStart w:id="862" w:name="_Toc351203518"/>
      <w:r>
        <w:rPr>
          <w:rFonts w:hint="eastAsia" w:ascii="黑体" w:hAnsi="宋体" w:cs="黑体"/>
          <w:kern w:val="0"/>
          <w:sz w:val="32"/>
          <w:lang w:bidi="ar"/>
        </w:rPr>
        <w:t>3</w:t>
      </w:r>
      <w:bookmarkStart w:id="863" w:name="_Toc296346546"/>
      <w:bookmarkStart w:id="864" w:name="_Toc337558746"/>
      <w:bookmarkStart w:id="865" w:name="_Toc296503045"/>
      <w:r>
        <w:rPr>
          <w:rFonts w:hint="eastAsia" w:ascii="黑体" w:hAnsi="宋体" w:cs="黑体"/>
          <w:kern w:val="0"/>
          <w:sz w:val="32"/>
          <w:lang w:bidi="ar"/>
        </w:rPr>
        <w:t>.承包人</w:t>
      </w:r>
      <w:bookmarkEnd w:id="860"/>
      <w:bookmarkEnd w:id="861"/>
      <w:bookmarkEnd w:id="862"/>
    </w:p>
    <w:bookmarkEnd w:id="863"/>
    <w:bookmarkEnd w:id="864"/>
    <w:bookmarkEnd w:id="865"/>
    <w:p w14:paraId="399D5E59">
      <w:pPr>
        <w:pStyle w:val="25"/>
        <w:ind w:firstLine="482" w:firstLineChars="200"/>
        <w:rPr>
          <w:b/>
        </w:rPr>
      </w:pPr>
      <w:bookmarkStart w:id="866" w:name="_Toc351203519"/>
      <w:bookmarkStart w:id="867" w:name="_Toc152264534"/>
      <w:bookmarkStart w:id="868" w:name="_Toc256000175"/>
      <w:r>
        <w:rPr>
          <w:b/>
        </w:rPr>
        <w:t>3</w:t>
      </w:r>
      <w:bookmarkStart w:id="869" w:name="_Toc296346547"/>
      <w:bookmarkStart w:id="870" w:name="_Toc337558747"/>
      <w:bookmarkStart w:id="871" w:name="_Toc296503046"/>
      <w:r>
        <w:rPr>
          <w:b/>
        </w:rPr>
        <w:t>.1 承包人的一般义务</w:t>
      </w:r>
      <w:bookmarkEnd w:id="866"/>
      <w:bookmarkEnd w:id="867"/>
      <w:bookmarkEnd w:id="868"/>
    </w:p>
    <w:bookmarkEnd w:id="869"/>
    <w:bookmarkEnd w:id="870"/>
    <w:bookmarkEnd w:id="871"/>
    <w:p w14:paraId="27EEABED">
      <w:pPr>
        <w:spacing w:line="400" w:lineRule="exact"/>
        <w:ind w:firstLine="420" w:firstLineChars="200"/>
      </w:pPr>
      <w:r>
        <w:t>承包人在履行合同过程中应遵守法律和工程建设标准规范，并履行以下义务：</w:t>
      </w:r>
    </w:p>
    <w:p w14:paraId="54171B95">
      <w:pPr>
        <w:spacing w:line="400" w:lineRule="exact"/>
        <w:ind w:firstLine="420" w:firstLineChars="200"/>
      </w:pPr>
      <w:r>
        <w:t>（</w:t>
      </w:r>
      <w:r>
        <w:rPr>
          <w:rFonts w:hint="eastAsia"/>
        </w:rPr>
        <w:t>1</w:t>
      </w:r>
      <w:r>
        <w:t>）办理法律规定</w:t>
      </w:r>
      <w:r>
        <w:rPr>
          <w:rFonts w:hint="eastAsia"/>
        </w:rPr>
        <w:t>应</w:t>
      </w:r>
      <w:r>
        <w:t>由承包人办理的许可和批准，并将</w:t>
      </w:r>
      <w:r>
        <w:rPr>
          <w:rFonts w:hint="eastAsia"/>
        </w:rPr>
        <w:t>办理</w:t>
      </w:r>
      <w:r>
        <w:t>结果书面报送发包人留存；</w:t>
      </w:r>
    </w:p>
    <w:p w14:paraId="4B6BF266">
      <w:pPr>
        <w:spacing w:line="400" w:lineRule="exact"/>
        <w:ind w:firstLine="420" w:firstLineChars="200"/>
      </w:pPr>
      <w:r>
        <w:t>（2）按法律规定和合同约定完成工程，并在保修期内承担保修义务；</w:t>
      </w:r>
    </w:p>
    <w:p w14:paraId="39D84958">
      <w:pPr>
        <w:spacing w:line="400" w:lineRule="exact"/>
        <w:ind w:firstLine="420" w:firstLineChars="200"/>
      </w:pPr>
      <w:r>
        <w:t>（3）按法律规定和合同约定采取施工安全和环境保护措施，办理工伤保险，确保工程及人员、材料、设备和设施的安全；</w:t>
      </w:r>
    </w:p>
    <w:p w14:paraId="57600FC7">
      <w:pPr>
        <w:spacing w:line="400" w:lineRule="exact"/>
        <w:ind w:firstLine="420" w:firstLineChars="200"/>
      </w:pPr>
      <w:r>
        <w:t>（4）按合同约定的工作内容和施工进度要求，编制施工组织设计和施工措施计划，并对所有施工作业和施工方法的完备性和安全可靠性负责；</w:t>
      </w:r>
    </w:p>
    <w:p w14:paraId="525F8B96">
      <w:pPr>
        <w:spacing w:line="400" w:lineRule="exact"/>
        <w:ind w:firstLine="420" w:firstLineChars="200"/>
      </w:pPr>
      <w: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D1AA144">
      <w:pPr>
        <w:spacing w:line="400" w:lineRule="exact"/>
        <w:ind w:firstLine="420" w:firstLineChars="200"/>
      </w:pPr>
      <w:r>
        <w:t>（6）按照第6.3款</w:t>
      </w:r>
      <w:r>
        <w:rPr>
          <w:rFonts w:hint="eastAsia"/>
        </w:rPr>
        <w:t>〔</w:t>
      </w:r>
      <w:r>
        <w:t>环境保护</w:t>
      </w:r>
      <w:r>
        <w:rPr>
          <w:rFonts w:hint="eastAsia"/>
        </w:rPr>
        <w:t>〕</w:t>
      </w:r>
      <w:r>
        <w:t>约定负责施工场地及其周边环境与生态的保护工作；</w:t>
      </w:r>
    </w:p>
    <w:p w14:paraId="187FF664">
      <w:pPr>
        <w:spacing w:line="400" w:lineRule="exact"/>
        <w:ind w:firstLine="420" w:firstLineChars="200"/>
      </w:pPr>
      <w:r>
        <w:t>（7）按第6.1款</w:t>
      </w:r>
      <w:r>
        <w:rPr>
          <w:rFonts w:hint="eastAsia"/>
        </w:rPr>
        <w:t>〔</w:t>
      </w:r>
      <w:r>
        <w:t>安全文明施工</w:t>
      </w:r>
      <w:r>
        <w:rPr>
          <w:rFonts w:hint="eastAsia"/>
        </w:rPr>
        <w:t>〕</w:t>
      </w:r>
      <w:r>
        <w:t>约定采取施工安全措施，确保工程及其人员、材料、设备和设施的安全，防止因工程施工造成的人身伤害和财产损失；</w:t>
      </w:r>
    </w:p>
    <w:p w14:paraId="1252CF7D">
      <w:pPr>
        <w:spacing w:line="400" w:lineRule="exact"/>
        <w:ind w:firstLine="420" w:firstLineChars="200"/>
      </w:pPr>
      <w:r>
        <w:t>（8）</w:t>
      </w:r>
      <w:r>
        <w:rPr>
          <w:rFonts w:hint="eastAsia"/>
        </w:rPr>
        <w:t>将</w:t>
      </w:r>
      <w:r>
        <w:t>发包人按合同约定支付的各项价款专用于合同工程，且应及时支付其雇用人员工资，并及时向分包人支付合同价款；</w:t>
      </w:r>
    </w:p>
    <w:p w14:paraId="36E46793">
      <w:pPr>
        <w:spacing w:line="400" w:lineRule="exact"/>
        <w:ind w:firstLine="420" w:firstLineChars="200"/>
      </w:pPr>
      <w:r>
        <w:t>（9）按照法律规定和合同约定编制竣工资料，完成竣工资料立卷及归档，并按专用合同条款约定的竣工资料的套数、内容、时间等要求移交发包人；</w:t>
      </w:r>
    </w:p>
    <w:p w14:paraId="03BDCBAE">
      <w:pPr>
        <w:spacing w:line="400" w:lineRule="exact"/>
        <w:ind w:firstLine="420" w:firstLineChars="200"/>
      </w:pPr>
      <w:r>
        <w:t>（10）应履行的其他义务。</w:t>
      </w:r>
    </w:p>
    <w:p w14:paraId="44C428BF">
      <w:pPr>
        <w:pStyle w:val="25"/>
        <w:ind w:firstLine="482" w:firstLineChars="200"/>
        <w:rPr>
          <w:b/>
        </w:rPr>
      </w:pPr>
      <w:bookmarkStart w:id="872" w:name="_Toc351203520"/>
      <w:bookmarkStart w:id="873" w:name="_Toc152264535"/>
      <w:bookmarkStart w:id="874" w:name="_Toc256000176"/>
      <w:r>
        <w:rPr>
          <w:b/>
        </w:rPr>
        <w:t>3</w:t>
      </w:r>
      <w:bookmarkStart w:id="875" w:name="_Toc296346548"/>
      <w:bookmarkStart w:id="876" w:name="_Toc296503047"/>
      <w:bookmarkStart w:id="877" w:name="_Toc337558748"/>
      <w:r>
        <w:rPr>
          <w:b/>
        </w:rPr>
        <w:t xml:space="preserve">.2 </w:t>
      </w:r>
      <w:bookmarkEnd w:id="872"/>
      <w:r>
        <w:rPr>
          <w:b/>
        </w:rPr>
        <w:t>项目经理</w:t>
      </w:r>
      <w:bookmarkEnd w:id="873"/>
      <w:bookmarkEnd w:id="874"/>
    </w:p>
    <w:bookmarkEnd w:id="875"/>
    <w:bookmarkEnd w:id="876"/>
    <w:bookmarkEnd w:id="877"/>
    <w:p w14:paraId="7A19DC9A">
      <w:pPr>
        <w:spacing w:line="400" w:lineRule="exact"/>
        <w:ind w:firstLine="420" w:firstLineChars="200"/>
      </w:pPr>
      <w: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51A1E9D">
      <w:pPr>
        <w:spacing w:line="400" w:lineRule="exact"/>
        <w:ind w:firstLine="420" w:firstLineChars="200"/>
      </w:pPr>
      <w: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1E18D41">
      <w:pPr>
        <w:spacing w:line="400" w:lineRule="exact"/>
        <w:ind w:firstLine="420" w:firstLineChars="200"/>
      </w:pPr>
      <w:r>
        <w:t>承包人违反上述约定的，应按照专用合同条款的约定，承担违约责任。</w:t>
      </w:r>
    </w:p>
    <w:p w14:paraId="12B6A953">
      <w:pPr>
        <w:spacing w:line="400" w:lineRule="exact"/>
        <w:ind w:firstLine="420" w:firstLineChars="200"/>
      </w:pPr>
      <w:r>
        <w:t>3.2.2 项目经理按合同约定组织工程实施。在紧急情况下</w:t>
      </w:r>
      <w:r>
        <w:rPr>
          <w:rFonts w:hint="eastAsia"/>
        </w:rPr>
        <w:t>为确保施工安全和人员安全</w:t>
      </w:r>
      <w:r>
        <w:t>，</w:t>
      </w:r>
      <w:r>
        <w:rPr>
          <w:rFonts w:hint="eastAsia"/>
        </w:rPr>
        <w:t>在</w:t>
      </w:r>
      <w:r>
        <w:t>无法与发包人代表和总监理工程师</w:t>
      </w:r>
      <w:r>
        <w:rPr>
          <w:rFonts w:hint="eastAsia"/>
        </w:rPr>
        <w:t>及时</w:t>
      </w:r>
      <w:r>
        <w:t>取得联系时，项目经理有权采取必要的措施保证与工程有关的人身、财产和工程的安全，但应在48小时内向发包人代表和总监理工程师提交书面报告。</w:t>
      </w:r>
    </w:p>
    <w:p w14:paraId="31E276B5">
      <w:pPr>
        <w:spacing w:line="400" w:lineRule="exact"/>
        <w:ind w:firstLine="420" w:firstLineChars="200"/>
      </w:pPr>
      <w: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47D5DB3">
      <w:pPr>
        <w:spacing w:line="400" w:lineRule="exact"/>
        <w:ind w:firstLine="420" w:firstLineChars="200"/>
      </w:pPr>
      <w: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rPr>
        <w:t>继</w:t>
      </w:r>
      <w:r>
        <w:t>任项目经理继续履行第3.2.1项约定的职责。承包人无正当理由拒绝更换项目经理的，应按照专用合同条款的约定承担违约责任。</w:t>
      </w:r>
    </w:p>
    <w:p w14:paraId="3D11A297">
      <w:pPr>
        <w:spacing w:line="400" w:lineRule="exact"/>
        <w:ind w:firstLine="420" w:firstLineChars="200"/>
      </w:pPr>
      <w:r>
        <w:t>3.2.5 项目经理因特殊情况授权其下属人员履行其某项工作职责的，该下属人员应具备履行相应职责的能力，并应提前7天将上述人员的姓名和授权范围书面通知监理人，并征得发包人书面同意。</w:t>
      </w:r>
    </w:p>
    <w:p w14:paraId="1ED6FC51">
      <w:pPr>
        <w:pStyle w:val="25"/>
        <w:ind w:firstLine="482" w:firstLineChars="200"/>
        <w:rPr>
          <w:b/>
        </w:rPr>
      </w:pPr>
      <w:bookmarkStart w:id="878" w:name="_Toc256000177"/>
      <w:bookmarkStart w:id="879" w:name="_Toc152264536"/>
      <w:bookmarkStart w:id="880" w:name="_Toc351203521"/>
      <w:r>
        <w:rPr>
          <w:b/>
        </w:rPr>
        <w:t>3</w:t>
      </w:r>
      <w:bookmarkStart w:id="881" w:name="_Toc296346549"/>
      <w:bookmarkStart w:id="882" w:name="_Toc296503048"/>
      <w:bookmarkStart w:id="883" w:name="_Toc337558749"/>
      <w:r>
        <w:rPr>
          <w:b/>
        </w:rPr>
        <w:t xml:space="preserve">.3 </w:t>
      </w:r>
      <w:bookmarkEnd w:id="881"/>
      <w:bookmarkEnd w:id="882"/>
      <w:r>
        <w:rPr>
          <w:b/>
        </w:rPr>
        <w:t>承包人人员</w:t>
      </w:r>
      <w:bookmarkEnd w:id="878"/>
      <w:bookmarkEnd w:id="879"/>
      <w:bookmarkEnd w:id="880"/>
    </w:p>
    <w:bookmarkEnd w:id="883"/>
    <w:p w14:paraId="4A20FF51">
      <w:pPr>
        <w:spacing w:line="400" w:lineRule="exact"/>
        <w:ind w:firstLine="420" w:firstLineChars="200"/>
      </w:pPr>
      <w: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rPr>
        <w:t>和</w:t>
      </w:r>
      <w:r>
        <w:t>缴纳社会保险的有效证明。</w:t>
      </w:r>
    </w:p>
    <w:p w14:paraId="6432F75A">
      <w:pPr>
        <w:spacing w:line="400" w:lineRule="exact"/>
        <w:ind w:firstLine="420" w:firstLineChars="200"/>
      </w:pPr>
      <w:r>
        <w:t>3.3.2 承包人派驻到施工现场的主要施工管理人员应相对稳定。施工过程中</w:t>
      </w:r>
      <w:r>
        <w:rPr>
          <w:rFonts w:hint="eastAsia"/>
        </w:rPr>
        <w:t>如有变动</w:t>
      </w:r>
      <w: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5C40160F">
      <w:pPr>
        <w:spacing w:line="400" w:lineRule="exact"/>
        <w:ind w:firstLine="420" w:firstLineChars="200"/>
      </w:pPr>
      <w:r>
        <w:t>特殊工种作业人员均应持有相应的资格证明，监理人可以随时检查。</w:t>
      </w:r>
    </w:p>
    <w:p w14:paraId="7D90A9F9">
      <w:pPr>
        <w:spacing w:line="400" w:lineRule="exact"/>
        <w:ind w:firstLine="420" w:firstLineChars="200"/>
      </w:pPr>
      <w:r>
        <w:t>3.3.3 发包人对于承包人主要施工管理人员</w:t>
      </w:r>
      <w:r>
        <w:rPr>
          <w:rFonts w:hint="eastAsia"/>
        </w:rPr>
        <w:t>的资格或能力</w:t>
      </w:r>
      <w: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AA853DC">
      <w:pPr>
        <w:spacing w:line="400" w:lineRule="exact"/>
        <w:ind w:firstLine="420" w:firstLineChars="200"/>
      </w:pPr>
      <w: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4C5666F">
      <w:pPr>
        <w:spacing w:line="400" w:lineRule="exact"/>
        <w:ind w:firstLine="420" w:firstLineChars="200"/>
      </w:pPr>
      <w:r>
        <w:t>3.3.5 承包人擅自更换主要施工管理人员，或前述人员未经监理人或发包人同意擅自离开施工现场的，应按照专用合同条款约定承担违约责任。</w:t>
      </w:r>
    </w:p>
    <w:p w14:paraId="3E646A2A">
      <w:pPr>
        <w:pStyle w:val="25"/>
        <w:ind w:firstLine="482" w:firstLineChars="200"/>
        <w:rPr>
          <w:b/>
        </w:rPr>
      </w:pPr>
      <w:bookmarkStart w:id="884" w:name="_Toc351203522"/>
      <w:bookmarkStart w:id="885" w:name="_Toc256000178"/>
      <w:bookmarkStart w:id="886" w:name="_Toc152264537"/>
      <w:r>
        <w:rPr>
          <w:b/>
        </w:rPr>
        <w:t>3</w:t>
      </w:r>
      <w:bookmarkStart w:id="887" w:name="_Toc337558750"/>
      <w:bookmarkStart w:id="888" w:name="_Toc296503050"/>
      <w:bookmarkStart w:id="889" w:name="_Toc296346551"/>
      <w:r>
        <w:rPr>
          <w:b/>
        </w:rPr>
        <w:t>.4 承包人现场查勘</w:t>
      </w:r>
      <w:bookmarkEnd w:id="884"/>
      <w:bookmarkEnd w:id="885"/>
      <w:bookmarkEnd w:id="886"/>
    </w:p>
    <w:bookmarkEnd w:id="887"/>
    <w:bookmarkEnd w:id="888"/>
    <w:bookmarkEnd w:id="889"/>
    <w:p w14:paraId="76AF4448">
      <w:pPr>
        <w:spacing w:line="400" w:lineRule="exact"/>
        <w:ind w:firstLine="420" w:firstLineChars="200"/>
      </w:pPr>
      <w:r>
        <w:t>承包人应对基于发包人按照第2.4.3项</w:t>
      </w:r>
      <w:r>
        <w:rPr>
          <w:rFonts w:hint="eastAsia"/>
        </w:rPr>
        <w:t>〔</w:t>
      </w:r>
      <w:r>
        <w:t>提供基础资料</w:t>
      </w:r>
      <w:r>
        <w:rPr>
          <w:rFonts w:hint="eastAsia"/>
        </w:rPr>
        <w:t>〕</w:t>
      </w:r>
      <w:r>
        <w:t>提交的基础资料所做出的解释和推断负责，但因基础资料存在错误、遗漏导致承包人解释或推断失实的，由发包人承担责任。</w:t>
      </w:r>
    </w:p>
    <w:p w14:paraId="4BF950C7">
      <w:pPr>
        <w:spacing w:line="400" w:lineRule="exact"/>
        <w:ind w:firstLine="420" w:firstLineChars="200"/>
      </w:pPr>
      <w: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FB8FAE1">
      <w:pPr>
        <w:pStyle w:val="25"/>
        <w:ind w:firstLine="482" w:firstLineChars="200"/>
        <w:rPr>
          <w:b/>
        </w:rPr>
      </w:pPr>
      <w:bookmarkStart w:id="890" w:name="_Toc351203523"/>
      <w:bookmarkStart w:id="891" w:name="_Toc256000179"/>
      <w:bookmarkStart w:id="892" w:name="_Toc152264538"/>
      <w:r>
        <w:rPr>
          <w:b/>
        </w:rPr>
        <w:t>3</w:t>
      </w:r>
      <w:bookmarkStart w:id="893" w:name="_Toc337558751"/>
      <w:bookmarkStart w:id="894" w:name="_Toc296346552"/>
      <w:bookmarkStart w:id="895" w:name="_Toc296503051"/>
      <w:r>
        <w:rPr>
          <w:b/>
        </w:rPr>
        <w:t>.5 分包</w:t>
      </w:r>
      <w:bookmarkEnd w:id="890"/>
      <w:bookmarkEnd w:id="891"/>
      <w:bookmarkEnd w:id="892"/>
    </w:p>
    <w:bookmarkEnd w:id="893"/>
    <w:bookmarkEnd w:id="894"/>
    <w:bookmarkEnd w:id="895"/>
    <w:p w14:paraId="58A6E553">
      <w:pPr>
        <w:spacing w:line="400" w:lineRule="exact"/>
        <w:ind w:firstLine="420" w:firstLineChars="200"/>
      </w:pPr>
      <w:r>
        <w:t>3.5.1 分包的一般约定</w:t>
      </w:r>
    </w:p>
    <w:p w14:paraId="58670A1F">
      <w:pPr>
        <w:spacing w:line="400" w:lineRule="exact"/>
        <w:ind w:firstLine="420" w:firstLineChars="200"/>
      </w:pPr>
      <w: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1430435">
      <w:pPr>
        <w:spacing w:line="400" w:lineRule="exact"/>
        <w:ind w:firstLine="420" w:firstLineChars="200"/>
      </w:pPr>
      <w:r>
        <w:rPr>
          <w:rFonts w:hint="eastAsia"/>
        </w:rPr>
        <w:t>承包人不得以劳务分包的名义转包或违法分包工程。</w:t>
      </w:r>
    </w:p>
    <w:p w14:paraId="62DF2DDC">
      <w:pPr>
        <w:spacing w:line="400" w:lineRule="exact"/>
        <w:ind w:firstLine="420" w:firstLineChars="200"/>
      </w:pPr>
      <w:r>
        <w:t>3.5.2 分包的确定</w:t>
      </w:r>
    </w:p>
    <w:p w14:paraId="4C924916">
      <w:pPr>
        <w:spacing w:line="400" w:lineRule="exact"/>
        <w:ind w:firstLine="420" w:firstLineChars="200"/>
      </w:pPr>
      <w:r>
        <w:t>承包人应按专用合同条款的约定进行分包，确定分包人。已标价工程量清单或预算书中给定暂估价的专业工程，按照第10.7款</w:t>
      </w:r>
      <w:r>
        <w:rPr>
          <w:rFonts w:hint="eastAsia"/>
        </w:rPr>
        <w:t>〔</w:t>
      </w:r>
      <w:r>
        <w:t>暂估价</w:t>
      </w:r>
      <w:r>
        <w:rPr>
          <w:rFonts w:hint="eastAsia"/>
        </w:rPr>
        <w:t>〕</w:t>
      </w:r>
      <w: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B73DAF8">
      <w:pPr>
        <w:spacing w:line="400" w:lineRule="exact"/>
        <w:ind w:firstLine="420" w:firstLineChars="200"/>
      </w:pPr>
      <w:r>
        <w:t>3.5.3 分包管理</w:t>
      </w:r>
    </w:p>
    <w:p w14:paraId="09E02239">
      <w:pPr>
        <w:spacing w:line="400" w:lineRule="exact"/>
        <w:ind w:firstLine="420" w:firstLineChars="200"/>
      </w:pPr>
      <w:r>
        <w:t>承包人应向监理人提交分包人的主要施工管理人员表，并对分包人的施工人员进行实名制管理，包括但不限于进出场管理、登记造册以及各种证照的办理。</w:t>
      </w:r>
    </w:p>
    <w:p w14:paraId="0FA57A1C">
      <w:pPr>
        <w:spacing w:line="400" w:lineRule="exact"/>
        <w:ind w:firstLine="420" w:firstLineChars="200"/>
      </w:pPr>
      <w:r>
        <w:t>3.5.4 分包合同价款</w:t>
      </w:r>
    </w:p>
    <w:p w14:paraId="7C5AAC43">
      <w:pPr>
        <w:spacing w:line="400" w:lineRule="exact"/>
        <w:ind w:firstLine="420" w:firstLineChars="200"/>
      </w:pPr>
      <w:r>
        <w:t>（1）除本项第（2）目约定的情况或专用合同条款另有约定外，分包合同价款由承包人与分包人结算，未经承包人同意，发包人不得向分包人支付分包工程价款；</w:t>
      </w:r>
    </w:p>
    <w:p w14:paraId="56448D45">
      <w:pPr>
        <w:spacing w:line="400" w:lineRule="exact"/>
        <w:ind w:firstLine="420" w:firstLineChars="200"/>
      </w:pPr>
      <w:r>
        <w:t>（2）生效法律文书要求发包人向分包人支付分包合同价款的，发包人有权从应付承包人工程款中扣除该部分款项。</w:t>
      </w:r>
    </w:p>
    <w:p w14:paraId="1E0A3B7A">
      <w:pPr>
        <w:spacing w:line="400" w:lineRule="exact"/>
        <w:ind w:firstLine="420" w:firstLineChars="200"/>
      </w:pPr>
      <w:r>
        <w:t>3.5.5 分包合同权益的转让</w:t>
      </w:r>
    </w:p>
    <w:p w14:paraId="2671DF24">
      <w:pPr>
        <w:spacing w:line="400" w:lineRule="exact"/>
        <w:ind w:firstLine="420" w:firstLineChars="200"/>
      </w:pPr>
      <w: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96" w:name="_Toc351203524"/>
    </w:p>
    <w:p w14:paraId="4DC86FCF">
      <w:pPr>
        <w:pStyle w:val="25"/>
        <w:ind w:firstLine="482" w:firstLineChars="200"/>
        <w:rPr>
          <w:b/>
        </w:rPr>
      </w:pPr>
      <w:bookmarkStart w:id="897" w:name="_Toc152264539"/>
      <w:bookmarkStart w:id="898" w:name="_Toc256000180"/>
      <w:r>
        <w:rPr>
          <w:b/>
        </w:rPr>
        <w:t>3.6 工程照管与成品、半成品保护</w:t>
      </w:r>
      <w:bookmarkEnd w:id="896"/>
      <w:bookmarkEnd w:id="897"/>
      <w:bookmarkEnd w:id="898"/>
    </w:p>
    <w:p w14:paraId="5EADDCA9">
      <w:pPr>
        <w:spacing w:line="400" w:lineRule="exact"/>
        <w:ind w:firstLine="420" w:firstLineChars="200"/>
      </w:pPr>
      <w:r>
        <w:t>（1）除专用合同条款另有约定外，自发包人向承包人移交施工现场之日起，承包人应负责照管工程及工程相关的材料、工程设备，直到颁发工程接收证书之日止。</w:t>
      </w:r>
    </w:p>
    <w:p w14:paraId="53D0E38B">
      <w:pPr>
        <w:spacing w:line="400" w:lineRule="exact"/>
        <w:ind w:firstLine="420" w:firstLineChars="200"/>
      </w:pPr>
      <w:r>
        <w:t>（</w:t>
      </w:r>
      <w:r>
        <w:rPr>
          <w:rFonts w:hint="eastAsia"/>
        </w:rPr>
        <w:t>2</w:t>
      </w:r>
      <w:r>
        <w:t>）在承包人负责照管期间，因承包人原因造成工程、材料、工程设备损坏的，由承包人负责修复或更换，并承担由此增加的费用和（或）延误的工期。</w:t>
      </w:r>
    </w:p>
    <w:p w14:paraId="35535E00">
      <w:pPr>
        <w:spacing w:line="400" w:lineRule="exact"/>
        <w:ind w:firstLine="420" w:firstLineChars="200"/>
      </w:pPr>
      <w:r>
        <w:t>（</w:t>
      </w:r>
      <w:r>
        <w:rPr>
          <w:rFonts w:hint="eastAsia"/>
        </w:rPr>
        <w:t>3</w:t>
      </w:r>
      <w:r>
        <w:t>）对合同内分期完成的成品和半成品，在工程接收证书颁发前，由承包人承担保护责任。因承包人原因造成成品或半成品损坏的，由承包人负责修复或更换，并承担由此增加的费用和（或）延误的工期。</w:t>
      </w:r>
    </w:p>
    <w:p w14:paraId="12631977">
      <w:pPr>
        <w:pStyle w:val="25"/>
        <w:ind w:firstLine="482" w:firstLineChars="200"/>
        <w:rPr>
          <w:b/>
        </w:rPr>
      </w:pPr>
      <w:bookmarkStart w:id="899" w:name="_Toc351203525"/>
      <w:bookmarkStart w:id="900" w:name="_Toc256000181"/>
      <w:bookmarkStart w:id="901" w:name="_Toc152264540"/>
      <w:r>
        <w:rPr>
          <w:b/>
        </w:rPr>
        <w:t>3</w:t>
      </w:r>
      <w:bookmarkStart w:id="902" w:name="_Toc296503052"/>
      <w:bookmarkStart w:id="903" w:name="_Toc337558752"/>
      <w:bookmarkStart w:id="904" w:name="_Toc296346553"/>
      <w:r>
        <w:rPr>
          <w:b/>
        </w:rPr>
        <w:t>.7 履约担保</w:t>
      </w:r>
      <w:bookmarkEnd w:id="899"/>
      <w:bookmarkEnd w:id="900"/>
      <w:bookmarkEnd w:id="901"/>
    </w:p>
    <w:bookmarkEnd w:id="902"/>
    <w:bookmarkEnd w:id="903"/>
    <w:bookmarkEnd w:id="904"/>
    <w:p w14:paraId="52B6FD44">
      <w:pPr>
        <w:spacing w:line="400" w:lineRule="exact"/>
        <w:ind w:firstLine="420" w:firstLineChars="200"/>
      </w:pPr>
      <w:r>
        <w:rPr>
          <w:rFonts w:hint="eastAsia"/>
        </w:rPr>
        <w:t>发包人需要承包人提供履约担保的，由合同当事人在专用合同条款中约定履约担保的方式、金额及期限等。</w:t>
      </w:r>
      <w:r>
        <w:t>履约担保可以采用银行保函或担保公司担保等形式，具体由合同当事人在专用合同条款中约定。</w:t>
      </w:r>
    </w:p>
    <w:p w14:paraId="6DB4C8E5">
      <w:pPr>
        <w:spacing w:line="400" w:lineRule="exact"/>
        <w:ind w:firstLine="420" w:firstLineChars="200"/>
      </w:pPr>
      <w:r>
        <w:t>因承包人原因导致工期延长的，继续提供履约担保所增加的费用由承包人承担；非因承包人原因导致工期延长的，继续提供履约担保所增加的费用由发包人承担。</w:t>
      </w:r>
    </w:p>
    <w:p w14:paraId="54CA1FC8">
      <w:pPr>
        <w:pStyle w:val="25"/>
        <w:ind w:firstLine="482" w:firstLineChars="200"/>
        <w:rPr>
          <w:b/>
        </w:rPr>
      </w:pPr>
      <w:bookmarkStart w:id="905" w:name="_Toc256000182"/>
      <w:bookmarkStart w:id="906" w:name="_Toc152264541"/>
      <w:bookmarkStart w:id="907" w:name="_Toc351203526"/>
      <w:r>
        <w:rPr>
          <w:b/>
        </w:rPr>
        <w:t>3.8 联合体</w:t>
      </w:r>
      <w:bookmarkEnd w:id="905"/>
      <w:bookmarkEnd w:id="906"/>
      <w:bookmarkEnd w:id="907"/>
    </w:p>
    <w:p w14:paraId="4CA567DF">
      <w:pPr>
        <w:spacing w:line="400" w:lineRule="exact"/>
        <w:ind w:firstLine="420" w:firstLineChars="200"/>
      </w:pPr>
      <w:r>
        <w:t>3.8.1 联合体各方应共同与发包人签订合同协议书。联合体各方应为履行合同</w:t>
      </w:r>
      <w:r>
        <w:rPr>
          <w:rFonts w:hint="eastAsia"/>
        </w:rPr>
        <w:t>向发包人</w:t>
      </w:r>
      <w:r>
        <w:t>承担连带责任。</w:t>
      </w:r>
    </w:p>
    <w:p w14:paraId="4282CBE1">
      <w:pPr>
        <w:spacing w:line="400" w:lineRule="exact"/>
        <w:ind w:firstLine="420" w:firstLineChars="200"/>
      </w:pPr>
      <w:r>
        <w:t>3.8.2 联合体协议经发包人确认后作为合同附件。在履行合同过程中，未经发包人同意，不得修改联合体协议。</w:t>
      </w:r>
    </w:p>
    <w:p w14:paraId="67F43325">
      <w:pPr>
        <w:spacing w:line="400" w:lineRule="exact"/>
        <w:ind w:firstLine="420" w:firstLineChars="200"/>
      </w:pPr>
      <w:r>
        <w:t>3.8.3 联合体牵头人负责与发包人和监理人联系，并接受指示，负责组织联合体各成员全面履行合同。</w:t>
      </w:r>
    </w:p>
    <w:p w14:paraId="48E79CF3">
      <w:pPr>
        <w:pStyle w:val="23"/>
        <w:ind w:firstLine="640" w:firstLineChars="200"/>
        <w:rPr>
          <w:rFonts w:ascii="黑体" w:hAnsi="宋体" w:cs="黑体"/>
          <w:kern w:val="0"/>
          <w:sz w:val="32"/>
          <w:lang w:bidi="ar"/>
        </w:rPr>
      </w:pPr>
      <w:bookmarkStart w:id="908" w:name="_Toc256000183"/>
      <w:bookmarkStart w:id="909" w:name="_Toc152264542"/>
      <w:bookmarkStart w:id="910" w:name="_Toc351203527"/>
      <w:r>
        <w:rPr>
          <w:rFonts w:hint="eastAsia" w:ascii="黑体" w:hAnsi="宋体" w:cs="黑体"/>
          <w:kern w:val="0"/>
          <w:sz w:val="32"/>
          <w:lang w:bidi="ar"/>
        </w:rPr>
        <w:t>4</w:t>
      </w:r>
      <w:bookmarkStart w:id="911" w:name="_Toc296346554"/>
      <w:bookmarkStart w:id="912" w:name="_Toc296503053"/>
      <w:bookmarkStart w:id="913" w:name="_Toc337558753"/>
      <w:r>
        <w:rPr>
          <w:rFonts w:hint="eastAsia" w:ascii="黑体" w:hAnsi="宋体" w:cs="黑体"/>
          <w:kern w:val="0"/>
          <w:sz w:val="32"/>
          <w:lang w:bidi="ar"/>
        </w:rPr>
        <w:t>.监</w:t>
      </w:r>
      <w:bookmarkEnd w:id="911"/>
      <w:bookmarkEnd w:id="912"/>
      <w:r>
        <w:rPr>
          <w:rFonts w:hint="eastAsia" w:ascii="黑体" w:hAnsi="宋体" w:cs="黑体"/>
          <w:kern w:val="0"/>
          <w:sz w:val="32"/>
          <w:lang w:bidi="ar"/>
        </w:rPr>
        <w:t>理人</w:t>
      </w:r>
      <w:bookmarkEnd w:id="908"/>
      <w:bookmarkEnd w:id="909"/>
      <w:bookmarkEnd w:id="910"/>
    </w:p>
    <w:bookmarkEnd w:id="913"/>
    <w:p w14:paraId="4BF0BB85">
      <w:pPr>
        <w:pStyle w:val="25"/>
        <w:ind w:firstLine="482" w:firstLineChars="200"/>
        <w:rPr>
          <w:b/>
        </w:rPr>
      </w:pPr>
      <w:bookmarkStart w:id="914" w:name="_Toc256000184"/>
      <w:bookmarkStart w:id="915" w:name="_Toc351203528"/>
      <w:bookmarkStart w:id="916" w:name="_Toc152264543"/>
      <w:r>
        <w:rPr>
          <w:b/>
        </w:rPr>
        <w:t>4</w:t>
      </w:r>
      <w:bookmarkStart w:id="917" w:name="_Toc296346555"/>
      <w:bookmarkStart w:id="918" w:name="_Toc337558754"/>
      <w:bookmarkStart w:id="919" w:name="_Toc296503054"/>
      <w:r>
        <w:rPr>
          <w:b/>
        </w:rPr>
        <w:t>.1监理人的一般规定</w:t>
      </w:r>
      <w:bookmarkEnd w:id="914"/>
      <w:bookmarkEnd w:id="915"/>
      <w:bookmarkEnd w:id="916"/>
    </w:p>
    <w:bookmarkEnd w:id="917"/>
    <w:bookmarkEnd w:id="918"/>
    <w:bookmarkEnd w:id="919"/>
    <w:p w14:paraId="0327FBC1">
      <w:pPr>
        <w:spacing w:line="400" w:lineRule="exact"/>
        <w:ind w:firstLine="420" w:firstLineChars="200"/>
      </w:pPr>
      <w: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63A1048">
      <w:pPr>
        <w:spacing w:line="400" w:lineRule="exact"/>
        <w:ind w:firstLine="420" w:firstLineChars="200"/>
      </w:pPr>
      <w:r>
        <w:t>除专用合同条款另有约定外，监理人在施工现场的办公场所、生活场所由承包人提供，所发生的费用由发包人承担。</w:t>
      </w:r>
    </w:p>
    <w:p w14:paraId="2C72187F">
      <w:pPr>
        <w:pStyle w:val="25"/>
        <w:ind w:firstLine="482" w:firstLineChars="200"/>
        <w:rPr>
          <w:b/>
        </w:rPr>
      </w:pPr>
      <w:bookmarkStart w:id="920" w:name="_Toc256000185"/>
      <w:bookmarkStart w:id="921" w:name="_Toc351203529"/>
      <w:bookmarkStart w:id="922" w:name="_Toc152264544"/>
      <w:r>
        <w:rPr>
          <w:b/>
        </w:rPr>
        <w:t>4</w:t>
      </w:r>
      <w:bookmarkStart w:id="923" w:name="_Toc337558755"/>
      <w:r>
        <w:rPr>
          <w:b/>
        </w:rPr>
        <w:t>.2监理人员</w:t>
      </w:r>
      <w:bookmarkEnd w:id="920"/>
      <w:bookmarkEnd w:id="921"/>
      <w:bookmarkEnd w:id="922"/>
    </w:p>
    <w:bookmarkEnd w:id="923"/>
    <w:p w14:paraId="7B70A62C">
      <w:pPr>
        <w:spacing w:line="400" w:lineRule="exact"/>
        <w:ind w:firstLine="420" w:firstLineChars="200"/>
      </w:pPr>
      <w: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44A0672">
      <w:pPr>
        <w:pStyle w:val="25"/>
        <w:ind w:firstLine="482" w:firstLineChars="200"/>
        <w:rPr>
          <w:b/>
        </w:rPr>
      </w:pPr>
      <w:bookmarkStart w:id="924" w:name="_Toc256000186"/>
      <w:bookmarkStart w:id="925" w:name="_Toc351203530"/>
      <w:bookmarkStart w:id="926" w:name="_Toc152264545"/>
      <w:r>
        <w:rPr>
          <w:b/>
        </w:rPr>
        <w:t>4</w:t>
      </w:r>
      <w:bookmarkStart w:id="927" w:name="_Toc296346556"/>
      <w:bookmarkStart w:id="928" w:name="_Toc296503055"/>
      <w:bookmarkStart w:id="929" w:name="_Toc337558756"/>
      <w:r>
        <w:rPr>
          <w:b/>
        </w:rPr>
        <w:t>.3</w:t>
      </w:r>
      <w:bookmarkEnd w:id="927"/>
      <w:bookmarkEnd w:id="928"/>
      <w:r>
        <w:rPr>
          <w:b/>
        </w:rPr>
        <w:t>监理人的指</w:t>
      </w:r>
      <w:bookmarkEnd w:id="929"/>
      <w:r>
        <w:rPr>
          <w:b/>
        </w:rPr>
        <w:t>示</w:t>
      </w:r>
      <w:bookmarkEnd w:id="924"/>
      <w:bookmarkEnd w:id="925"/>
      <w:bookmarkEnd w:id="926"/>
    </w:p>
    <w:p w14:paraId="12721478">
      <w:pPr>
        <w:spacing w:line="400" w:lineRule="exact"/>
        <w:ind w:firstLine="420" w:firstLineChars="200"/>
      </w:pPr>
      <w: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21BCE2D">
      <w:pPr>
        <w:spacing w:line="400" w:lineRule="exact"/>
        <w:ind w:firstLine="420" w:firstLineChars="200"/>
      </w:pPr>
      <w: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rPr>
        <w:t>相应</w:t>
      </w:r>
      <w:r>
        <w:t>责任。除专用合同条款另有约定外，总监理工程师不应将第4.4款</w:t>
      </w:r>
      <w:r>
        <w:rPr>
          <w:rFonts w:hint="eastAsia"/>
        </w:rPr>
        <w:t>〔</w:t>
      </w:r>
      <w:r>
        <w:t>商定或确定</w:t>
      </w:r>
      <w:r>
        <w:rPr>
          <w:rFonts w:hint="eastAsia"/>
        </w:rPr>
        <w:t>〕</w:t>
      </w:r>
      <w:r>
        <w:t>约定应由总监理工程师作出确定的权力授权或委托给其他监理人员。</w:t>
      </w:r>
    </w:p>
    <w:p w14:paraId="1FDD7211">
      <w:pPr>
        <w:spacing w:line="400" w:lineRule="exact"/>
        <w:ind w:firstLine="420" w:firstLineChars="200"/>
      </w:pPr>
      <w:r>
        <w:t>承包人对监理人发出的指示有疑问的，应向监理人提出书面异议，监理人应在48小时内对该指示予以确认、更改或撤销，监理人逾期未回复的，承包人有权拒绝执行上述指示。</w:t>
      </w:r>
    </w:p>
    <w:p w14:paraId="43CD06BB">
      <w:pPr>
        <w:spacing w:line="400" w:lineRule="exact"/>
        <w:ind w:firstLine="420" w:firstLineChars="200"/>
      </w:pPr>
      <w:r>
        <w:t>监理人对承包人的任何工作、工程或其采用的材料和工程设备未在约定的或合理期限内提出意见的，视为批准，但不免除或减轻承包人对该工作、工程、材料、工程设备等应承担的责任和义务。</w:t>
      </w:r>
    </w:p>
    <w:p w14:paraId="18975DC4">
      <w:pPr>
        <w:pStyle w:val="25"/>
        <w:ind w:firstLine="482" w:firstLineChars="200"/>
        <w:rPr>
          <w:b/>
        </w:rPr>
      </w:pPr>
      <w:bookmarkStart w:id="930" w:name="_Toc351203531"/>
      <w:bookmarkStart w:id="931" w:name="_Toc256000187"/>
      <w:bookmarkStart w:id="932" w:name="_Toc152264546"/>
      <w:r>
        <w:rPr>
          <w:b/>
        </w:rPr>
        <w:t>4</w:t>
      </w:r>
      <w:bookmarkStart w:id="933" w:name="_Toc337558757"/>
      <w:bookmarkStart w:id="934" w:name="_Toc296503057"/>
      <w:bookmarkStart w:id="935" w:name="_Toc296346558"/>
      <w:r>
        <w:rPr>
          <w:b/>
        </w:rPr>
        <w:t>.4 商定或确定</w:t>
      </w:r>
      <w:bookmarkEnd w:id="930"/>
      <w:bookmarkEnd w:id="931"/>
      <w:bookmarkEnd w:id="932"/>
    </w:p>
    <w:bookmarkEnd w:id="933"/>
    <w:bookmarkEnd w:id="934"/>
    <w:bookmarkEnd w:id="935"/>
    <w:p w14:paraId="45EC4ED4">
      <w:pPr>
        <w:spacing w:line="400" w:lineRule="exact"/>
        <w:ind w:firstLine="420" w:firstLineChars="200"/>
      </w:pPr>
      <w:r>
        <w:t>合同</w:t>
      </w:r>
      <w:r>
        <w:rPr>
          <w:rFonts w:hint="eastAsia"/>
        </w:rPr>
        <w:t>当事人</w:t>
      </w:r>
      <w:r>
        <w:t>进行</w:t>
      </w:r>
      <w:r>
        <w:rPr>
          <w:rFonts w:hint="eastAsia"/>
        </w:rPr>
        <w:t>商定</w:t>
      </w:r>
      <w:r>
        <w:t>或确定时，总监理工程师应当会同合同当事人尽量通过协商达成一致，不能达成一致的，由总监理工程师按照合同约定审慎做出公正的确定。</w:t>
      </w:r>
    </w:p>
    <w:p w14:paraId="060BB831">
      <w:pPr>
        <w:spacing w:line="400" w:lineRule="exact"/>
        <w:ind w:firstLine="420" w:firstLineChars="200"/>
      </w:pPr>
      <w: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rPr>
        <w:t>〔</w:t>
      </w:r>
      <w:r>
        <w:t>争议解决</w:t>
      </w:r>
      <w:r>
        <w:rPr>
          <w:rFonts w:hint="eastAsia"/>
        </w:rPr>
        <w:t>〕</w:t>
      </w:r>
      <w:r>
        <w:t>约定处理。争议解决前，合同当事人暂按总监理工程师的确定执行；争议解决后，争议解决的结果与总监理工程师的确定不一致的，按照争议解决的结果执行，由此造成的损失由责任人承担。</w:t>
      </w:r>
    </w:p>
    <w:p w14:paraId="13A41BD0">
      <w:pPr>
        <w:pStyle w:val="23"/>
        <w:ind w:firstLine="640" w:firstLineChars="200"/>
        <w:rPr>
          <w:rFonts w:ascii="黑体" w:hAnsi="宋体" w:cs="黑体"/>
          <w:kern w:val="0"/>
          <w:sz w:val="32"/>
          <w:lang w:bidi="ar"/>
        </w:rPr>
      </w:pPr>
      <w:bookmarkStart w:id="936" w:name="_Toc152264547"/>
      <w:bookmarkStart w:id="937" w:name="_Toc256000188"/>
      <w:bookmarkStart w:id="938" w:name="_Toc351203532"/>
      <w:r>
        <w:rPr>
          <w:rFonts w:hint="eastAsia" w:ascii="黑体" w:hAnsi="宋体" w:cs="黑体"/>
          <w:kern w:val="0"/>
          <w:sz w:val="32"/>
          <w:lang w:bidi="ar"/>
        </w:rPr>
        <w:t>5</w:t>
      </w:r>
      <w:bookmarkStart w:id="939" w:name="_Toc337558758"/>
      <w:r>
        <w:rPr>
          <w:rFonts w:hint="eastAsia" w:ascii="黑体" w:hAnsi="宋体" w:cs="黑体"/>
          <w:kern w:val="0"/>
          <w:sz w:val="32"/>
          <w:lang w:bidi="ar"/>
        </w:rPr>
        <w:t>.工程质量</w:t>
      </w:r>
      <w:bookmarkEnd w:id="936"/>
      <w:bookmarkEnd w:id="937"/>
      <w:bookmarkEnd w:id="938"/>
    </w:p>
    <w:bookmarkEnd w:id="939"/>
    <w:p w14:paraId="1059D752">
      <w:pPr>
        <w:pStyle w:val="25"/>
        <w:ind w:firstLine="482" w:firstLineChars="200"/>
        <w:rPr>
          <w:b/>
        </w:rPr>
      </w:pPr>
      <w:bookmarkStart w:id="940" w:name="_Toc256000189"/>
      <w:bookmarkStart w:id="941" w:name="_Toc351203533"/>
      <w:bookmarkStart w:id="942" w:name="_Toc152264548"/>
      <w:r>
        <w:rPr>
          <w:b/>
        </w:rPr>
        <w:t>5</w:t>
      </w:r>
      <w:bookmarkStart w:id="943" w:name="_Toc337558759"/>
      <w:r>
        <w:rPr>
          <w:b/>
        </w:rPr>
        <w:t>.1质量要求</w:t>
      </w:r>
      <w:bookmarkEnd w:id="940"/>
      <w:bookmarkEnd w:id="941"/>
      <w:bookmarkEnd w:id="942"/>
    </w:p>
    <w:bookmarkEnd w:id="943"/>
    <w:p w14:paraId="67CCBB7A">
      <w:pPr>
        <w:spacing w:line="400" w:lineRule="exact"/>
        <w:ind w:firstLine="420" w:firstLineChars="200"/>
      </w:pPr>
      <w:r>
        <w:t>5.1.1 工程质量标准必须符合现行国家有关工程施工质量验收规范和标准的要求。有关工程质量的特殊标准或要求由合同当事人在专用合同条款中约定。</w:t>
      </w:r>
    </w:p>
    <w:p w14:paraId="686F8D4F">
      <w:pPr>
        <w:spacing w:line="400" w:lineRule="exact"/>
        <w:ind w:firstLine="420" w:firstLineChars="200"/>
      </w:pPr>
      <w:r>
        <w:t>5.1.2 因发包人原因造成工程质量未达到合同约定标准的，由发包人承担由此增加的费用和（或）延误的工期，并支付承包人合理的利润。</w:t>
      </w:r>
    </w:p>
    <w:p w14:paraId="25B76761">
      <w:pPr>
        <w:spacing w:line="400" w:lineRule="exact"/>
        <w:ind w:firstLine="420" w:firstLineChars="200"/>
      </w:pPr>
      <w:r>
        <w:t>5.1.3 因承包人原因造成工程质量未达到合同约定标准的，发包人有权要求承包人返工直至工程质量达到合同约定的标准为止，并由承包人承担由此增加的费用和（或）延误的工期。</w:t>
      </w:r>
    </w:p>
    <w:p w14:paraId="5FCA0A26">
      <w:pPr>
        <w:pStyle w:val="25"/>
        <w:ind w:firstLine="482" w:firstLineChars="200"/>
        <w:rPr>
          <w:b/>
        </w:rPr>
      </w:pPr>
      <w:bookmarkStart w:id="944" w:name="_Toc351203534"/>
      <w:bookmarkStart w:id="945" w:name="_Toc152264549"/>
      <w:bookmarkStart w:id="946" w:name="_Toc256000190"/>
      <w:r>
        <w:rPr>
          <w:b/>
        </w:rPr>
        <w:t>5</w:t>
      </w:r>
      <w:bookmarkStart w:id="947" w:name="_Toc337558760"/>
      <w:r>
        <w:rPr>
          <w:b/>
        </w:rPr>
        <w:t>.2质量保证措施</w:t>
      </w:r>
      <w:bookmarkEnd w:id="944"/>
      <w:bookmarkEnd w:id="945"/>
      <w:bookmarkEnd w:id="946"/>
    </w:p>
    <w:bookmarkEnd w:id="947"/>
    <w:p w14:paraId="1BCBA0D1">
      <w:pPr>
        <w:spacing w:line="400" w:lineRule="exact"/>
        <w:ind w:firstLine="420" w:firstLineChars="200"/>
      </w:pPr>
      <w:r>
        <w:t>5.2.1 发包人的质量管理</w:t>
      </w:r>
    </w:p>
    <w:p w14:paraId="1E92BCBB">
      <w:pPr>
        <w:spacing w:line="400" w:lineRule="exact"/>
        <w:ind w:firstLine="420" w:firstLineChars="200"/>
      </w:pPr>
      <w:r>
        <w:t>发包人应按照法律规定及合同约定完成与工程质量有关的各项工作。</w:t>
      </w:r>
    </w:p>
    <w:p w14:paraId="154F6F73">
      <w:pPr>
        <w:spacing w:line="400" w:lineRule="exact"/>
        <w:ind w:firstLine="420" w:firstLineChars="200"/>
      </w:pPr>
      <w:r>
        <w:t>5.2.2 承包人的质量管理</w:t>
      </w:r>
    </w:p>
    <w:p w14:paraId="0F58F8FA">
      <w:pPr>
        <w:spacing w:line="400" w:lineRule="exact"/>
        <w:ind w:firstLine="420" w:firstLineChars="200"/>
      </w:pPr>
      <w:r>
        <w:t>承包人按照第7.1款</w:t>
      </w:r>
      <w:r>
        <w:rPr>
          <w:rFonts w:hint="eastAsia"/>
        </w:rPr>
        <w:t>〔</w:t>
      </w:r>
      <w:r>
        <w:t>施工组织设计</w:t>
      </w:r>
      <w:r>
        <w:rPr>
          <w:rFonts w:hint="eastAsia"/>
        </w:rPr>
        <w:t>〕</w:t>
      </w:r>
      <w:r>
        <w:t>约定向发包人和监理人提交工程质量保证体系及措施文件，建立完善的质量检查制度，并提交相应的工程质量文件。对于发包人和监理人违反法律规定和合同约定的错误指示，承包人有权拒绝实施。</w:t>
      </w:r>
    </w:p>
    <w:p w14:paraId="14D60C3D">
      <w:pPr>
        <w:spacing w:line="400" w:lineRule="exact"/>
        <w:ind w:firstLine="420" w:firstLineChars="200"/>
      </w:pPr>
      <w:r>
        <w:t>承包人应对施工人员进行质量教育和技术培训，定期考核施工人员的劳动技能，严格执行施工规范和操作规程。</w:t>
      </w:r>
    </w:p>
    <w:p w14:paraId="4A840C57">
      <w:pPr>
        <w:spacing w:line="400" w:lineRule="exact"/>
        <w:ind w:firstLine="420" w:firstLineChars="200"/>
      </w:pPr>
      <w: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37AEE53">
      <w:pPr>
        <w:spacing w:line="400" w:lineRule="exact"/>
        <w:ind w:firstLine="420" w:firstLineChars="200"/>
      </w:pPr>
      <w:r>
        <w:t>5.2.3 监理人的质量检查和检验</w:t>
      </w:r>
    </w:p>
    <w:p w14:paraId="63EA5F7A">
      <w:pPr>
        <w:spacing w:line="400" w:lineRule="exact"/>
        <w:ind w:firstLine="420" w:firstLineChars="200"/>
      </w:pPr>
      <w: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CAC1BC7">
      <w:pPr>
        <w:spacing w:line="400" w:lineRule="exact"/>
        <w:ind w:firstLine="420" w:firstLineChars="200"/>
      </w:pPr>
      <w: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1133F84">
      <w:pPr>
        <w:pStyle w:val="25"/>
        <w:ind w:firstLine="482" w:firstLineChars="200"/>
        <w:rPr>
          <w:b/>
        </w:rPr>
      </w:pPr>
      <w:bookmarkStart w:id="948" w:name="_Toc351203535"/>
      <w:bookmarkStart w:id="949" w:name="_Toc152264550"/>
      <w:bookmarkStart w:id="950" w:name="_Toc256000191"/>
      <w:r>
        <w:rPr>
          <w:b/>
        </w:rPr>
        <w:t>5</w:t>
      </w:r>
      <w:bookmarkStart w:id="951" w:name="_Toc337558761"/>
      <w:r>
        <w:rPr>
          <w:b/>
        </w:rPr>
        <w:t>.3 隐蔽工程检查</w:t>
      </w:r>
      <w:bookmarkEnd w:id="948"/>
      <w:bookmarkEnd w:id="949"/>
      <w:bookmarkEnd w:id="950"/>
    </w:p>
    <w:bookmarkEnd w:id="951"/>
    <w:p w14:paraId="69D89E1E">
      <w:pPr>
        <w:spacing w:line="400" w:lineRule="exact"/>
        <w:ind w:firstLine="420" w:firstLineChars="200"/>
      </w:pPr>
      <w:r>
        <w:t>5.3.1承包人自检</w:t>
      </w:r>
    </w:p>
    <w:p w14:paraId="0FBFEE9B">
      <w:pPr>
        <w:spacing w:line="400" w:lineRule="exact"/>
        <w:ind w:firstLine="420" w:firstLineChars="200"/>
      </w:pPr>
      <w:r>
        <w:t>承包人应当对工程隐蔽部位进行自检，并经自检确认是否具备覆盖条件。</w:t>
      </w:r>
    </w:p>
    <w:p w14:paraId="22A911B0">
      <w:pPr>
        <w:spacing w:line="400" w:lineRule="exact"/>
        <w:ind w:firstLine="420" w:firstLineChars="200"/>
      </w:pPr>
      <w:r>
        <w:t>5.3.2检查程序</w:t>
      </w:r>
    </w:p>
    <w:p w14:paraId="61D63C75">
      <w:pPr>
        <w:spacing w:line="400" w:lineRule="exact"/>
        <w:ind w:firstLine="420" w:firstLineChars="200"/>
      </w:pPr>
      <w:r>
        <w:t>除专用合同条款另有约定外，工程隐蔽部位经承包人自检确认具备覆盖条件的，承包人应在</w:t>
      </w:r>
      <w:r>
        <w:rPr>
          <w:rFonts w:hint="eastAsia"/>
        </w:rPr>
        <w:t>共同</w:t>
      </w:r>
      <w:r>
        <w:t>检查前48小时书面通知监理人检查，通知中应载明隐蔽检查的内容、时间和地点，并应附有自检记录和必要的检查资料。</w:t>
      </w:r>
    </w:p>
    <w:p w14:paraId="3EBD7014">
      <w:pPr>
        <w:spacing w:line="400" w:lineRule="exact"/>
        <w:ind w:firstLine="420" w:firstLineChars="200"/>
      </w:pPr>
      <w: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7AE3D22">
      <w:pPr>
        <w:spacing w:line="400" w:lineRule="exact"/>
        <w:ind w:firstLine="420" w:firstLineChars="200"/>
      </w:pPr>
      <w: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rPr>
        <w:t>〔</w:t>
      </w:r>
      <w:r>
        <w:t>重新检查</w:t>
      </w:r>
      <w:r>
        <w:rPr>
          <w:rFonts w:hint="eastAsia"/>
        </w:rPr>
        <w:t>〕</w:t>
      </w:r>
      <w:r>
        <w:t>的约定重新检查。</w:t>
      </w:r>
    </w:p>
    <w:p w14:paraId="3E0F4B17">
      <w:pPr>
        <w:spacing w:line="400" w:lineRule="exact"/>
        <w:ind w:firstLine="420" w:firstLineChars="200"/>
      </w:pPr>
      <w:r>
        <w:t>5.3.3 重新检查</w:t>
      </w:r>
    </w:p>
    <w:p w14:paraId="3110F1A7">
      <w:pPr>
        <w:spacing w:line="400" w:lineRule="exact"/>
        <w:ind w:firstLine="420" w:firstLineChars="200"/>
      </w:pPr>
      <w: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21F9F94">
      <w:pPr>
        <w:spacing w:line="400" w:lineRule="exact"/>
        <w:ind w:firstLine="420" w:firstLineChars="200"/>
      </w:pPr>
      <w:r>
        <w:t>5.3.4 承包人私自覆盖</w:t>
      </w:r>
    </w:p>
    <w:p w14:paraId="0FFF3FB7">
      <w:pPr>
        <w:spacing w:line="400" w:lineRule="exact"/>
        <w:ind w:firstLine="420" w:firstLineChars="200"/>
      </w:pPr>
      <w:r>
        <w:t>承包人未通知监理人到场检查，私自将工程隐蔽部位覆盖的，监理人有权指示承包人钻孔探测或揭开检查，无论工程隐蔽部位质量是否合格，由此增加的费用和（或）延误的工期均由承包人承担。</w:t>
      </w:r>
    </w:p>
    <w:p w14:paraId="72D87971">
      <w:pPr>
        <w:pStyle w:val="25"/>
        <w:ind w:firstLine="482" w:firstLineChars="200"/>
        <w:rPr>
          <w:b/>
        </w:rPr>
      </w:pPr>
      <w:bookmarkStart w:id="952" w:name="_Toc152264551"/>
      <w:bookmarkStart w:id="953" w:name="_Toc256000192"/>
      <w:bookmarkStart w:id="954" w:name="_Toc351203536"/>
      <w:r>
        <w:rPr>
          <w:b/>
        </w:rPr>
        <w:t>5</w:t>
      </w:r>
      <w:bookmarkStart w:id="955" w:name="_Toc337558762"/>
      <w:r>
        <w:rPr>
          <w:b/>
        </w:rPr>
        <w:t>.4不合格工程的处理</w:t>
      </w:r>
      <w:bookmarkEnd w:id="952"/>
      <w:bookmarkEnd w:id="953"/>
      <w:bookmarkEnd w:id="954"/>
    </w:p>
    <w:bookmarkEnd w:id="955"/>
    <w:p w14:paraId="18B9D2C7">
      <w:pPr>
        <w:spacing w:line="400" w:lineRule="exact"/>
        <w:ind w:firstLine="420" w:firstLineChars="200"/>
      </w:pPr>
      <w:r>
        <w:t>5.4.1 因承包人原因造成工程不合格的，发包人有权随时要求承包人采取补救措施，直至达到合同要求的质量标准，由此增加的费用和（或）延误的工期由承包人承担。无法补救的，按照第13.2.4项</w:t>
      </w:r>
      <w:r>
        <w:rPr>
          <w:rFonts w:hint="eastAsia"/>
        </w:rPr>
        <w:t>〔</w:t>
      </w:r>
      <w:r>
        <w:t>拒绝接收全部或部分工程</w:t>
      </w:r>
      <w:r>
        <w:rPr>
          <w:rFonts w:hint="eastAsia"/>
        </w:rPr>
        <w:t>〕</w:t>
      </w:r>
      <w:r>
        <w:t xml:space="preserve">约定执行。 </w:t>
      </w:r>
    </w:p>
    <w:p w14:paraId="236329D2">
      <w:pPr>
        <w:spacing w:line="400" w:lineRule="exact"/>
        <w:ind w:firstLine="420" w:firstLineChars="200"/>
      </w:pPr>
      <w:r>
        <w:t>5.4.2 因发包人原因造成工程不合格的，由此增加的费用和（或）延误的工期由发包人承担，并支付承包人合理的利润。</w:t>
      </w:r>
    </w:p>
    <w:p w14:paraId="1B055528">
      <w:pPr>
        <w:pStyle w:val="25"/>
        <w:ind w:firstLine="482" w:firstLineChars="200"/>
        <w:rPr>
          <w:b/>
        </w:rPr>
      </w:pPr>
      <w:bookmarkStart w:id="956" w:name="_Toc351203537"/>
      <w:bookmarkStart w:id="957" w:name="_Toc256000193"/>
      <w:bookmarkStart w:id="958" w:name="_Toc152264552"/>
      <w:r>
        <w:rPr>
          <w:b/>
        </w:rPr>
        <w:t>5.5 质量争议检测</w:t>
      </w:r>
      <w:bookmarkEnd w:id="956"/>
      <w:bookmarkEnd w:id="957"/>
      <w:bookmarkEnd w:id="958"/>
    </w:p>
    <w:p w14:paraId="45978F12">
      <w:pPr>
        <w:spacing w:line="400" w:lineRule="exact"/>
        <w:ind w:firstLine="420" w:firstLineChars="200"/>
      </w:pPr>
      <w:r>
        <w:t>合同当事人对工程质量有争议的，由双方协商确定的工程质量检测机构鉴定，由此产生的费用及因此造成的损失，由责任方承担。</w:t>
      </w:r>
    </w:p>
    <w:p w14:paraId="7DFD6300">
      <w:pPr>
        <w:spacing w:line="400" w:lineRule="exact"/>
        <w:ind w:firstLine="420" w:firstLineChars="200"/>
      </w:pPr>
      <w:r>
        <w:t>合同当事人均有责任的，由双方根据其责任分别承担。合同当事人无法达成一致的，按照第4.4款</w:t>
      </w:r>
      <w:r>
        <w:rPr>
          <w:rFonts w:hint="eastAsia"/>
        </w:rPr>
        <w:t>〔</w:t>
      </w:r>
      <w:r>
        <w:t>商定或确定</w:t>
      </w:r>
      <w:r>
        <w:rPr>
          <w:rFonts w:hint="eastAsia"/>
        </w:rPr>
        <w:t>〕</w:t>
      </w:r>
      <w:r>
        <w:t>执行。</w:t>
      </w:r>
    </w:p>
    <w:p w14:paraId="5E731006">
      <w:pPr>
        <w:pStyle w:val="23"/>
        <w:ind w:firstLine="640" w:firstLineChars="200"/>
        <w:rPr>
          <w:rFonts w:ascii="黑体" w:hAnsi="宋体" w:cs="黑体"/>
          <w:kern w:val="0"/>
          <w:sz w:val="32"/>
          <w:lang w:bidi="ar"/>
        </w:rPr>
      </w:pPr>
      <w:bookmarkStart w:id="959" w:name="_Toc152264553"/>
      <w:bookmarkStart w:id="960" w:name="_Toc256000194"/>
      <w:bookmarkStart w:id="961" w:name="_Toc351203538"/>
      <w:r>
        <w:rPr>
          <w:rFonts w:hint="eastAsia" w:ascii="黑体" w:hAnsi="宋体" w:cs="黑体"/>
          <w:kern w:val="0"/>
          <w:sz w:val="32"/>
          <w:lang w:bidi="ar"/>
        </w:rPr>
        <w:t>6</w:t>
      </w:r>
      <w:bookmarkStart w:id="962" w:name="_Toc337558763"/>
      <w:r>
        <w:rPr>
          <w:rFonts w:hint="eastAsia" w:ascii="黑体" w:hAnsi="宋体" w:cs="黑体"/>
          <w:kern w:val="0"/>
          <w:sz w:val="32"/>
          <w:lang w:bidi="ar"/>
        </w:rPr>
        <w:t>.安全文明施工与环境保护</w:t>
      </w:r>
      <w:bookmarkEnd w:id="959"/>
      <w:bookmarkEnd w:id="960"/>
      <w:bookmarkEnd w:id="961"/>
    </w:p>
    <w:bookmarkEnd w:id="962"/>
    <w:p w14:paraId="0FD8C1D1">
      <w:pPr>
        <w:pStyle w:val="25"/>
        <w:ind w:firstLine="482" w:firstLineChars="200"/>
        <w:rPr>
          <w:b/>
        </w:rPr>
      </w:pPr>
      <w:bookmarkStart w:id="963" w:name="_Toc256000195"/>
      <w:bookmarkStart w:id="964" w:name="_Toc351203539"/>
      <w:bookmarkStart w:id="965" w:name="_Toc152264554"/>
      <w:r>
        <w:rPr>
          <w:b/>
        </w:rPr>
        <w:t>6</w:t>
      </w:r>
      <w:bookmarkStart w:id="966" w:name="_Toc337558764"/>
      <w:r>
        <w:rPr>
          <w:b/>
        </w:rPr>
        <w:t>.1安全文明施工</w:t>
      </w:r>
      <w:bookmarkEnd w:id="963"/>
      <w:bookmarkEnd w:id="964"/>
      <w:bookmarkEnd w:id="965"/>
    </w:p>
    <w:bookmarkEnd w:id="966"/>
    <w:p w14:paraId="02CAAD55">
      <w:pPr>
        <w:spacing w:line="400" w:lineRule="exact"/>
        <w:ind w:firstLine="420" w:firstLineChars="200"/>
      </w:pPr>
      <w:r>
        <w:t>6.1.1安全生产要求</w:t>
      </w:r>
    </w:p>
    <w:p w14:paraId="502574C1">
      <w:pPr>
        <w:spacing w:line="400" w:lineRule="exact"/>
        <w:ind w:firstLine="420" w:firstLineChars="200"/>
      </w:pPr>
      <w: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468CC56">
      <w:pPr>
        <w:spacing w:line="400" w:lineRule="exact"/>
        <w:ind w:firstLine="420" w:firstLineChars="200"/>
      </w:pPr>
      <w:r>
        <w:t>在施工过程中，如遇到突发的地质变动、事先未知的地下施工障碍等影响施工安全的紧急情况，</w:t>
      </w:r>
      <w:r>
        <w:rPr>
          <w:rFonts w:hint="eastAsia"/>
        </w:rPr>
        <w:t>承包人应及时报告监理人和发包人，</w:t>
      </w:r>
      <w:r>
        <w:t>发包人应当及时下令停工并报政府有关行政管理部门采取应急措施。</w:t>
      </w:r>
    </w:p>
    <w:p w14:paraId="5A8B0523">
      <w:pPr>
        <w:spacing w:line="400" w:lineRule="exact"/>
        <w:ind w:firstLine="420" w:firstLineChars="200"/>
      </w:pPr>
      <w:r>
        <w:t>因安全生产需要暂停施工的，按照第7.8款</w:t>
      </w:r>
      <w:r>
        <w:rPr>
          <w:rFonts w:hint="eastAsia"/>
        </w:rPr>
        <w:t>〔</w:t>
      </w:r>
      <w:r>
        <w:t>暂停施工</w:t>
      </w:r>
      <w:r>
        <w:rPr>
          <w:rFonts w:hint="eastAsia"/>
        </w:rPr>
        <w:t>〕</w:t>
      </w:r>
      <w:r>
        <w:t>的约定执行。</w:t>
      </w:r>
    </w:p>
    <w:p w14:paraId="115747C7">
      <w:pPr>
        <w:spacing w:line="400" w:lineRule="exact"/>
        <w:ind w:firstLine="420" w:firstLineChars="200"/>
      </w:pPr>
      <w:r>
        <w:t>6.1.2 安全生产保证措施</w:t>
      </w:r>
    </w:p>
    <w:p w14:paraId="7856E527">
      <w:pPr>
        <w:spacing w:line="400" w:lineRule="exact"/>
        <w:ind w:firstLine="420" w:firstLineChars="200"/>
      </w:pPr>
      <w:r>
        <w:t>承包人应当按照有关规定编制安全技术措施或者专项施工方案，建立安全生产责任制度、治安保卫制度及安全生产教育培训制度，并按安全生产法律规定及合同约定履行安全职责，</w:t>
      </w:r>
      <w:r>
        <w:rPr>
          <w:rFonts w:hint="eastAsia"/>
        </w:rPr>
        <w:t>如实</w:t>
      </w:r>
      <w:r>
        <w:t>编制工程安全生产的有关记录，接受发包人、监理人及政府安全监督部门的检查与监督。</w:t>
      </w:r>
    </w:p>
    <w:p w14:paraId="2DBB8E40">
      <w:pPr>
        <w:spacing w:line="400" w:lineRule="exact"/>
        <w:ind w:firstLine="420" w:firstLineChars="200"/>
      </w:pPr>
      <w:r>
        <w:t>6.1.3特别安全生产事项</w:t>
      </w:r>
    </w:p>
    <w:p w14:paraId="634F8076">
      <w:pPr>
        <w:spacing w:line="400" w:lineRule="exact"/>
        <w:ind w:firstLine="420" w:firstLineChars="200"/>
      </w:pPr>
      <w: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0061570">
      <w:pPr>
        <w:spacing w:line="400" w:lineRule="exact"/>
        <w:ind w:firstLine="420" w:firstLineChars="200"/>
      </w:pPr>
      <w:r>
        <w:t xml:space="preserve">承包人在动力设备、输电线路、地下管道、密封防震车间、易燃易爆地段以及临街交通要道附近施工时，施工开始前应向发包人和监理人提出安全防护措施，经发包人认可后实施。 </w:t>
      </w:r>
    </w:p>
    <w:p w14:paraId="276BDC9A">
      <w:pPr>
        <w:spacing w:line="400" w:lineRule="exact"/>
        <w:ind w:firstLine="420" w:firstLineChars="200"/>
      </w:pPr>
      <w:r>
        <w:t>实施爆破作业，在放射、毒害性环境中施工（含储存、运输、使用）及使用毒害性、腐蚀性物品施工时，承包人应在施工前7天以书面通知发包人和监理人，并报送相应的安全防护措施，经发包人认可后实施。</w:t>
      </w:r>
    </w:p>
    <w:p w14:paraId="18445DA8">
      <w:pPr>
        <w:spacing w:line="400" w:lineRule="exact"/>
        <w:ind w:firstLine="420" w:firstLineChars="200"/>
      </w:pPr>
      <w:r>
        <w:t>需单独编制危险性较大分部分项专项工程施工方案的，及要求进行专家论证的超过一定规模的危险性较大的分部分项工程，承包人应及时编制和组织论证。</w:t>
      </w:r>
    </w:p>
    <w:p w14:paraId="29BCEA05">
      <w:pPr>
        <w:spacing w:line="400" w:lineRule="exact"/>
        <w:ind w:firstLine="420" w:firstLineChars="200"/>
      </w:pPr>
      <w:r>
        <w:t>6.1.4 治安保卫</w:t>
      </w:r>
    </w:p>
    <w:p w14:paraId="79DE2689">
      <w:pPr>
        <w:spacing w:line="400" w:lineRule="exact"/>
        <w:ind w:firstLine="420" w:firstLineChars="200"/>
      </w:pPr>
      <w:r>
        <w:t>除专用合同条款另有约定外，发包人应与当地公安部门协商，在现场建立治安管理机构或联防组织，统一管理施工场地的治安保卫事项，履行合同工程的治安保卫职责。</w:t>
      </w:r>
    </w:p>
    <w:p w14:paraId="1565EEF4">
      <w:pPr>
        <w:spacing w:line="400" w:lineRule="exact"/>
        <w:ind w:firstLine="420" w:firstLineChars="200"/>
      </w:pPr>
      <w:r>
        <w:t>发包人和承包人除应协助现场治安管理机构或联防组织维护施工场地的社会治安外，还应做好包括生活区在内的各自管辖区的治安保卫工作。</w:t>
      </w:r>
    </w:p>
    <w:p w14:paraId="603786AE">
      <w:pPr>
        <w:spacing w:line="400" w:lineRule="exact"/>
        <w:ind w:firstLine="420" w:firstLineChars="200"/>
      </w:pPr>
      <w: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rPr>
        <w:t>和</w:t>
      </w:r>
      <w:r>
        <w:t>财产损失。</w:t>
      </w:r>
    </w:p>
    <w:p w14:paraId="67A599DC">
      <w:pPr>
        <w:spacing w:line="400" w:lineRule="exact"/>
        <w:ind w:firstLine="420" w:firstLineChars="200"/>
      </w:pPr>
      <w:r>
        <w:t>6.1.5 文明施工</w:t>
      </w:r>
    </w:p>
    <w:p w14:paraId="6EC798DF">
      <w:pPr>
        <w:spacing w:line="400" w:lineRule="exact"/>
        <w:ind w:firstLine="420" w:firstLineChars="200"/>
      </w:pPr>
      <w:r>
        <w:t>承包人在工程施工期间，应当采取措施保持施工现场平整，物料堆放整齐。工程所在地有关政府行政管理部门有特殊要求的，按照其要求执行。</w:t>
      </w:r>
      <w:r>
        <w:rPr>
          <w:rFonts w:hint="eastAsia"/>
        </w:rPr>
        <w:t>合同当事人对文明施工有其他要求的，可以在专用合同条款中明确。</w:t>
      </w:r>
    </w:p>
    <w:p w14:paraId="0D8F0EBA">
      <w:pPr>
        <w:spacing w:line="400" w:lineRule="exact"/>
        <w:ind w:firstLine="420" w:firstLineChars="200"/>
      </w:pPr>
      <w: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00B9546">
      <w:pPr>
        <w:spacing w:line="400" w:lineRule="exact"/>
        <w:ind w:firstLine="420" w:firstLineChars="200"/>
      </w:pPr>
      <w:r>
        <w:t>6.1.6 安全文明施工费</w:t>
      </w:r>
    </w:p>
    <w:p w14:paraId="290DC121">
      <w:pPr>
        <w:spacing w:line="400" w:lineRule="exact"/>
        <w:ind w:firstLine="420" w:firstLineChars="200"/>
      </w:pPr>
      <w:r>
        <w:t>安全文明施工费由发包人承担，发包人不得以任何形式扣减该部分费用。因基准日期后合同所适用的法律或政府有关规定发生变化，增加的安全文明施工费由发包人承担。</w:t>
      </w:r>
    </w:p>
    <w:p w14:paraId="3E4CC21B">
      <w:pPr>
        <w:spacing w:line="400" w:lineRule="exact"/>
        <w:ind w:firstLine="420" w:firstLineChars="200"/>
      </w:pPr>
      <w: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ED985D">
      <w:pPr>
        <w:spacing w:line="400" w:lineRule="exact"/>
        <w:ind w:firstLine="420" w:firstLineChars="200"/>
      </w:pPr>
      <w: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rPr>
        <w:t>〔</w:t>
      </w:r>
      <w:r>
        <w:t>发包人违约的情形</w:t>
      </w:r>
      <w:r>
        <w:rPr>
          <w:rFonts w:hint="eastAsia"/>
        </w:rPr>
        <w:t>〕</w:t>
      </w:r>
      <w:r>
        <w:t>执行。</w:t>
      </w:r>
    </w:p>
    <w:p w14:paraId="60EC5309">
      <w:pPr>
        <w:spacing w:line="400" w:lineRule="exact"/>
        <w:ind w:firstLine="420" w:firstLineChars="200"/>
      </w:pPr>
      <w: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71A5ADA">
      <w:pPr>
        <w:spacing w:line="400" w:lineRule="exact"/>
        <w:ind w:firstLine="420" w:firstLineChars="200"/>
      </w:pPr>
      <w:r>
        <w:t>6.1.7 紧急情况</w:t>
      </w:r>
      <w:r>
        <w:rPr>
          <w:rFonts w:hint="eastAsia"/>
        </w:rPr>
        <w:t>处理</w:t>
      </w:r>
    </w:p>
    <w:p w14:paraId="40BAAED9">
      <w:pPr>
        <w:spacing w:line="400" w:lineRule="exact"/>
        <w:ind w:firstLine="420" w:firstLineChars="200"/>
      </w:pPr>
      <w: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7EA657A">
      <w:pPr>
        <w:spacing w:line="400" w:lineRule="exact"/>
        <w:ind w:firstLine="420" w:firstLineChars="200"/>
      </w:pPr>
      <w:r>
        <w:t>6.1.8 事故处理</w:t>
      </w:r>
    </w:p>
    <w:p w14:paraId="6BAE3CE5">
      <w:pPr>
        <w:spacing w:line="400" w:lineRule="exact"/>
        <w:ind w:firstLine="420" w:firstLineChars="200"/>
      </w:pPr>
      <w: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D45812C">
      <w:pPr>
        <w:spacing w:line="400" w:lineRule="exact"/>
        <w:ind w:firstLine="420" w:firstLineChars="200"/>
      </w:pPr>
      <w:r>
        <w:t>6.1.9 安全生产责任</w:t>
      </w:r>
    </w:p>
    <w:p w14:paraId="4B067E18">
      <w:pPr>
        <w:spacing w:line="400" w:lineRule="exact"/>
        <w:ind w:firstLine="420" w:firstLineChars="200"/>
      </w:pPr>
      <w:r>
        <w:t>6.1.9.1 发包人的安全责任</w:t>
      </w:r>
    </w:p>
    <w:p w14:paraId="6181C62D">
      <w:pPr>
        <w:spacing w:line="400" w:lineRule="exact"/>
        <w:ind w:firstLine="420" w:firstLineChars="200"/>
      </w:pPr>
      <w:r>
        <w:t>发包人应负责赔偿以下各种情况造成</w:t>
      </w:r>
      <w:r>
        <w:rPr>
          <w:rFonts w:hint="eastAsia"/>
        </w:rPr>
        <w:t>的</w:t>
      </w:r>
      <w:r>
        <w:t>损失：</w:t>
      </w:r>
    </w:p>
    <w:p w14:paraId="476FBEE4">
      <w:pPr>
        <w:spacing w:line="400" w:lineRule="exact"/>
        <w:ind w:firstLine="420" w:firstLineChars="200"/>
      </w:pPr>
      <w:r>
        <w:t>（1）工程或工程的任何部分对土地的占用所造成的第三者财产损失；</w:t>
      </w:r>
    </w:p>
    <w:p w14:paraId="1868D232">
      <w:pPr>
        <w:spacing w:line="400" w:lineRule="exact"/>
        <w:ind w:firstLine="420" w:firstLineChars="200"/>
      </w:pPr>
      <w:r>
        <w:t>（2）由于发包人原因在施工场地及其毗邻地带造成的第三者人身伤亡和财产损失</w:t>
      </w:r>
      <w:r>
        <w:rPr>
          <w:rFonts w:hint="eastAsia"/>
        </w:rPr>
        <w:t>；</w:t>
      </w:r>
    </w:p>
    <w:p w14:paraId="003E1966">
      <w:pPr>
        <w:spacing w:line="400" w:lineRule="exact"/>
        <w:ind w:firstLine="420" w:firstLineChars="200"/>
      </w:pPr>
      <w:r>
        <w:rPr>
          <w:rFonts w:hint="eastAsia"/>
        </w:rPr>
        <w:t>（3）由于发包人原因对承包人、监理人造成的人员人身伤亡和财产损失；</w:t>
      </w:r>
    </w:p>
    <w:p w14:paraId="1D8AD500">
      <w:pPr>
        <w:spacing w:line="400" w:lineRule="exact"/>
        <w:ind w:firstLine="420" w:firstLineChars="200"/>
      </w:pPr>
      <w:r>
        <w:rPr>
          <w:rFonts w:hint="eastAsia"/>
        </w:rPr>
        <w:t>（4）由于发包人原因造成的发包人自身人员的人身伤害以及财产损失。</w:t>
      </w:r>
    </w:p>
    <w:p w14:paraId="756F952D">
      <w:pPr>
        <w:spacing w:line="400" w:lineRule="exact"/>
        <w:ind w:firstLine="420" w:firstLineChars="200"/>
      </w:pPr>
      <w:r>
        <w:t>6.1.9.2 承包人的安全责任</w:t>
      </w:r>
    </w:p>
    <w:p w14:paraId="4F5632A6">
      <w:pPr>
        <w:spacing w:line="400" w:lineRule="exact"/>
        <w:ind w:firstLine="420" w:firstLineChars="200"/>
      </w:pPr>
      <w:r>
        <w:t>由于承包人原因在施工场地内及其毗邻地带造成的</w:t>
      </w:r>
      <w:r>
        <w:rPr>
          <w:rFonts w:hint="eastAsia"/>
        </w:rPr>
        <w:t>发包人、监理人以及</w:t>
      </w:r>
      <w:r>
        <w:t>第三者人员伤亡和财产损失，由承包人负责赔偿。</w:t>
      </w:r>
    </w:p>
    <w:p w14:paraId="72C9CDD4">
      <w:pPr>
        <w:pStyle w:val="25"/>
        <w:ind w:firstLine="482" w:firstLineChars="200"/>
        <w:rPr>
          <w:b/>
        </w:rPr>
      </w:pPr>
      <w:bookmarkStart w:id="967" w:name="_Toc351203540"/>
      <w:bookmarkStart w:id="968" w:name="_Toc256000196"/>
      <w:bookmarkStart w:id="969" w:name="_Toc152264555"/>
      <w:r>
        <w:rPr>
          <w:b/>
        </w:rPr>
        <w:t>6</w:t>
      </w:r>
      <w:bookmarkStart w:id="970" w:name="_Toc337558765"/>
      <w:r>
        <w:rPr>
          <w:b/>
        </w:rPr>
        <w:t>.2 职业健康</w:t>
      </w:r>
      <w:bookmarkEnd w:id="967"/>
      <w:bookmarkEnd w:id="968"/>
      <w:bookmarkEnd w:id="969"/>
    </w:p>
    <w:bookmarkEnd w:id="970"/>
    <w:p w14:paraId="59EA226E">
      <w:pPr>
        <w:spacing w:line="400" w:lineRule="exact"/>
        <w:ind w:firstLine="420" w:firstLineChars="200"/>
      </w:pPr>
      <w:r>
        <w:t>6.2.1 劳动保护</w:t>
      </w:r>
    </w:p>
    <w:p w14:paraId="5263DD76">
      <w:pPr>
        <w:spacing w:line="400" w:lineRule="exact"/>
        <w:ind w:firstLine="420" w:firstLineChars="200"/>
      </w:pPr>
      <w: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677722C">
      <w:pPr>
        <w:spacing w:line="400" w:lineRule="exact"/>
        <w:ind w:firstLine="420" w:firstLineChars="200"/>
      </w:pPr>
      <w: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F12480C">
      <w:pPr>
        <w:spacing w:line="400" w:lineRule="exact"/>
        <w:ind w:firstLine="420" w:firstLineChars="200"/>
      </w:pPr>
      <w:r>
        <w:t>承包人应按</w:t>
      </w:r>
      <w:r>
        <w:rPr>
          <w:rFonts w:hint="eastAsia"/>
        </w:rPr>
        <w:t>法律</w:t>
      </w:r>
      <w:r>
        <w:t>规定安排工作时间，保证其雇佣人员享有休息和休假的权利。因工程施工的特殊需要占用休假日或延长工作时间的，应不超过法律规定的限度，并按法律规定给予补休或付酬。</w:t>
      </w:r>
    </w:p>
    <w:p w14:paraId="49CA55E8">
      <w:pPr>
        <w:spacing w:line="400" w:lineRule="exact"/>
        <w:ind w:firstLine="420" w:firstLineChars="200"/>
      </w:pPr>
      <w:r>
        <w:t>6.2.2 生活条件</w:t>
      </w:r>
    </w:p>
    <w:p w14:paraId="38DAA964">
      <w:pPr>
        <w:spacing w:line="400" w:lineRule="exact"/>
        <w:ind w:firstLine="420" w:firstLineChars="200"/>
      </w:pPr>
      <w: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2F18D28">
      <w:pPr>
        <w:pStyle w:val="25"/>
        <w:ind w:firstLine="482" w:firstLineChars="200"/>
        <w:rPr>
          <w:b/>
        </w:rPr>
      </w:pPr>
      <w:bookmarkStart w:id="971" w:name="_Toc351203541"/>
      <w:bookmarkStart w:id="972" w:name="_Toc256000197"/>
      <w:bookmarkStart w:id="973" w:name="_Toc152264556"/>
      <w:r>
        <w:rPr>
          <w:b/>
        </w:rPr>
        <w:t>6</w:t>
      </w:r>
      <w:bookmarkStart w:id="974" w:name="_Toc337558766"/>
      <w:r>
        <w:rPr>
          <w:b/>
        </w:rPr>
        <w:t>.3 环境保护</w:t>
      </w:r>
      <w:bookmarkEnd w:id="971"/>
      <w:bookmarkEnd w:id="972"/>
      <w:bookmarkEnd w:id="973"/>
    </w:p>
    <w:bookmarkEnd w:id="974"/>
    <w:p w14:paraId="27236976">
      <w:pPr>
        <w:spacing w:line="400" w:lineRule="exact"/>
        <w:ind w:firstLine="420" w:firstLineChars="200"/>
      </w:pPr>
      <w: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B4C61D8">
      <w:pPr>
        <w:spacing w:line="400" w:lineRule="exact"/>
        <w:ind w:firstLine="420" w:firstLineChars="200"/>
      </w:pPr>
      <w:r>
        <w:t>承包人应当承担因其原因引起的环境污染侵权损害赔偿责任，因上述环境污染引起纠纷而导致暂停施工的，由此增加的费用和（或）延误的工期由承包人承担。</w:t>
      </w:r>
    </w:p>
    <w:p w14:paraId="06DC316E">
      <w:pPr>
        <w:pStyle w:val="23"/>
        <w:ind w:firstLine="640" w:firstLineChars="200"/>
        <w:rPr>
          <w:rFonts w:ascii="黑体" w:hAnsi="宋体" w:cs="黑体"/>
          <w:kern w:val="0"/>
          <w:sz w:val="32"/>
          <w:lang w:bidi="ar"/>
        </w:rPr>
      </w:pPr>
      <w:bookmarkStart w:id="975" w:name="_Toc351203542"/>
      <w:bookmarkStart w:id="976" w:name="_Toc256000198"/>
      <w:bookmarkStart w:id="977" w:name="_Toc152264557"/>
      <w:r>
        <w:rPr>
          <w:rFonts w:hint="eastAsia" w:ascii="黑体" w:hAnsi="宋体" w:cs="黑体"/>
          <w:kern w:val="0"/>
          <w:sz w:val="32"/>
          <w:lang w:bidi="ar"/>
        </w:rPr>
        <w:t>7</w:t>
      </w:r>
      <w:bookmarkStart w:id="978" w:name="_Toc337558767"/>
      <w:r>
        <w:rPr>
          <w:rFonts w:hint="eastAsia" w:ascii="黑体" w:hAnsi="宋体" w:cs="黑体"/>
          <w:kern w:val="0"/>
          <w:sz w:val="32"/>
          <w:lang w:bidi="ar"/>
        </w:rPr>
        <w:t>.工期和进度</w:t>
      </w:r>
      <w:bookmarkEnd w:id="975"/>
      <w:bookmarkEnd w:id="976"/>
      <w:bookmarkEnd w:id="977"/>
    </w:p>
    <w:bookmarkEnd w:id="978"/>
    <w:p w14:paraId="7847D1EF">
      <w:pPr>
        <w:pStyle w:val="25"/>
        <w:ind w:firstLine="482" w:firstLineChars="200"/>
        <w:rPr>
          <w:b/>
        </w:rPr>
      </w:pPr>
      <w:bookmarkStart w:id="979" w:name="_Toc256000199"/>
      <w:bookmarkStart w:id="980" w:name="_Toc152264558"/>
      <w:bookmarkStart w:id="981" w:name="_Toc351203543"/>
      <w:r>
        <w:rPr>
          <w:b/>
        </w:rPr>
        <w:t>7</w:t>
      </w:r>
      <w:bookmarkStart w:id="982" w:name="_Toc337558768"/>
      <w:bookmarkStart w:id="983" w:name="_Toc296503066"/>
      <w:bookmarkStart w:id="984" w:name="_Toc296346567"/>
      <w:r>
        <w:rPr>
          <w:b/>
        </w:rPr>
        <w:t>.1施工组织设计</w:t>
      </w:r>
      <w:bookmarkEnd w:id="979"/>
      <w:bookmarkEnd w:id="980"/>
      <w:bookmarkEnd w:id="981"/>
    </w:p>
    <w:bookmarkEnd w:id="982"/>
    <w:p w14:paraId="6DB2C073">
      <w:pPr>
        <w:spacing w:line="400" w:lineRule="exact"/>
        <w:ind w:firstLine="420" w:firstLineChars="200"/>
      </w:pPr>
      <w:r>
        <w:t>7.1.1 施工组织设计的内容</w:t>
      </w:r>
    </w:p>
    <w:p w14:paraId="1DD4DD41">
      <w:pPr>
        <w:spacing w:line="400" w:lineRule="exact"/>
        <w:ind w:firstLine="420" w:firstLineChars="200"/>
      </w:pPr>
      <w:r>
        <w:t>施工组织设计应包含以下内容：</w:t>
      </w:r>
    </w:p>
    <w:p w14:paraId="4EC067A7">
      <w:pPr>
        <w:spacing w:line="400" w:lineRule="exact"/>
        <w:ind w:firstLine="420" w:firstLineChars="200"/>
      </w:pPr>
      <w:r>
        <w:t xml:space="preserve">（1）施工方案； </w:t>
      </w:r>
    </w:p>
    <w:p w14:paraId="3A023A84">
      <w:pPr>
        <w:spacing w:line="400" w:lineRule="exact"/>
        <w:ind w:firstLine="420" w:firstLineChars="200"/>
      </w:pPr>
      <w:r>
        <w:t>（2）施工现场平面布置图；</w:t>
      </w:r>
    </w:p>
    <w:p w14:paraId="79926A02">
      <w:pPr>
        <w:spacing w:line="400" w:lineRule="exact"/>
        <w:ind w:firstLine="420" w:firstLineChars="200"/>
      </w:pPr>
      <w:r>
        <w:t xml:space="preserve">（3）施工进度计划和保证措施； </w:t>
      </w:r>
    </w:p>
    <w:p w14:paraId="4E14BDE1">
      <w:pPr>
        <w:spacing w:line="400" w:lineRule="exact"/>
        <w:ind w:firstLine="420" w:firstLineChars="200"/>
      </w:pPr>
      <w:r>
        <w:t>（4）劳动力及材料供应计划；</w:t>
      </w:r>
    </w:p>
    <w:p w14:paraId="2A7A3FD9">
      <w:pPr>
        <w:spacing w:line="400" w:lineRule="exact"/>
        <w:ind w:firstLine="420" w:firstLineChars="200"/>
      </w:pPr>
      <w:r>
        <w:t>（5）施工机械设备的选用；</w:t>
      </w:r>
    </w:p>
    <w:p w14:paraId="0C611D16">
      <w:pPr>
        <w:spacing w:line="400" w:lineRule="exact"/>
        <w:ind w:firstLine="420" w:firstLineChars="200"/>
      </w:pPr>
      <w:r>
        <w:t>（6）质量保证体系及措施；</w:t>
      </w:r>
    </w:p>
    <w:p w14:paraId="10F365EE">
      <w:pPr>
        <w:spacing w:line="400" w:lineRule="exact"/>
        <w:ind w:firstLine="420" w:firstLineChars="200"/>
      </w:pPr>
      <w:r>
        <w:t>（7）安全生产、文明施工措施；</w:t>
      </w:r>
    </w:p>
    <w:p w14:paraId="556E2163">
      <w:pPr>
        <w:spacing w:line="400" w:lineRule="exact"/>
        <w:ind w:firstLine="420" w:firstLineChars="200"/>
      </w:pPr>
      <w:r>
        <w:t>（8）环境保护、成本控制措施</w:t>
      </w:r>
      <w:r>
        <w:rPr>
          <w:rFonts w:hint="eastAsia"/>
        </w:rPr>
        <w:t>；</w:t>
      </w:r>
    </w:p>
    <w:p w14:paraId="69304FB6">
      <w:pPr>
        <w:spacing w:line="400" w:lineRule="exact"/>
        <w:ind w:firstLine="420" w:firstLineChars="200"/>
      </w:pPr>
      <w:r>
        <w:rPr>
          <w:rFonts w:hint="eastAsia"/>
        </w:rPr>
        <w:t>（9）合同当事人约定的其他内容</w:t>
      </w:r>
      <w:r>
        <w:t>。</w:t>
      </w:r>
    </w:p>
    <w:p w14:paraId="07DACB06">
      <w:pPr>
        <w:spacing w:line="400" w:lineRule="exact"/>
        <w:ind w:firstLine="420" w:firstLineChars="200"/>
      </w:pPr>
      <w:r>
        <w:t>7.1.2 施工组织设计的提交和修改</w:t>
      </w:r>
    </w:p>
    <w:p w14:paraId="31B28EF5">
      <w:pPr>
        <w:spacing w:line="400" w:lineRule="exact"/>
        <w:ind w:firstLine="420" w:firstLineChars="200"/>
      </w:pPr>
      <w:r>
        <w:t>除专用合同条款另有约定外，承包人应在合同签订后14天内，但至迟不得晚于第7.3.2项</w:t>
      </w:r>
      <w:r>
        <w:rPr>
          <w:rFonts w:hint="eastAsia"/>
        </w:rPr>
        <w:t>〔</w:t>
      </w:r>
      <w:r>
        <w:t>开工通知</w:t>
      </w:r>
      <w:r>
        <w:rPr>
          <w:rFonts w:hint="eastAsia"/>
        </w:rPr>
        <w:t>〕</w:t>
      </w:r>
      <w:r>
        <w:t>载明的开工日期前7天，向监理人提交详细的施工组织设计，并由监理人报送发包人。</w:t>
      </w:r>
      <w:r>
        <w:rPr>
          <w:rFonts w:hint="eastAsia"/>
        </w:rPr>
        <w:t>除专用合同条款另有约定外，发包人和监理人应在监理人收到施工组织设计后7天内确认或提出修改意见</w:t>
      </w:r>
      <w:r>
        <w:t>。对发包人和监理人提出的合理意见和要求，承包人应自费修改完善。根据工程实际情况需要修改施工组织设计的，承包人应向发包人和监理人提交修改后的施工组织设计。</w:t>
      </w:r>
    </w:p>
    <w:p w14:paraId="7ABD73BE">
      <w:pPr>
        <w:spacing w:line="400" w:lineRule="exact"/>
        <w:ind w:firstLine="420" w:firstLineChars="200"/>
      </w:pPr>
      <w:r>
        <w:t>施工进度计划的编制和修改按照第7.2款</w:t>
      </w:r>
      <w:r>
        <w:rPr>
          <w:rFonts w:hint="eastAsia"/>
        </w:rPr>
        <w:t>〔</w:t>
      </w:r>
      <w:r>
        <w:t>施工进度计划</w:t>
      </w:r>
      <w:r>
        <w:rPr>
          <w:rFonts w:hint="eastAsia"/>
        </w:rPr>
        <w:t>〕</w:t>
      </w:r>
      <w:r>
        <w:t>执行。</w:t>
      </w:r>
    </w:p>
    <w:p w14:paraId="6D64B425">
      <w:pPr>
        <w:pStyle w:val="25"/>
        <w:ind w:firstLine="482" w:firstLineChars="200"/>
        <w:rPr>
          <w:b/>
        </w:rPr>
      </w:pPr>
      <w:bookmarkStart w:id="985" w:name="_Toc152264559"/>
      <w:bookmarkStart w:id="986" w:name="_Toc351203544"/>
      <w:bookmarkStart w:id="987" w:name="_Toc256000200"/>
      <w:r>
        <w:rPr>
          <w:b/>
        </w:rPr>
        <w:t>7</w:t>
      </w:r>
      <w:bookmarkStart w:id="988" w:name="_Toc337558769"/>
      <w:r>
        <w:rPr>
          <w:b/>
        </w:rPr>
        <w:t>.2 施工进度计划</w:t>
      </w:r>
      <w:bookmarkEnd w:id="985"/>
      <w:bookmarkEnd w:id="986"/>
      <w:bookmarkEnd w:id="987"/>
    </w:p>
    <w:bookmarkEnd w:id="988"/>
    <w:p w14:paraId="53CB7414">
      <w:pPr>
        <w:spacing w:line="400" w:lineRule="exact"/>
        <w:ind w:firstLine="420" w:firstLineChars="200"/>
      </w:pPr>
      <w:r>
        <w:t>7.2.1 施工进度计划的编制</w:t>
      </w:r>
    </w:p>
    <w:p w14:paraId="0C4525B5">
      <w:pPr>
        <w:spacing w:line="400" w:lineRule="exact"/>
        <w:ind w:firstLine="420" w:firstLineChars="200"/>
      </w:pPr>
      <w:r>
        <w:t>承包人应按照第7.1款</w:t>
      </w:r>
      <w:r>
        <w:rPr>
          <w:rFonts w:hint="eastAsia"/>
        </w:rPr>
        <w:t>〔</w:t>
      </w:r>
      <w:r>
        <w:t>施工组织设计</w:t>
      </w:r>
      <w:r>
        <w:rPr>
          <w:rFonts w:hint="eastAsia"/>
        </w:rPr>
        <w:t>〕</w:t>
      </w:r>
      <w: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A425D10">
      <w:pPr>
        <w:spacing w:line="400" w:lineRule="exact"/>
        <w:ind w:firstLine="420" w:firstLineChars="200"/>
      </w:pPr>
      <w:r>
        <w:t>7.2.2 施工进度计划的修订</w:t>
      </w:r>
    </w:p>
    <w:p w14:paraId="589F74EA">
      <w:pPr>
        <w:spacing w:line="400" w:lineRule="exact"/>
        <w:ind w:firstLine="420" w:firstLineChars="200"/>
      </w:pPr>
      <w: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1F86D31">
      <w:pPr>
        <w:pStyle w:val="25"/>
        <w:ind w:firstLine="482" w:firstLineChars="200"/>
        <w:rPr>
          <w:b/>
        </w:rPr>
      </w:pPr>
      <w:bookmarkStart w:id="989" w:name="_Toc351203545"/>
      <w:bookmarkStart w:id="990" w:name="_Toc152264560"/>
      <w:bookmarkStart w:id="991" w:name="_Toc256000201"/>
      <w:r>
        <w:rPr>
          <w:b/>
        </w:rPr>
        <w:t>7</w:t>
      </w:r>
      <w:bookmarkStart w:id="992" w:name="_Toc337558770"/>
      <w:r>
        <w:rPr>
          <w:b/>
        </w:rPr>
        <w:t>.3 开工</w:t>
      </w:r>
      <w:bookmarkEnd w:id="989"/>
      <w:bookmarkEnd w:id="990"/>
      <w:bookmarkEnd w:id="991"/>
    </w:p>
    <w:p w14:paraId="60622637">
      <w:pPr>
        <w:spacing w:line="400" w:lineRule="exact"/>
        <w:ind w:firstLine="420" w:firstLineChars="200"/>
      </w:pPr>
      <w:r>
        <w:t>7.3.1 开工准备</w:t>
      </w:r>
    </w:p>
    <w:p w14:paraId="04C54760">
      <w:pPr>
        <w:spacing w:line="400" w:lineRule="exact"/>
        <w:ind w:firstLine="420" w:firstLineChars="200"/>
      </w:pPr>
      <w:r>
        <w:t>除专用合同条款另有约定外，承包人应按照第7.1款</w:t>
      </w:r>
      <w:r>
        <w:rPr>
          <w:rFonts w:hint="eastAsia"/>
        </w:rPr>
        <w:t>〔</w:t>
      </w:r>
      <w:r>
        <w:t>施工组织设计</w:t>
      </w:r>
      <w:r>
        <w:rPr>
          <w:rFonts w:hint="eastAsia"/>
        </w:rPr>
        <w:t>〕</w:t>
      </w:r>
      <w: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85B5630">
      <w:pPr>
        <w:spacing w:line="400" w:lineRule="exact"/>
        <w:ind w:firstLine="420" w:firstLineChars="200"/>
      </w:pPr>
      <w:r>
        <w:t>除专用合同条款另有约定外，合同当事人应按约定完成开工准备工作。</w:t>
      </w:r>
    </w:p>
    <w:p w14:paraId="6E1831D8">
      <w:pPr>
        <w:spacing w:line="400" w:lineRule="exact"/>
        <w:ind w:firstLine="420" w:firstLineChars="200"/>
      </w:pPr>
      <w:r>
        <w:t>7.3.2 开工通知</w:t>
      </w:r>
    </w:p>
    <w:bookmarkEnd w:id="992"/>
    <w:p w14:paraId="5E2126D1">
      <w:pPr>
        <w:spacing w:line="400" w:lineRule="exact"/>
        <w:ind w:firstLine="420" w:firstLineChars="200"/>
      </w:pPr>
      <w: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BEEFFF7">
      <w:pPr>
        <w:spacing w:line="400" w:lineRule="exact"/>
        <w:ind w:firstLine="420" w:firstLineChars="200"/>
      </w:pPr>
      <w: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07E410A">
      <w:pPr>
        <w:pStyle w:val="25"/>
        <w:ind w:firstLine="482" w:firstLineChars="200"/>
        <w:rPr>
          <w:b/>
        </w:rPr>
      </w:pPr>
      <w:bookmarkStart w:id="993" w:name="_Toc256000202"/>
      <w:bookmarkStart w:id="994" w:name="_Toc152264561"/>
      <w:bookmarkStart w:id="995" w:name="_Toc351203546"/>
      <w:r>
        <w:rPr>
          <w:b/>
        </w:rPr>
        <w:t>7.4测量放线</w:t>
      </w:r>
      <w:bookmarkEnd w:id="993"/>
      <w:bookmarkEnd w:id="994"/>
      <w:bookmarkEnd w:id="995"/>
    </w:p>
    <w:p w14:paraId="777A3C85">
      <w:pPr>
        <w:spacing w:line="400" w:lineRule="exact"/>
        <w:ind w:firstLine="420" w:firstLineChars="200"/>
      </w:pPr>
      <w:r>
        <w:t>7.4.1 除专用合同条款另有约定外，发包人应在至迟不得晚于第7.3.2项</w:t>
      </w:r>
      <w:r>
        <w:rPr>
          <w:rFonts w:hint="eastAsia"/>
        </w:rPr>
        <w:t>〔</w:t>
      </w:r>
      <w:r>
        <w:t>开工通知</w:t>
      </w:r>
      <w:r>
        <w:rPr>
          <w:rFonts w:hint="eastAsia"/>
        </w:rPr>
        <w:t>〕</w:t>
      </w:r>
      <w:r>
        <w:t>载明的开工日期前7天通过监理人向承包人提供测量基准点、基准线和水准点及其书面资料。发包人应对其提供的测量基准点、基准线和水准点及其书面资料的真实性、准确性和完整性负责。</w:t>
      </w:r>
    </w:p>
    <w:p w14:paraId="10C99709">
      <w:pPr>
        <w:spacing w:line="400" w:lineRule="exact"/>
        <w:ind w:firstLine="420" w:firstLineChars="200"/>
      </w:pPr>
      <w: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8D4A7F6">
      <w:pPr>
        <w:spacing w:line="400" w:lineRule="exact"/>
        <w:ind w:firstLine="420" w:firstLineChars="200"/>
      </w:pPr>
      <w:r>
        <w:t>7.4.2 承包人负责施工过程中的全部施工测量放线工作，并配置具有相应资质的人员、合格的仪器、设备和其他物品。承包人应矫正工程的位置、标高、尺寸或准线中出现的任何差错，并对工程各部分的定位负责。</w:t>
      </w:r>
    </w:p>
    <w:p w14:paraId="6DA790E3">
      <w:pPr>
        <w:spacing w:line="400" w:lineRule="exact"/>
        <w:ind w:firstLine="420" w:firstLineChars="200"/>
      </w:pPr>
      <w:r>
        <w:t>施工过程中对施工现场内水准点等测量标志物的保护工作由承包人负责。</w:t>
      </w:r>
      <w:bookmarkStart w:id="996" w:name="_Toc351203547"/>
    </w:p>
    <w:p w14:paraId="6ABE55D7">
      <w:pPr>
        <w:pStyle w:val="25"/>
        <w:ind w:firstLine="482" w:firstLineChars="200"/>
        <w:rPr>
          <w:b/>
        </w:rPr>
      </w:pPr>
      <w:bookmarkStart w:id="997" w:name="_Toc256000203"/>
      <w:bookmarkStart w:id="998" w:name="_Toc152264562"/>
      <w:r>
        <w:rPr>
          <w:b/>
        </w:rPr>
        <w:t>7</w:t>
      </w:r>
      <w:bookmarkEnd w:id="983"/>
      <w:bookmarkEnd w:id="984"/>
      <w:bookmarkStart w:id="999" w:name="_Toc337558772"/>
      <w:bookmarkStart w:id="1000" w:name="_Toc296503073"/>
      <w:bookmarkStart w:id="1001" w:name="_Toc296346574"/>
      <w:r>
        <w:rPr>
          <w:b/>
        </w:rPr>
        <w:t>.5</w:t>
      </w:r>
      <w:r>
        <w:rPr>
          <w:rFonts w:hint="eastAsia"/>
          <w:b/>
        </w:rPr>
        <w:t xml:space="preserve"> </w:t>
      </w:r>
      <w:r>
        <w:rPr>
          <w:b/>
        </w:rPr>
        <w:t>工期延误</w:t>
      </w:r>
      <w:bookmarkEnd w:id="996"/>
      <w:bookmarkEnd w:id="997"/>
      <w:bookmarkEnd w:id="998"/>
    </w:p>
    <w:bookmarkEnd w:id="999"/>
    <w:bookmarkEnd w:id="1000"/>
    <w:bookmarkEnd w:id="1001"/>
    <w:p w14:paraId="7235AE7A">
      <w:pPr>
        <w:spacing w:line="400" w:lineRule="exact"/>
        <w:ind w:firstLine="420" w:firstLineChars="200"/>
      </w:pPr>
      <w:r>
        <w:t>7.5.1 因发包人原因导致工期延误</w:t>
      </w:r>
    </w:p>
    <w:p w14:paraId="3E1FF793">
      <w:pPr>
        <w:spacing w:line="400" w:lineRule="exact"/>
        <w:ind w:firstLine="420" w:firstLineChars="200"/>
      </w:pPr>
      <w:r>
        <w:t xml:space="preserve">在合同履行过程中，因下列情况导致工期延误和（或）费用增加的，由发包人承担由此延误的工期和（或）增加的费用，且发包人应支付承包人合理的利润： </w:t>
      </w:r>
    </w:p>
    <w:p w14:paraId="3E61DB4F">
      <w:pPr>
        <w:spacing w:line="400" w:lineRule="exact"/>
        <w:ind w:firstLine="420" w:firstLineChars="200"/>
      </w:pPr>
      <w:r>
        <w:t>（1）发包人未能按合同约定提供图纸或所提供图纸不符合合同约定的；</w:t>
      </w:r>
    </w:p>
    <w:p w14:paraId="39B926BE">
      <w:pPr>
        <w:spacing w:line="400" w:lineRule="exact"/>
        <w:ind w:firstLine="420" w:firstLineChars="200"/>
      </w:pPr>
      <w:r>
        <w:t>（2）发包人未能按合同约定提供施工现场、施工条件、基础资料、许可、批准等开工条件的；</w:t>
      </w:r>
    </w:p>
    <w:p w14:paraId="4F212E4B">
      <w:pPr>
        <w:spacing w:line="400" w:lineRule="exact"/>
        <w:ind w:firstLine="420" w:firstLineChars="200"/>
      </w:pPr>
      <w:r>
        <w:t>（3）发包人提供的测量基准点、基准线和水准点及其书面资料存在错误或疏漏的；</w:t>
      </w:r>
    </w:p>
    <w:p w14:paraId="646080CF">
      <w:pPr>
        <w:spacing w:line="400" w:lineRule="exact"/>
        <w:ind w:firstLine="420" w:firstLineChars="200"/>
      </w:pPr>
      <w:r>
        <w:t>（4）发包人未能在计划开工日期之日起7天内同意下达开工通知的；</w:t>
      </w:r>
    </w:p>
    <w:p w14:paraId="511CE91B">
      <w:pPr>
        <w:spacing w:line="400" w:lineRule="exact"/>
        <w:ind w:firstLine="420" w:firstLineChars="200"/>
      </w:pPr>
      <w:r>
        <w:t>（5）发包人未能按合同约定日期支付工程预付款、进度款或竣工结算款的；</w:t>
      </w:r>
    </w:p>
    <w:p w14:paraId="7C257C1E">
      <w:pPr>
        <w:spacing w:line="400" w:lineRule="exact"/>
        <w:ind w:firstLine="420" w:firstLineChars="200"/>
      </w:pPr>
      <w:r>
        <w:t>（6）监理人未按合同约定发出指示、批准等文件的；</w:t>
      </w:r>
    </w:p>
    <w:p w14:paraId="324CD2D6">
      <w:pPr>
        <w:spacing w:line="400" w:lineRule="exact"/>
        <w:ind w:firstLine="420" w:firstLineChars="200"/>
      </w:pPr>
      <w:r>
        <w:t>（7）专用合同条款中约定的其他情形。</w:t>
      </w:r>
    </w:p>
    <w:p w14:paraId="3CC1484E">
      <w:pPr>
        <w:spacing w:line="400" w:lineRule="exact"/>
        <w:ind w:firstLine="420" w:firstLineChars="200"/>
      </w:pPr>
      <w: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rPr>
        <w:t>〔</w:t>
      </w:r>
      <w:r>
        <w:t>施工进度计划的修订</w:t>
      </w:r>
      <w:r>
        <w:rPr>
          <w:rFonts w:hint="eastAsia"/>
        </w:rPr>
        <w:t>〕</w:t>
      </w:r>
      <w:r>
        <w:t>执行。</w:t>
      </w:r>
    </w:p>
    <w:p w14:paraId="191ACE8A">
      <w:pPr>
        <w:spacing w:line="400" w:lineRule="exact"/>
        <w:ind w:firstLine="420" w:firstLineChars="200"/>
      </w:pPr>
      <w:r>
        <w:t>7.5.2 因承包人原因导致工期延误</w:t>
      </w:r>
    </w:p>
    <w:p w14:paraId="4AB289C7">
      <w:pPr>
        <w:spacing w:line="400" w:lineRule="exact"/>
        <w:ind w:firstLine="420" w:firstLineChars="200"/>
      </w:pPr>
      <w:bookmarkStart w:id="1002" w:name="_Toc296503076"/>
      <w:bookmarkStart w:id="1003" w:name="_Toc296346577"/>
      <w:r>
        <w:t>因</w:t>
      </w:r>
      <w:bookmarkEnd w:id="1002"/>
      <w:bookmarkEnd w:id="1003"/>
      <w:r>
        <w:t>承包人原因造成工期延误的，可以在专用合同条款中约定逾期竣工违约金的计算方法和逾期竣工违约金的上限。承包人支付逾期竣工违约金后，不免除承包人继续完成工程及修补缺陷的义务。</w:t>
      </w:r>
    </w:p>
    <w:p w14:paraId="172EF352">
      <w:pPr>
        <w:pStyle w:val="25"/>
        <w:ind w:firstLine="482" w:firstLineChars="200"/>
        <w:rPr>
          <w:b/>
        </w:rPr>
      </w:pPr>
      <w:bookmarkStart w:id="1004" w:name="_Toc351203548"/>
      <w:bookmarkStart w:id="1005" w:name="_Toc152264563"/>
      <w:bookmarkStart w:id="1006" w:name="_Toc256000204"/>
      <w:r>
        <w:rPr>
          <w:b/>
        </w:rPr>
        <w:t>7</w:t>
      </w:r>
      <w:bookmarkStart w:id="1007" w:name="_Toc296346575"/>
      <w:bookmarkStart w:id="1008" w:name="_Toc296503074"/>
      <w:bookmarkStart w:id="1009" w:name="_Toc337558773"/>
      <w:bookmarkStart w:id="1010" w:name="_Toc296503077"/>
      <w:bookmarkStart w:id="1011" w:name="_Toc296346578"/>
      <w:r>
        <w:rPr>
          <w:b/>
        </w:rPr>
        <w:t>.6 不利物质条件</w:t>
      </w:r>
      <w:bookmarkEnd w:id="1004"/>
      <w:bookmarkEnd w:id="1005"/>
      <w:bookmarkEnd w:id="1006"/>
    </w:p>
    <w:bookmarkEnd w:id="1007"/>
    <w:bookmarkEnd w:id="1008"/>
    <w:bookmarkEnd w:id="1009"/>
    <w:p w14:paraId="30DBA07C">
      <w:pPr>
        <w:spacing w:line="400" w:lineRule="exact"/>
        <w:ind w:firstLine="420" w:firstLineChars="200"/>
      </w:pPr>
      <w:r>
        <w:t>不利物质条件是指有经验的承包人在施工现场遇到的不可预见的自然物质条件、非自然的物质障碍和污染物，包括地表以下物质条件和水文条件以及专用合同条款约定的其他情形，但不包括气候条件。</w:t>
      </w:r>
    </w:p>
    <w:p w14:paraId="6AFDCFB1">
      <w:pPr>
        <w:spacing w:line="400" w:lineRule="exact"/>
        <w:ind w:firstLine="420" w:firstLineChars="200"/>
      </w:pPr>
      <w: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rPr>
        <w:t>〔</w:t>
      </w:r>
      <w:r>
        <w:t>变更</w:t>
      </w:r>
      <w:r>
        <w:rPr>
          <w:rFonts w:hint="eastAsia"/>
        </w:rPr>
        <w:t>〕</w:t>
      </w:r>
      <w:r>
        <w:t>约定执行。承包人因采取合理措施而增加的费用和（或）延误的工期由发包人承担。</w:t>
      </w:r>
    </w:p>
    <w:p w14:paraId="0724E0CD">
      <w:pPr>
        <w:pStyle w:val="25"/>
        <w:ind w:firstLine="482" w:firstLineChars="200"/>
        <w:rPr>
          <w:b/>
        </w:rPr>
      </w:pPr>
      <w:bookmarkStart w:id="1012" w:name="_Toc351203549"/>
      <w:bookmarkStart w:id="1013" w:name="_Toc256000205"/>
      <w:bookmarkStart w:id="1014" w:name="_Toc152264564"/>
      <w:r>
        <w:rPr>
          <w:b/>
        </w:rPr>
        <w:t>7</w:t>
      </w:r>
      <w:bookmarkStart w:id="1015" w:name="_Toc296346576"/>
      <w:bookmarkStart w:id="1016" w:name="_Toc337558774"/>
      <w:bookmarkStart w:id="1017" w:name="_Toc296503075"/>
      <w:r>
        <w:rPr>
          <w:b/>
        </w:rPr>
        <w:t>.7</w:t>
      </w:r>
      <w:r>
        <w:rPr>
          <w:rFonts w:hint="eastAsia"/>
          <w:b/>
        </w:rPr>
        <w:t xml:space="preserve"> </w:t>
      </w:r>
      <w:r>
        <w:rPr>
          <w:b/>
        </w:rPr>
        <w:t>异常恶劣的气候条件</w:t>
      </w:r>
      <w:bookmarkEnd w:id="1012"/>
      <w:bookmarkEnd w:id="1013"/>
      <w:bookmarkEnd w:id="1014"/>
    </w:p>
    <w:bookmarkEnd w:id="1015"/>
    <w:bookmarkEnd w:id="1016"/>
    <w:bookmarkEnd w:id="1017"/>
    <w:p w14:paraId="1A0FE6D6">
      <w:pPr>
        <w:spacing w:line="400" w:lineRule="exact"/>
        <w:ind w:firstLine="420" w:firstLineChars="200"/>
      </w:pPr>
      <w: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77F7CB0">
      <w:pPr>
        <w:spacing w:line="400" w:lineRule="exact"/>
        <w:ind w:firstLine="420" w:firstLineChars="200"/>
      </w:pPr>
      <w:r>
        <w:t>承包人应采取克服异常恶劣的气候条件的合理措施继续施工，并及时通知发包人和监理人。监理人经发包人同意后应当及时发出指示，指示构成变更的，按第10条</w:t>
      </w:r>
      <w:r>
        <w:rPr>
          <w:rFonts w:hint="eastAsia"/>
        </w:rPr>
        <w:t>〔</w:t>
      </w:r>
      <w:r>
        <w:t>变更</w:t>
      </w:r>
      <w:r>
        <w:rPr>
          <w:rFonts w:hint="eastAsia"/>
        </w:rPr>
        <w:t>〕</w:t>
      </w:r>
      <w:r>
        <w:t>约定办理。承包人因采取合理措施而增加的费用和（或）延误的工期由发包人承担。</w:t>
      </w:r>
      <w:bookmarkStart w:id="1018" w:name="_Toc351203550"/>
    </w:p>
    <w:p w14:paraId="0775069E">
      <w:pPr>
        <w:pStyle w:val="25"/>
        <w:ind w:firstLine="482" w:firstLineChars="200"/>
        <w:rPr>
          <w:b/>
        </w:rPr>
      </w:pPr>
      <w:bookmarkStart w:id="1019" w:name="_Toc152264565"/>
      <w:bookmarkStart w:id="1020" w:name="_Toc256000206"/>
      <w:r>
        <w:rPr>
          <w:b/>
        </w:rPr>
        <w:t>7</w:t>
      </w:r>
      <w:bookmarkStart w:id="1021" w:name="_Toc337558775"/>
      <w:r>
        <w:rPr>
          <w:b/>
        </w:rPr>
        <w:t>.8</w:t>
      </w:r>
      <w:r>
        <w:rPr>
          <w:rFonts w:hint="eastAsia"/>
          <w:b/>
        </w:rPr>
        <w:t xml:space="preserve"> </w:t>
      </w:r>
      <w:r>
        <w:rPr>
          <w:b/>
        </w:rPr>
        <w:t>暂停施工</w:t>
      </w:r>
      <w:bookmarkEnd w:id="1018"/>
      <w:bookmarkEnd w:id="1019"/>
      <w:bookmarkEnd w:id="1020"/>
    </w:p>
    <w:bookmarkEnd w:id="1010"/>
    <w:bookmarkEnd w:id="1011"/>
    <w:bookmarkEnd w:id="1021"/>
    <w:p w14:paraId="0F7C608C">
      <w:pPr>
        <w:spacing w:line="400" w:lineRule="exact"/>
        <w:ind w:firstLine="420" w:firstLineChars="200"/>
      </w:pPr>
      <w:r>
        <w:t>7.8.1发包人原因引起的暂停施工</w:t>
      </w:r>
    </w:p>
    <w:p w14:paraId="6E16ACFF">
      <w:pPr>
        <w:spacing w:line="400" w:lineRule="exact"/>
        <w:ind w:firstLine="420" w:firstLineChars="200"/>
      </w:pPr>
      <w:r>
        <w:t>因发包人原因引起暂停施工的，监理人经发包人同意后，应及时下达暂停施工指示。情况紧急且监理人未及时下达暂停施工指示的，按照第7.8.4项</w:t>
      </w:r>
      <w:r>
        <w:rPr>
          <w:rFonts w:hint="eastAsia"/>
        </w:rPr>
        <w:t>〔</w:t>
      </w:r>
      <w:r>
        <w:t>紧急情况下的暂停施工</w:t>
      </w:r>
      <w:r>
        <w:rPr>
          <w:rFonts w:hint="eastAsia"/>
        </w:rPr>
        <w:t>〕</w:t>
      </w:r>
      <w:r>
        <w:t>执行。</w:t>
      </w:r>
    </w:p>
    <w:p w14:paraId="38B53B49">
      <w:pPr>
        <w:spacing w:line="400" w:lineRule="exact"/>
        <w:ind w:firstLine="420" w:firstLineChars="200"/>
      </w:pPr>
      <w:r>
        <w:t>因发包人原因引起的暂停施工，发包人应承担由此增加的费用和（或）延误的工期，并支付承包人合理的利润。</w:t>
      </w:r>
    </w:p>
    <w:p w14:paraId="336E17BE">
      <w:pPr>
        <w:spacing w:line="400" w:lineRule="exact"/>
        <w:ind w:firstLine="420" w:firstLineChars="200"/>
      </w:pPr>
      <w:r>
        <w:t>7.8.2 承包人原因引起的暂停施工</w:t>
      </w:r>
    </w:p>
    <w:p w14:paraId="73DFBF30">
      <w:pPr>
        <w:spacing w:line="400" w:lineRule="exact"/>
        <w:ind w:firstLine="420" w:firstLineChars="200"/>
      </w:pPr>
      <w:r>
        <w:t>因承包人原因引起的暂停施工，承包人应承担由此增加的费用和（或）延误的工期，且承包人在收到监理人复工指示后</w:t>
      </w:r>
      <w:r>
        <w:rPr>
          <w:rFonts w:hint="eastAsia"/>
        </w:rPr>
        <w:t>84</w:t>
      </w:r>
      <w:r>
        <w:t>天内仍未复工的，视为第16.2.1项</w:t>
      </w:r>
      <w:r>
        <w:rPr>
          <w:rFonts w:hint="eastAsia"/>
        </w:rPr>
        <w:t>〔</w:t>
      </w:r>
      <w:r>
        <w:t>承包人违约的情形</w:t>
      </w:r>
      <w:r>
        <w:rPr>
          <w:rFonts w:hint="eastAsia"/>
        </w:rPr>
        <w:t>〕</w:t>
      </w:r>
      <w:r>
        <w:t>第（7）目约定的承包人无法继续履行合同的情形。</w:t>
      </w:r>
    </w:p>
    <w:p w14:paraId="159FF68A">
      <w:pPr>
        <w:spacing w:line="400" w:lineRule="exact"/>
        <w:ind w:firstLine="420" w:firstLineChars="200"/>
      </w:pPr>
      <w:r>
        <w:t>7.8.3 指示暂停施工</w:t>
      </w:r>
    </w:p>
    <w:p w14:paraId="1A1BA56B">
      <w:pPr>
        <w:spacing w:line="400" w:lineRule="exact"/>
        <w:ind w:firstLine="420" w:firstLineChars="200"/>
      </w:pPr>
      <w:r>
        <w:t>监理人认为有必要时，并经发包人批准后，可向承包人作出暂停施工的指示，承包人应按监理人指示暂停施工。</w:t>
      </w:r>
    </w:p>
    <w:p w14:paraId="186C535D">
      <w:pPr>
        <w:spacing w:line="400" w:lineRule="exact"/>
        <w:ind w:firstLine="420" w:firstLineChars="200"/>
      </w:pPr>
      <w:r>
        <w:t>7.8.4 紧急情况下的暂停施工</w:t>
      </w:r>
    </w:p>
    <w:p w14:paraId="1EABC64A">
      <w:pPr>
        <w:spacing w:line="400" w:lineRule="exact"/>
        <w:ind w:firstLine="420" w:firstLineChars="200"/>
      </w:pPr>
      <w: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rPr>
        <w:t>〔</w:t>
      </w:r>
      <w:r>
        <w:t>争议解决</w:t>
      </w:r>
      <w:r>
        <w:rPr>
          <w:rFonts w:hint="eastAsia"/>
        </w:rPr>
        <w:t>〕</w:t>
      </w:r>
      <w:r>
        <w:t>约定处理。</w:t>
      </w:r>
    </w:p>
    <w:p w14:paraId="4CF07946">
      <w:pPr>
        <w:spacing w:line="400" w:lineRule="exact"/>
        <w:ind w:firstLine="420" w:firstLineChars="200"/>
      </w:pPr>
      <w:r>
        <w:t>7.8.5 暂停施工后的复工</w:t>
      </w:r>
    </w:p>
    <w:p w14:paraId="1A663D6C">
      <w:pPr>
        <w:spacing w:line="400" w:lineRule="exact"/>
        <w:ind w:firstLine="420" w:firstLineChars="200"/>
      </w:pPr>
      <w: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C2345BA">
      <w:pPr>
        <w:spacing w:line="400" w:lineRule="exact"/>
        <w:ind w:firstLine="420" w:firstLineChars="200"/>
      </w:pPr>
      <w:r>
        <w:t>承包人无故拖延和拒绝复工的，承包人承担由此增加的费用和（或）延误的工期；因发包人原因无法按时复工的，按照第7.5.1项</w:t>
      </w:r>
      <w:r>
        <w:rPr>
          <w:rFonts w:hint="eastAsia"/>
        </w:rPr>
        <w:t>〔</w:t>
      </w:r>
      <w:r>
        <w:t>因发包人原因导致工期延误</w:t>
      </w:r>
      <w:r>
        <w:rPr>
          <w:rFonts w:hint="eastAsia"/>
        </w:rPr>
        <w:t>〕</w:t>
      </w:r>
      <w:r>
        <w:t>约定办理。</w:t>
      </w:r>
    </w:p>
    <w:p w14:paraId="139E65C2">
      <w:pPr>
        <w:spacing w:line="400" w:lineRule="exact"/>
        <w:ind w:firstLine="420" w:firstLineChars="200"/>
      </w:pPr>
      <w:r>
        <w:t>7.8.6 暂停施工持续56天以上</w:t>
      </w:r>
    </w:p>
    <w:p w14:paraId="06FAB4FA">
      <w:pPr>
        <w:spacing w:line="400" w:lineRule="exact"/>
        <w:ind w:firstLine="420" w:firstLineChars="200"/>
      </w:pPr>
      <w:r>
        <w:t>监理人发出暂停施工指示后56天内未向承包人发出复工通知，除该项停工属于第7.8.2项</w:t>
      </w:r>
      <w:r>
        <w:rPr>
          <w:rFonts w:hint="eastAsia"/>
        </w:rPr>
        <w:t>〔</w:t>
      </w:r>
      <w:r>
        <w:t>承包人原因引起的暂停施工</w:t>
      </w:r>
      <w:r>
        <w:rPr>
          <w:rFonts w:hint="eastAsia"/>
        </w:rPr>
        <w:t>〕</w:t>
      </w:r>
      <w:r>
        <w:t>及第17条</w:t>
      </w:r>
      <w:r>
        <w:rPr>
          <w:rFonts w:hint="eastAsia"/>
        </w:rPr>
        <w:t>〔</w:t>
      </w:r>
      <w:r>
        <w:t>不可抗力</w:t>
      </w:r>
      <w:r>
        <w:rPr>
          <w:rFonts w:hint="eastAsia"/>
        </w:rPr>
        <w:t>〕</w:t>
      </w:r>
      <w: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rPr>
        <w:t>〔</w:t>
      </w:r>
      <w:r>
        <w:t>变更的范围</w:t>
      </w:r>
      <w:r>
        <w:rPr>
          <w:rFonts w:hint="eastAsia"/>
        </w:rPr>
        <w:t>〕</w:t>
      </w:r>
      <w:r>
        <w:t>第（2）项的可取消工作。</w:t>
      </w:r>
    </w:p>
    <w:p w14:paraId="196023B6">
      <w:pPr>
        <w:spacing w:line="400" w:lineRule="exact"/>
        <w:ind w:firstLine="420" w:firstLineChars="200"/>
      </w:pPr>
      <w:r>
        <w:t>暂停施工持续</w:t>
      </w:r>
      <w:r>
        <w:rPr>
          <w:rFonts w:hint="eastAsia"/>
        </w:rPr>
        <w:t>84</w:t>
      </w:r>
      <w:r>
        <w:t>天以上不复工的，且不属于第7.8.2项</w:t>
      </w:r>
      <w:r>
        <w:rPr>
          <w:rFonts w:hint="eastAsia"/>
        </w:rPr>
        <w:t>〔</w:t>
      </w:r>
      <w:r>
        <w:t>承包人原因引起的暂停施工</w:t>
      </w:r>
      <w:r>
        <w:rPr>
          <w:rFonts w:hint="eastAsia"/>
        </w:rPr>
        <w:t>〕</w:t>
      </w:r>
      <w:r>
        <w:t>及第17条</w:t>
      </w:r>
      <w:r>
        <w:rPr>
          <w:rFonts w:hint="eastAsia"/>
        </w:rPr>
        <w:t>〔</w:t>
      </w:r>
      <w:r>
        <w:t>不可抗力</w:t>
      </w:r>
      <w:r>
        <w:rPr>
          <w:rFonts w:hint="eastAsia"/>
        </w:rPr>
        <w:t>〕</w:t>
      </w:r>
      <w:r>
        <w:t>约定的情形，并影响到整个工程以及合同目的实现的，承包人有权提出价格调整要求，或者解除合同。解除合同的，按照第16.1.3项</w:t>
      </w:r>
      <w:r>
        <w:rPr>
          <w:rFonts w:hint="eastAsia"/>
        </w:rPr>
        <w:t>〔</w:t>
      </w:r>
      <w:r>
        <w:t>因发包人违约解除合同</w:t>
      </w:r>
      <w:r>
        <w:rPr>
          <w:rFonts w:hint="eastAsia"/>
        </w:rPr>
        <w:t>〕</w:t>
      </w:r>
      <w:r>
        <w:t>执行。</w:t>
      </w:r>
    </w:p>
    <w:p w14:paraId="06E02919">
      <w:pPr>
        <w:spacing w:line="400" w:lineRule="exact"/>
        <w:ind w:firstLine="420" w:firstLineChars="200"/>
      </w:pPr>
      <w:r>
        <w:t>7.8.7 暂停施工期间的工程照管</w:t>
      </w:r>
    </w:p>
    <w:p w14:paraId="3642E144">
      <w:pPr>
        <w:spacing w:line="400" w:lineRule="exact"/>
        <w:ind w:firstLine="420" w:firstLineChars="200"/>
      </w:pPr>
      <w:r>
        <w:t>暂停施工期间，承包人应负责妥善照管工程并提供安全保障，由此增加的费用由责任方承担。</w:t>
      </w:r>
    </w:p>
    <w:p w14:paraId="73CC4D84">
      <w:pPr>
        <w:spacing w:line="400" w:lineRule="exact"/>
        <w:ind w:firstLine="420" w:firstLineChars="200"/>
      </w:pPr>
      <w:r>
        <w:t>7.8.8 暂停施工的措施</w:t>
      </w:r>
    </w:p>
    <w:p w14:paraId="04CE7510">
      <w:pPr>
        <w:spacing w:line="400" w:lineRule="exact"/>
        <w:ind w:firstLine="420" w:firstLineChars="200"/>
      </w:pPr>
      <w:r>
        <w:t>暂停施工期间，发包人和承包人均应采取必要的措施确保工程质量及安全，防止因暂停施工扩大损失。</w:t>
      </w:r>
    </w:p>
    <w:p w14:paraId="33FAFB1F">
      <w:pPr>
        <w:pStyle w:val="25"/>
        <w:ind w:firstLine="482" w:firstLineChars="200"/>
        <w:rPr>
          <w:b/>
        </w:rPr>
      </w:pPr>
      <w:bookmarkStart w:id="1022" w:name="_Toc256000207"/>
      <w:bookmarkStart w:id="1023" w:name="_Toc351203551"/>
      <w:bookmarkStart w:id="1024" w:name="_Toc152264566"/>
      <w:r>
        <w:rPr>
          <w:b/>
        </w:rPr>
        <w:t>7.9提前竣工</w:t>
      </w:r>
      <w:bookmarkEnd w:id="1022"/>
      <w:bookmarkEnd w:id="1023"/>
      <w:bookmarkEnd w:id="1024"/>
    </w:p>
    <w:p w14:paraId="759BB7AE">
      <w:pPr>
        <w:spacing w:line="400" w:lineRule="exact"/>
        <w:ind w:firstLine="420" w:firstLineChars="200"/>
      </w:pPr>
      <w: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rPr>
        <w:t>承包人认为提前竣工指示无法执行的，应向监理人和发包人提出书面异议，发包人和监理人应在收到异议后7天内予以答复。任何情况下，发包人不得压缩合理工期。</w:t>
      </w:r>
    </w:p>
    <w:p w14:paraId="467631B7">
      <w:pPr>
        <w:spacing w:line="400" w:lineRule="exact"/>
        <w:ind w:firstLine="420" w:firstLineChars="200"/>
      </w:pPr>
      <w:r>
        <w:t>7.9.2 发包人要求承包人提前竣工，或承包人提出提前竣工的建议能够给发包人带来效益的，合同当事人可以在专用合同条款中约定提前竣工的奖励。</w:t>
      </w:r>
    </w:p>
    <w:p w14:paraId="089289DB">
      <w:pPr>
        <w:pStyle w:val="23"/>
        <w:ind w:firstLine="640" w:firstLineChars="200"/>
        <w:rPr>
          <w:rFonts w:ascii="黑体" w:hAnsi="宋体" w:cs="黑体"/>
          <w:kern w:val="0"/>
          <w:sz w:val="32"/>
          <w:lang w:bidi="ar"/>
        </w:rPr>
      </w:pPr>
      <w:bookmarkStart w:id="1025" w:name="_Toc351203552"/>
      <w:bookmarkStart w:id="1026" w:name="_Toc152264567"/>
      <w:bookmarkStart w:id="1027" w:name="_Toc256000208"/>
      <w:r>
        <w:rPr>
          <w:rFonts w:hint="eastAsia" w:ascii="黑体" w:hAnsi="宋体" w:cs="黑体"/>
          <w:kern w:val="0"/>
          <w:sz w:val="32"/>
          <w:lang w:bidi="ar"/>
        </w:rPr>
        <w:t>8</w:t>
      </w:r>
      <w:bookmarkStart w:id="1028" w:name="_Toc296503058"/>
      <w:bookmarkStart w:id="1029" w:name="_Toc337558776"/>
      <w:bookmarkStart w:id="1030" w:name="_Toc296346559"/>
      <w:r>
        <w:rPr>
          <w:rFonts w:hint="eastAsia" w:ascii="黑体" w:hAnsi="宋体" w:cs="黑体"/>
          <w:kern w:val="0"/>
          <w:sz w:val="32"/>
          <w:lang w:bidi="ar"/>
        </w:rPr>
        <w:t>.材料与设备</w:t>
      </w:r>
      <w:bookmarkEnd w:id="1025"/>
      <w:bookmarkEnd w:id="1026"/>
      <w:bookmarkEnd w:id="1027"/>
    </w:p>
    <w:bookmarkEnd w:id="1028"/>
    <w:bookmarkEnd w:id="1029"/>
    <w:bookmarkEnd w:id="1030"/>
    <w:p w14:paraId="74363C0B">
      <w:pPr>
        <w:pStyle w:val="25"/>
        <w:ind w:firstLine="482" w:firstLineChars="200"/>
        <w:rPr>
          <w:b/>
        </w:rPr>
      </w:pPr>
      <w:bookmarkStart w:id="1031" w:name="_Toc152264568"/>
      <w:bookmarkStart w:id="1032" w:name="_Toc256000209"/>
      <w:bookmarkStart w:id="1033" w:name="_Toc351203553"/>
      <w:r>
        <w:rPr>
          <w:b/>
        </w:rPr>
        <w:t>8</w:t>
      </w:r>
      <w:bookmarkStart w:id="1034" w:name="_Toc296346560"/>
      <w:bookmarkStart w:id="1035" w:name="_Toc337558777"/>
      <w:bookmarkStart w:id="1036" w:name="_Toc296503059"/>
      <w:bookmarkStart w:id="1037" w:name="_Toc468936960"/>
      <w:r>
        <w:rPr>
          <w:b/>
        </w:rPr>
        <w:t>.1发包人供应材料与工程设备</w:t>
      </w:r>
      <w:bookmarkEnd w:id="1031"/>
      <w:bookmarkEnd w:id="1032"/>
      <w:bookmarkEnd w:id="1033"/>
    </w:p>
    <w:bookmarkEnd w:id="1034"/>
    <w:bookmarkEnd w:id="1035"/>
    <w:bookmarkEnd w:id="1036"/>
    <w:p w14:paraId="74BA471F">
      <w:pPr>
        <w:spacing w:line="400" w:lineRule="exact"/>
        <w:ind w:firstLine="420" w:firstLineChars="200"/>
      </w:pPr>
      <w:r>
        <w:t>发包人自行供应材料、工程设备的，应在签订合同时在专用合同条款的附件《发包人供应材料设备一览表》中明确材料、工程设备的品种、规格、型号、数量、单价、质量等级和送达地点。</w:t>
      </w:r>
    </w:p>
    <w:p w14:paraId="43A823A6">
      <w:pPr>
        <w:spacing w:line="400" w:lineRule="exact"/>
        <w:ind w:firstLine="420" w:firstLineChars="200"/>
      </w:pPr>
      <w:r>
        <w:t>承包人应提前30天通过监理人以书面形式通知发包人供应材料与工程设备进场。承包人按照第7.2.2项</w:t>
      </w:r>
      <w:r>
        <w:rPr>
          <w:rFonts w:hint="eastAsia"/>
        </w:rPr>
        <w:t>〔</w:t>
      </w:r>
      <w:r>
        <w:t>施工进度计划的修订</w:t>
      </w:r>
      <w:r>
        <w:rPr>
          <w:rFonts w:hint="eastAsia"/>
        </w:rPr>
        <w:t>〕</w:t>
      </w:r>
      <w:r>
        <w:t>约定修订施工进度计划时，需同时提交经修订后的发包人供应材料与工程设备的进场计划。</w:t>
      </w:r>
    </w:p>
    <w:p w14:paraId="6DFBB558">
      <w:pPr>
        <w:pStyle w:val="25"/>
        <w:ind w:firstLine="482" w:firstLineChars="200"/>
      </w:pPr>
      <w:bookmarkStart w:id="1038" w:name="_Toc152264569"/>
      <w:bookmarkStart w:id="1039" w:name="_Toc351203554"/>
      <w:bookmarkStart w:id="1040" w:name="_Toc256000210"/>
      <w:r>
        <w:rPr>
          <w:b/>
        </w:rPr>
        <w:t>8</w:t>
      </w:r>
      <w:bookmarkStart w:id="1041" w:name="_Toc337558778"/>
      <w:bookmarkStart w:id="1042" w:name="_Toc296346561"/>
      <w:bookmarkStart w:id="1043" w:name="_Toc296503060"/>
      <w:r>
        <w:rPr>
          <w:b/>
        </w:rPr>
        <w:t>.2承包人采购材料与工程设备</w:t>
      </w:r>
      <w:bookmarkEnd w:id="1038"/>
      <w:bookmarkEnd w:id="1039"/>
      <w:bookmarkEnd w:id="1040"/>
    </w:p>
    <w:bookmarkEnd w:id="1041"/>
    <w:bookmarkEnd w:id="1042"/>
    <w:bookmarkEnd w:id="1043"/>
    <w:p w14:paraId="48FA5AE7">
      <w:pPr>
        <w:spacing w:line="400" w:lineRule="exact"/>
        <w:ind w:firstLine="420" w:firstLineChars="200"/>
      </w:pPr>
      <w: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rPr>
        <w:t>相应责任</w:t>
      </w:r>
      <w:r>
        <w:t>。</w:t>
      </w:r>
    </w:p>
    <w:p w14:paraId="44CAA3AD">
      <w:pPr>
        <w:pStyle w:val="25"/>
        <w:ind w:firstLine="482" w:firstLineChars="200"/>
        <w:rPr>
          <w:b/>
        </w:rPr>
      </w:pPr>
      <w:bookmarkStart w:id="1044" w:name="_Toc351203555"/>
      <w:bookmarkStart w:id="1045" w:name="_Toc256000211"/>
      <w:bookmarkStart w:id="1046" w:name="_Toc152264570"/>
      <w:r>
        <w:rPr>
          <w:b/>
        </w:rPr>
        <w:t>8</w:t>
      </w:r>
      <w:bookmarkStart w:id="1047" w:name="_Toc296346562"/>
      <w:bookmarkStart w:id="1048" w:name="_Toc337558779"/>
      <w:bookmarkStart w:id="1049" w:name="_Toc296503061"/>
      <w:r>
        <w:rPr>
          <w:b/>
        </w:rPr>
        <w:t>.3材料与工程设备的接收与拒收</w:t>
      </w:r>
      <w:bookmarkEnd w:id="1044"/>
      <w:bookmarkEnd w:id="1045"/>
      <w:bookmarkEnd w:id="1046"/>
    </w:p>
    <w:bookmarkEnd w:id="1047"/>
    <w:bookmarkEnd w:id="1048"/>
    <w:bookmarkEnd w:id="1049"/>
    <w:p w14:paraId="597909B9">
      <w:pPr>
        <w:spacing w:line="400" w:lineRule="exact"/>
        <w:ind w:firstLine="420" w:firstLineChars="200"/>
      </w:pPr>
      <w: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D15E5D9">
      <w:pPr>
        <w:spacing w:line="400" w:lineRule="exact"/>
        <w:ind w:firstLine="420" w:firstLineChars="200"/>
      </w:pPr>
      <w:r>
        <w:t>发包人提供的材料和工程设备的规格、数量或质量不符合合同约定的，或因发包人原因导致交货日期延误或交货地点变更等情况的，按照第16.1款</w:t>
      </w:r>
      <w:r>
        <w:rPr>
          <w:rFonts w:hint="eastAsia"/>
        </w:rPr>
        <w:t>〔</w:t>
      </w:r>
      <w:r>
        <w:t>发包人违约</w:t>
      </w:r>
      <w:r>
        <w:rPr>
          <w:rFonts w:hint="eastAsia"/>
        </w:rPr>
        <w:t>〕</w:t>
      </w:r>
      <w:r>
        <w:t>约定办理。</w:t>
      </w:r>
    </w:p>
    <w:p w14:paraId="528BE5E7">
      <w:pPr>
        <w:spacing w:line="400" w:lineRule="exact"/>
        <w:ind w:firstLine="420" w:firstLineChars="200"/>
      </w:pPr>
      <w:r>
        <w:t>8.3.2 承包人采购的材料和工程设备，应保证产品质量合格，承包人应在材料和工程设备到货前24小时通知监理人检验。承</w:t>
      </w:r>
      <w:bookmarkStart w:id="1050" w:name="_Toc250655469"/>
      <w:r>
        <w:t>包人进行永久设备、材料的制造和生产的，应符合相关质量标准，并向监理人提交材料的样本以及有关资料，并应在使用该材料或工程设备之前获得监理人同意。</w:t>
      </w:r>
    </w:p>
    <w:bookmarkEnd w:id="1050"/>
    <w:p w14:paraId="5715E745">
      <w:pPr>
        <w:spacing w:line="400" w:lineRule="exact"/>
        <w:ind w:firstLine="420" w:firstLineChars="200"/>
      </w:pPr>
      <w: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395EEA4">
      <w:pPr>
        <w:pStyle w:val="25"/>
        <w:ind w:firstLine="482" w:firstLineChars="200"/>
        <w:rPr>
          <w:b/>
        </w:rPr>
      </w:pPr>
      <w:bookmarkStart w:id="1051" w:name="_Toc152264571"/>
      <w:bookmarkStart w:id="1052" w:name="_Toc351203556"/>
      <w:bookmarkStart w:id="1053" w:name="_Toc256000212"/>
      <w:r>
        <w:rPr>
          <w:b/>
        </w:rPr>
        <w:t>8</w:t>
      </w:r>
      <w:bookmarkStart w:id="1054" w:name="_Toc296346563"/>
      <w:bookmarkStart w:id="1055" w:name="_Toc337558780"/>
      <w:bookmarkStart w:id="1056" w:name="_Toc296503062"/>
      <w:r>
        <w:rPr>
          <w:b/>
        </w:rPr>
        <w:t>.4材料与工程设备的保管与使用</w:t>
      </w:r>
      <w:bookmarkEnd w:id="1051"/>
      <w:bookmarkEnd w:id="1052"/>
      <w:bookmarkEnd w:id="1053"/>
    </w:p>
    <w:bookmarkEnd w:id="1054"/>
    <w:bookmarkEnd w:id="1055"/>
    <w:bookmarkEnd w:id="1056"/>
    <w:p w14:paraId="2FAE4C2B">
      <w:pPr>
        <w:spacing w:line="400" w:lineRule="exact"/>
        <w:ind w:firstLine="420" w:firstLineChars="200"/>
      </w:pPr>
      <w:r>
        <w:t>8.4.1 发包人供应材料与工程设备的保管与使用</w:t>
      </w:r>
    </w:p>
    <w:p w14:paraId="5D393DCA">
      <w:pPr>
        <w:spacing w:line="400" w:lineRule="exact"/>
        <w:ind w:firstLine="420" w:firstLineChars="200"/>
      </w:pPr>
      <w: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39D1569">
      <w:pPr>
        <w:spacing w:line="400" w:lineRule="exact"/>
        <w:ind w:firstLine="420" w:firstLineChars="200"/>
      </w:pPr>
      <w:r>
        <w:t>发包人供应的材料和工程设备使用前，由承包人负责检验，检验费用由发包人承担，不合格的不得使用。</w:t>
      </w:r>
    </w:p>
    <w:p w14:paraId="4280EC78">
      <w:pPr>
        <w:spacing w:line="400" w:lineRule="exact"/>
        <w:ind w:firstLine="420" w:firstLineChars="200"/>
      </w:pPr>
      <w:r>
        <w:t>8.4.2 承包人采购材料与工程设备的保管与使用</w:t>
      </w:r>
    </w:p>
    <w:p w14:paraId="4CF9601F">
      <w:pPr>
        <w:spacing w:line="400" w:lineRule="exact"/>
        <w:ind w:firstLine="420" w:firstLineChars="200"/>
      </w:pPr>
      <w: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7938565">
      <w:pPr>
        <w:spacing w:line="400" w:lineRule="exact"/>
        <w:ind w:firstLine="420" w:firstLineChars="200"/>
      </w:pPr>
      <w:r>
        <w:t>发包人或监理人发现承包人使用不符合设计或有关标准要求的材料和工程设备时，有权要求承包人进行修复、拆除或重新采购，由此增加的费用和（或）延误的工期，由承包人承担。</w:t>
      </w:r>
    </w:p>
    <w:p w14:paraId="73B455E9">
      <w:pPr>
        <w:pStyle w:val="25"/>
        <w:ind w:firstLine="482" w:firstLineChars="200"/>
        <w:rPr>
          <w:b/>
        </w:rPr>
      </w:pPr>
      <w:bookmarkStart w:id="1057" w:name="_Toc351203557"/>
      <w:bookmarkStart w:id="1058" w:name="_Toc152264572"/>
      <w:bookmarkStart w:id="1059" w:name="_Toc256000213"/>
      <w:r>
        <w:rPr>
          <w:b/>
        </w:rPr>
        <w:t>8.5禁止使用不合格的材料和工程设备</w:t>
      </w:r>
      <w:bookmarkEnd w:id="1057"/>
      <w:bookmarkEnd w:id="1058"/>
      <w:bookmarkEnd w:id="1059"/>
    </w:p>
    <w:p w14:paraId="103839F0">
      <w:pPr>
        <w:spacing w:line="400" w:lineRule="exact"/>
        <w:ind w:firstLine="420" w:firstLineChars="200"/>
      </w:pPr>
      <w:r>
        <w:t>8.5.1 监理人有权拒绝承包人提供的不合格材料或工程设备，并要求承包人立即进行更换。监理人应在更换后再次进行检查和检验，由此增加的费用和（或）延误的工期由承包人承担。</w:t>
      </w:r>
    </w:p>
    <w:p w14:paraId="584FD30B">
      <w:pPr>
        <w:spacing w:line="400" w:lineRule="exact"/>
        <w:ind w:firstLine="420" w:firstLineChars="200"/>
      </w:pPr>
      <w:r>
        <w:t>8.5.2 监理人发现承包人使用了不合格的材料和工程设备，承包人应按照监理人的指示立即改正，并禁止在工程中继续使用不合格的材料和工程设备。</w:t>
      </w:r>
    </w:p>
    <w:p w14:paraId="6E4028A6">
      <w:pPr>
        <w:spacing w:line="400" w:lineRule="exact"/>
        <w:ind w:firstLine="420" w:firstLineChars="200"/>
      </w:pPr>
      <w:r>
        <w:t>8.5.3 发包人提供的材料或工程设备不符合合同要求的，承包人有权拒绝，并可要求发包人更换，由此增加的费用和（或）延误的工期由发包人承担</w:t>
      </w:r>
      <w:r>
        <w:rPr>
          <w:rFonts w:hint="eastAsia"/>
        </w:rPr>
        <w:t>，并支付承包人合理的利润</w:t>
      </w:r>
      <w:r>
        <w:t>。</w:t>
      </w:r>
    </w:p>
    <w:p w14:paraId="2562DDC7">
      <w:pPr>
        <w:pStyle w:val="25"/>
        <w:ind w:firstLine="482" w:firstLineChars="200"/>
        <w:rPr>
          <w:b/>
        </w:rPr>
      </w:pPr>
      <w:bookmarkStart w:id="1060" w:name="_Toc256000214"/>
      <w:bookmarkStart w:id="1061" w:name="_Toc152264573"/>
      <w:bookmarkStart w:id="1062" w:name="_Toc351203558"/>
      <w:r>
        <w:rPr>
          <w:b/>
        </w:rPr>
        <w:t>8.6 样品</w:t>
      </w:r>
      <w:bookmarkEnd w:id="1060"/>
      <w:bookmarkEnd w:id="1061"/>
      <w:bookmarkEnd w:id="1062"/>
    </w:p>
    <w:p w14:paraId="1D1EBD0B">
      <w:pPr>
        <w:spacing w:line="400" w:lineRule="exact"/>
        <w:ind w:firstLine="420" w:firstLineChars="200"/>
      </w:pPr>
      <w:r>
        <w:t>8.6.1样品的报送</w:t>
      </w:r>
      <w:r>
        <w:rPr>
          <w:rFonts w:hint="eastAsia"/>
        </w:rPr>
        <w:t>与封存</w:t>
      </w:r>
    </w:p>
    <w:p w14:paraId="7220D110">
      <w:pPr>
        <w:spacing w:line="400" w:lineRule="exact"/>
        <w:ind w:firstLine="420" w:firstLineChars="200"/>
      </w:pPr>
      <w:r>
        <w:t>需要承包人报送样品的材料或工程设备，样品的种类、名称、规格、数量等要求均应在专用合同条款中约定。样品的报送程序如下：</w:t>
      </w:r>
    </w:p>
    <w:p w14:paraId="04C42517">
      <w:pPr>
        <w:spacing w:line="400" w:lineRule="exact"/>
        <w:ind w:firstLine="420" w:firstLineChars="200"/>
      </w:pPr>
      <w: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C004006">
      <w:pPr>
        <w:spacing w:line="400" w:lineRule="exact"/>
        <w:ind w:firstLine="420" w:firstLineChars="200"/>
      </w:pPr>
      <w: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1A3643C">
      <w:pPr>
        <w:spacing w:line="400" w:lineRule="exact"/>
        <w:ind w:firstLine="420" w:firstLineChars="200"/>
      </w:pPr>
      <w:r>
        <w:t>（3）经发包人和监理人审批确认的样品</w:t>
      </w:r>
      <w:r>
        <w:rPr>
          <w:rFonts w:hint="eastAsia"/>
        </w:rPr>
        <w:t>应按约定的方法封样，封存的样品</w:t>
      </w:r>
      <w:r>
        <w:t>作为检验工程相关部分的标准之一。承包人在施工过程中不得使用与样品不符的材料或工程设备。</w:t>
      </w:r>
    </w:p>
    <w:p w14:paraId="1640F59A">
      <w:pPr>
        <w:spacing w:line="400" w:lineRule="exact"/>
        <w:ind w:firstLine="420" w:firstLineChars="200"/>
      </w:pPr>
      <w:r>
        <w:t>（4）发包人和监理人对样品的审批确认仅为确认相关材料或工程设备的特征或用途，不得被理解为对合同的修改或改变，也并不减轻或免除承包人任何的责任和义务。</w:t>
      </w:r>
      <w:r>
        <w:rPr>
          <w:rFonts w:hint="eastAsia"/>
        </w:rPr>
        <w:t>如果封存的样品修改或改变了合同约定，合同当事人应当以书面协议予以确认。</w:t>
      </w:r>
    </w:p>
    <w:p w14:paraId="1F4EAB46">
      <w:pPr>
        <w:spacing w:line="400" w:lineRule="exact"/>
        <w:ind w:firstLine="420" w:firstLineChars="200"/>
      </w:pPr>
      <w:r>
        <w:t>8.6.2 样品的保管</w:t>
      </w:r>
    </w:p>
    <w:p w14:paraId="18471326">
      <w:pPr>
        <w:spacing w:line="400" w:lineRule="exact"/>
        <w:ind w:firstLine="420" w:firstLineChars="200"/>
      </w:pPr>
      <w:r>
        <w:t>经批准的样品应由监理人负责封存于现场，承包人应在现场为保存样品提供适当和固定的场所并保持适当和良好的存储环境条件。</w:t>
      </w:r>
    </w:p>
    <w:p w14:paraId="1EB44ADB">
      <w:pPr>
        <w:pStyle w:val="25"/>
        <w:ind w:firstLine="482" w:firstLineChars="200"/>
        <w:rPr>
          <w:b/>
        </w:rPr>
      </w:pPr>
      <w:bookmarkStart w:id="1063" w:name="_Toc152264574"/>
      <w:bookmarkStart w:id="1064" w:name="_Toc351203559"/>
      <w:bookmarkStart w:id="1065" w:name="_Toc256000215"/>
      <w:r>
        <w:rPr>
          <w:b/>
        </w:rPr>
        <w:t>8.7材料与工程设备的替代</w:t>
      </w:r>
      <w:bookmarkEnd w:id="1063"/>
      <w:bookmarkEnd w:id="1064"/>
      <w:bookmarkEnd w:id="1065"/>
    </w:p>
    <w:p w14:paraId="46782B39">
      <w:pPr>
        <w:spacing w:line="400" w:lineRule="exact"/>
        <w:ind w:firstLine="420" w:firstLineChars="200"/>
      </w:pPr>
      <w:r>
        <w:t>8.7.1 出现下列情况需要使用替代材料和工程设备的，承包人应按照第8.7.2项约定的程序执行：</w:t>
      </w:r>
    </w:p>
    <w:p w14:paraId="057BA45F">
      <w:pPr>
        <w:spacing w:line="400" w:lineRule="exact"/>
        <w:ind w:firstLine="420" w:firstLineChars="200"/>
      </w:pPr>
      <w:r>
        <w:t>（1）基准日</w:t>
      </w:r>
      <w:r>
        <w:rPr>
          <w:rFonts w:hint="eastAsia"/>
        </w:rPr>
        <w:t>期</w:t>
      </w:r>
      <w:r>
        <w:t>后生效的法律规定禁止使用的；</w:t>
      </w:r>
    </w:p>
    <w:p w14:paraId="704A2539">
      <w:pPr>
        <w:spacing w:line="400" w:lineRule="exact"/>
        <w:ind w:firstLine="420" w:firstLineChars="200"/>
      </w:pPr>
      <w:r>
        <w:t>（2）发包人要求使用替代品的；</w:t>
      </w:r>
    </w:p>
    <w:p w14:paraId="3E7965C7">
      <w:pPr>
        <w:spacing w:line="400" w:lineRule="exact"/>
        <w:ind w:firstLine="420" w:firstLineChars="200"/>
      </w:pPr>
      <w:r>
        <w:t>（3）因其他原因必须使用替代品的。</w:t>
      </w:r>
    </w:p>
    <w:p w14:paraId="06EE3C72">
      <w:pPr>
        <w:spacing w:line="400" w:lineRule="exact"/>
        <w:ind w:firstLine="420" w:firstLineChars="200"/>
      </w:pPr>
      <w:r>
        <w:t>8.7.2 承包人应在使用替代材料和工程设备28天前书面通知监理人，并附下列文件：</w:t>
      </w:r>
    </w:p>
    <w:p w14:paraId="53FDCFFC">
      <w:pPr>
        <w:spacing w:line="400" w:lineRule="exact"/>
        <w:ind w:firstLine="420" w:firstLineChars="200"/>
      </w:pPr>
      <w:r>
        <w:t>（1）被替代的材料和工程设备的名称、数量、规格、型号、品牌、性能、价格及其他相关资料；</w:t>
      </w:r>
    </w:p>
    <w:p w14:paraId="0413AB61">
      <w:pPr>
        <w:spacing w:line="400" w:lineRule="exact"/>
        <w:ind w:firstLine="420" w:firstLineChars="200"/>
      </w:pPr>
      <w:r>
        <w:t>（2）替代品的名称、数量、规格、型号、品牌、性能、价格及其他相关资料；</w:t>
      </w:r>
    </w:p>
    <w:p w14:paraId="16DFBFD2">
      <w:pPr>
        <w:spacing w:line="400" w:lineRule="exact"/>
        <w:ind w:firstLine="420" w:firstLineChars="200"/>
      </w:pPr>
      <w:r>
        <w:t>（3）替代品与被替代产品之间的差异以及使用替代品可能对工程产生的影响；</w:t>
      </w:r>
    </w:p>
    <w:p w14:paraId="5776D764">
      <w:pPr>
        <w:spacing w:line="400" w:lineRule="exact"/>
        <w:ind w:firstLine="420" w:firstLineChars="200"/>
      </w:pPr>
      <w:r>
        <w:t>（4）替代品与被替代产品的价格差异；</w:t>
      </w:r>
    </w:p>
    <w:p w14:paraId="0ACE076C">
      <w:pPr>
        <w:spacing w:line="400" w:lineRule="exact"/>
        <w:ind w:firstLine="420" w:firstLineChars="200"/>
      </w:pPr>
      <w:r>
        <w:t>（5）使用替代品的理由和原因说明；</w:t>
      </w:r>
    </w:p>
    <w:p w14:paraId="7088BC05">
      <w:pPr>
        <w:spacing w:line="400" w:lineRule="exact"/>
        <w:ind w:firstLine="420" w:firstLineChars="200"/>
      </w:pPr>
      <w:r>
        <w:t>（6）监理人要求的其他文件。</w:t>
      </w:r>
    </w:p>
    <w:p w14:paraId="28E5D125">
      <w:pPr>
        <w:spacing w:line="400" w:lineRule="exact"/>
        <w:ind w:firstLine="420" w:firstLineChars="200"/>
      </w:pPr>
      <w:r>
        <w:t>监理人应在收到通知后14天内向承包人发出经发包人签认的书面指示；监理人逾期发出书面指示的，视为发包人和监理人同意使用替代品。</w:t>
      </w:r>
    </w:p>
    <w:p w14:paraId="6BBF148F">
      <w:pPr>
        <w:spacing w:line="400" w:lineRule="exact"/>
        <w:ind w:firstLine="420" w:firstLineChars="200"/>
      </w:pPr>
      <w:r>
        <w:t>8.7.3 发包人认可使用替代材料和工程设备的，替代材料和工程设备的价格，按照已标价工程量清单或预算书相同项目的价格认定；无相同项目的，参考相似项目价格认定；</w:t>
      </w:r>
      <w:r>
        <w:rPr>
          <w:rFonts w:hint="eastAsia"/>
        </w:rPr>
        <w:t>既无</w:t>
      </w:r>
      <w:r>
        <w:t>相同项目</w:t>
      </w:r>
      <w:r>
        <w:rPr>
          <w:rFonts w:hint="eastAsia"/>
        </w:rPr>
        <w:t>也</w:t>
      </w:r>
      <w:r>
        <w:t>无相似项目的，</w:t>
      </w:r>
      <w:r>
        <w:rPr>
          <w:rFonts w:hint="eastAsia"/>
        </w:rPr>
        <w:t>按照合理的成本与利润构成的原则，</w:t>
      </w:r>
      <w:r>
        <w:t>由合同当事人按照第4.4款</w:t>
      </w:r>
      <w:r>
        <w:rPr>
          <w:rFonts w:hint="eastAsia"/>
        </w:rPr>
        <w:t>〔</w:t>
      </w:r>
      <w:r>
        <w:t>商定或确定</w:t>
      </w:r>
      <w:r>
        <w:rPr>
          <w:rFonts w:hint="eastAsia"/>
        </w:rPr>
        <w:t>〕</w:t>
      </w:r>
      <w:r>
        <w:t>确定价格。</w:t>
      </w:r>
    </w:p>
    <w:p w14:paraId="6D94F868">
      <w:pPr>
        <w:pStyle w:val="25"/>
        <w:ind w:firstLine="482" w:firstLineChars="200"/>
        <w:rPr>
          <w:b/>
        </w:rPr>
      </w:pPr>
      <w:bookmarkStart w:id="1066" w:name="_Toc256000216"/>
      <w:bookmarkStart w:id="1067" w:name="_Toc351203560"/>
      <w:bookmarkStart w:id="1068" w:name="_Toc152264575"/>
      <w:r>
        <w:rPr>
          <w:b/>
        </w:rPr>
        <w:t>8.8施工设备和临时设施</w:t>
      </w:r>
      <w:bookmarkEnd w:id="1066"/>
      <w:bookmarkEnd w:id="1067"/>
      <w:bookmarkEnd w:id="1068"/>
    </w:p>
    <w:p w14:paraId="0AC644EA">
      <w:pPr>
        <w:spacing w:line="400" w:lineRule="exact"/>
        <w:ind w:firstLine="420" w:firstLineChars="200"/>
      </w:pPr>
      <w:r>
        <w:t>8.8.1 承包人提供的施工设备和临时设施</w:t>
      </w:r>
    </w:p>
    <w:p w14:paraId="51A6FA8A">
      <w:pPr>
        <w:spacing w:line="400" w:lineRule="exact"/>
        <w:ind w:firstLine="420" w:firstLineChars="200"/>
      </w:pPr>
      <w:r>
        <w:t>承包人应按合同进度计划的要求，及时配置施工设备和修建临时设施。进入施工场地的承包人设备需经监理人核查后才能投入使用。承包人更换合同约定的承包人设备的，应报监理人批准。</w:t>
      </w:r>
    </w:p>
    <w:p w14:paraId="095DF85C">
      <w:pPr>
        <w:spacing w:line="400" w:lineRule="exact"/>
        <w:ind w:firstLine="420" w:firstLineChars="200"/>
      </w:pPr>
      <w:r>
        <w:t>除专用合同条款另有约定外，承包人应自行承担修建临时设施的费用，需要临时占地的，应由发包人办理申请手续并承担相应费用。</w:t>
      </w:r>
    </w:p>
    <w:p w14:paraId="221952A8">
      <w:pPr>
        <w:spacing w:line="400" w:lineRule="exact"/>
        <w:ind w:firstLine="420" w:firstLineChars="200"/>
      </w:pPr>
      <w:r>
        <w:t>8.8.2发包人提供的施工设备和临时设施</w:t>
      </w:r>
    </w:p>
    <w:p w14:paraId="1313A40D">
      <w:pPr>
        <w:spacing w:line="400" w:lineRule="exact"/>
        <w:ind w:firstLine="420" w:firstLineChars="200"/>
      </w:pPr>
      <w:r>
        <w:t>发包人提供的施工设备或临时设施在专用合同条款中约定。</w:t>
      </w:r>
    </w:p>
    <w:p w14:paraId="25969B38">
      <w:pPr>
        <w:spacing w:line="400" w:lineRule="exact"/>
        <w:ind w:firstLine="420" w:firstLineChars="200"/>
      </w:pPr>
      <w:r>
        <w:t>8.8.3要求承包人增加或更换施工设备</w:t>
      </w:r>
    </w:p>
    <w:p w14:paraId="32BAA87A">
      <w:pPr>
        <w:spacing w:line="400" w:lineRule="exact"/>
        <w:ind w:firstLine="420" w:firstLineChars="200"/>
      </w:pPr>
      <w:r>
        <w:t>承包人使用的施工设备不能满足合同进度计划和（或）质量要求时，监理人有权要求承包人增加或更换施工设备，承包人应及时增加或更换，由此增加的费用和（或）延误的工期由承包人承担。</w:t>
      </w:r>
    </w:p>
    <w:p w14:paraId="7F1BC33B">
      <w:pPr>
        <w:pStyle w:val="25"/>
        <w:ind w:firstLine="482" w:firstLineChars="200"/>
        <w:rPr>
          <w:b/>
        </w:rPr>
      </w:pPr>
      <w:bookmarkStart w:id="1069" w:name="_Toc351203561"/>
      <w:bookmarkStart w:id="1070" w:name="_Toc256000217"/>
      <w:bookmarkStart w:id="1071" w:name="_Toc152264576"/>
      <w:r>
        <w:rPr>
          <w:b/>
        </w:rPr>
        <w:t>8</w:t>
      </w:r>
      <w:bookmarkStart w:id="1072" w:name="_Toc296503063"/>
      <w:bookmarkStart w:id="1073" w:name="_Toc337558781"/>
      <w:bookmarkStart w:id="1074" w:name="_Toc296346564"/>
      <w:r>
        <w:rPr>
          <w:b/>
        </w:rPr>
        <w:t>.9材料与设备专用</w:t>
      </w:r>
      <w:bookmarkEnd w:id="1069"/>
      <w:r>
        <w:rPr>
          <w:rFonts w:hint="eastAsia"/>
          <w:b/>
        </w:rPr>
        <w:t>要求</w:t>
      </w:r>
      <w:bookmarkEnd w:id="1070"/>
      <w:bookmarkEnd w:id="1071"/>
    </w:p>
    <w:bookmarkEnd w:id="1072"/>
    <w:bookmarkEnd w:id="1073"/>
    <w:bookmarkEnd w:id="1074"/>
    <w:p w14:paraId="730F776C">
      <w:pPr>
        <w:spacing w:line="400" w:lineRule="exact"/>
        <w:ind w:firstLine="420" w:firstLineChars="200"/>
      </w:pPr>
      <w:r>
        <w:t>承包人运入施工现场的材料、工程设备、施工设备以及在施工场地建设的临时设施，包括备品备件、安装工具与资料，必须专用于工程。未经发包人批准，承包人不得运出施工现场或挪作他用；</w:t>
      </w:r>
      <w:bookmarkEnd w:id="1037"/>
      <w:r>
        <w:t>经发包人批准，承包人可以根据施工进度计划撤走闲置的施工设备和其他物品。</w:t>
      </w:r>
    </w:p>
    <w:p w14:paraId="4539C2E4">
      <w:pPr>
        <w:pStyle w:val="23"/>
        <w:ind w:firstLine="640" w:firstLineChars="200"/>
        <w:rPr>
          <w:rFonts w:ascii="黑体" w:hAnsi="宋体" w:cs="黑体"/>
          <w:kern w:val="0"/>
          <w:sz w:val="32"/>
          <w:lang w:bidi="ar"/>
        </w:rPr>
      </w:pPr>
      <w:bookmarkStart w:id="1075" w:name="_Toc351203562"/>
      <w:bookmarkStart w:id="1076" w:name="_Toc256000218"/>
      <w:bookmarkStart w:id="1077" w:name="_Toc152264577"/>
      <w:r>
        <w:rPr>
          <w:rFonts w:hint="eastAsia" w:ascii="黑体" w:hAnsi="宋体" w:cs="黑体"/>
          <w:kern w:val="0"/>
          <w:sz w:val="32"/>
          <w:lang w:bidi="ar"/>
        </w:rPr>
        <w:t>9</w:t>
      </w:r>
      <w:bookmarkStart w:id="1078" w:name="_Toc337558782"/>
      <w:bookmarkStart w:id="1079" w:name="_Toc296346584"/>
      <w:bookmarkStart w:id="1080" w:name="_Toc296503083"/>
      <w:r>
        <w:rPr>
          <w:rFonts w:hint="eastAsia" w:ascii="黑体" w:hAnsi="宋体" w:cs="黑体"/>
          <w:kern w:val="0"/>
          <w:sz w:val="32"/>
          <w:lang w:bidi="ar"/>
        </w:rPr>
        <w:t>.试验与检验</w:t>
      </w:r>
      <w:bookmarkEnd w:id="1075"/>
      <w:bookmarkEnd w:id="1076"/>
      <w:bookmarkEnd w:id="1077"/>
    </w:p>
    <w:bookmarkEnd w:id="1078"/>
    <w:p w14:paraId="310D4BA4">
      <w:pPr>
        <w:pStyle w:val="25"/>
        <w:ind w:firstLine="482" w:firstLineChars="200"/>
        <w:rPr>
          <w:b/>
        </w:rPr>
      </w:pPr>
      <w:bookmarkStart w:id="1081" w:name="_Toc152264578"/>
      <w:bookmarkStart w:id="1082" w:name="_Toc256000219"/>
      <w:bookmarkStart w:id="1083" w:name="_Toc351203563"/>
      <w:r>
        <w:rPr>
          <w:b/>
        </w:rPr>
        <w:t>9</w:t>
      </w:r>
      <w:bookmarkStart w:id="1084" w:name="_Toc337558783"/>
      <w:r>
        <w:rPr>
          <w:b/>
        </w:rPr>
        <w:t>.1试验设备与试验人员</w:t>
      </w:r>
      <w:bookmarkEnd w:id="1081"/>
      <w:bookmarkEnd w:id="1082"/>
      <w:bookmarkEnd w:id="1083"/>
    </w:p>
    <w:bookmarkEnd w:id="1084"/>
    <w:p w14:paraId="065A37DB">
      <w:pPr>
        <w:spacing w:line="400" w:lineRule="exact"/>
        <w:ind w:firstLine="420" w:firstLineChars="200"/>
      </w:pPr>
      <w: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717D89B">
      <w:pPr>
        <w:spacing w:line="400" w:lineRule="exact"/>
        <w:ind w:firstLine="420" w:firstLineChars="200"/>
      </w:pPr>
      <w:r>
        <w:t>9.1.2 承包人应按专用合同条款的约定提供试验设备、取样装置、试验场所和试验条件，并向监理人提交相应进场计划表。</w:t>
      </w:r>
    </w:p>
    <w:p w14:paraId="2D6480B1">
      <w:pPr>
        <w:spacing w:line="400" w:lineRule="exact"/>
        <w:ind w:firstLine="420" w:firstLineChars="200"/>
      </w:pPr>
      <w:r>
        <w:t>承包人配置的试验设备要符合相应试验规程的要求并经过具有资质的检测单位检测，且在正式使用该试验设备前，需要经过监理人与承包人共同校定。</w:t>
      </w:r>
    </w:p>
    <w:p w14:paraId="10A01EDA">
      <w:pPr>
        <w:spacing w:line="400" w:lineRule="exact"/>
        <w:ind w:firstLine="420" w:firstLineChars="200"/>
      </w:pPr>
      <w:r>
        <w:t>9.1.3 承包人应向监理人提交试验人员的名单及其岗位、资格等证明资料，试验人员必须能够熟练进行相应的检测试验，承包人对试验人员的试验程序和试验结果的正确性负责。</w:t>
      </w:r>
    </w:p>
    <w:p w14:paraId="4A6F128A">
      <w:pPr>
        <w:pStyle w:val="25"/>
        <w:ind w:firstLine="482" w:firstLineChars="200"/>
        <w:rPr>
          <w:b/>
        </w:rPr>
      </w:pPr>
      <w:bookmarkStart w:id="1085" w:name="_Toc256000220"/>
      <w:bookmarkStart w:id="1086" w:name="_Toc152264579"/>
      <w:bookmarkStart w:id="1087" w:name="_Toc351203564"/>
      <w:r>
        <w:rPr>
          <w:b/>
        </w:rPr>
        <w:t>9</w:t>
      </w:r>
      <w:bookmarkStart w:id="1088" w:name="_Toc337558784"/>
      <w:r>
        <w:rPr>
          <w:b/>
        </w:rPr>
        <w:t>.2取样</w:t>
      </w:r>
      <w:bookmarkEnd w:id="1085"/>
      <w:bookmarkEnd w:id="1086"/>
      <w:bookmarkEnd w:id="1087"/>
    </w:p>
    <w:bookmarkEnd w:id="1088"/>
    <w:p w14:paraId="68227E90">
      <w:pPr>
        <w:spacing w:line="400" w:lineRule="exact"/>
        <w:ind w:firstLine="420" w:firstLineChars="200"/>
      </w:pPr>
      <w:r>
        <w:t>试验属于自检性质的，承包人可以单独取样。试验属于监理人抽检性质的，可由监理人取样，也可由承包人的试验人员在监理人的监督下取样。</w:t>
      </w:r>
    </w:p>
    <w:p w14:paraId="5C9CEE22">
      <w:pPr>
        <w:pStyle w:val="25"/>
        <w:ind w:firstLine="482" w:firstLineChars="200"/>
        <w:rPr>
          <w:b/>
        </w:rPr>
      </w:pPr>
      <w:bookmarkStart w:id="1089" w:name="_Toc256000221"/>
      <w:bookmarkStart w:id="1090" w:name="_Toc351203565"/>
      <w:bookmarkStart w:id="1091" w:name="_Toc152264580"/>
      <w:r>
        <w:rPr>
          <w:b/>
        </w:rPr>
        <w:t>9</w:t>
      </w:r>
      <w:bookmarkStart w:id="1092" w:name="_Toc337558785"/>
      <w:r>
        <w:rPr>
          <w:b/>
        </w:rPr>
        <w:t>.3材料、工程设备和工程的试验和检验</w:t>
      </w:r>
      <w:bookmarkEnd w:id="1089"/>
      <w:bookmarkEnd w:id="1090"/>
      <w:bookmarkEnd w:id="1091"/>
    </w:p>
    <w:bookmarkEnd w:id="1092"/>
    <w:p w14:paraId="21BC0623">
      <w:pPr>
        <w:spacing w:line="400" w:lineRule="exact"/>
        <w:ind w:firstLine="420" w:firstLineChars="200"/>
      </w:pPr>
      <w: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2B4B3FA">
      <w:pPr>
        <w:spacing w:line="400" w:lineRule="exact"/>
        <w:ind w:firstLine="420" w:firstLineChars="200"/>
      </w:pPr>
      <w: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FAA588">
      <w:pPr>
        <w:spacing w:line="400" w:lineRule="exact"/>
        <w:ind w:firstLine="420" w:firstLineChars="200"/>
      </w:pPr>
      <w: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51ADF24">
      <w:pPr>
        <w:pStyle w:val="25"/>
        <w:ind w:firstLine="482" w:firstLineChars="200"/>
        <w:rPr>
          <w:b/>
        </w:rPr>
      </w:pPr>
      <w:bookmarkStart w:id="1093" w:name="_Toc256000222"/>
      <w:bookmarkStart w:id="1094" w:name="_Toc152264581"/>
      <w:bookmarkStart w:id="1095" w:name="_Toc351203566"/>
      <w:r>
        <w:rPr>
          <w:b/>
        </w:rPr>
        <w:t>9</w:t>
      </w:r>
      <w:bookmarkStart w:id="1096" w:name="_Toc337558786"/>
      <w:r>
        <w:rPr>
          <w:b/>
        </w:rPr>
        <w:t>.4现场工艺试验</w:t>
      </w:r>
      <w:bookmarkEnd w:id="1093"/>
      <w:bookmarkEnd w:id="1094"/>
      <w:bookmarkEnd w:id="1095"/>
    </w:p>
    <w:bookmarkEnd w:id="1096"/>
    <w:p w14:paraId="6FB9B886">
      <w:pPr>
        <w:spacing w:line="400" w:lineRule="exact"/>
        <w:ind w:firstLine="420" w:firstLineChars="200"/>
      </w:pPr>
      <w:r>
        <w:t>承包人应按合同约定或监理人指示进行现场工艺试验。对大型的现场工艺试验，监理人认为必要时，承包人应根据监理人提出的工艺试验要求，编制工艺试验措施计划，报送监理人审查。</w:t>
      </w:r>
      <w:bookmarkStart w:id="1097" w:name="_Toc351203567"/>
    </w:p>
    <w:p w14:paraId="787112D0">
      <w:pPr>
        <w:spacing w:line="400" w:lineRule="exact"/>
        <w:ind w:firstLine="640" w:firstLineChars="200"/>
        <w:rPr>
          <w:rFonts w:ascii="黑体" w:hAnsi="宋体" w:eastAsia="黑体" w:cs="黑体"/>
          <w:kern w:val="0"/>
          <w:sz w:val="32"/>
          <w:szCs w:val="20"/>
          <w:lang w:bidi="ar"/>
        </w:rPr>
      </w:pPr>
      <w:r>
        <w:rPr>
          <w:rFonts w:hint="eastAsia" w:ascii="黑体" w:hAnsi="宋体" w:eastAsia="黑体" w:cs="黑体"/>
          <w:kern w:val="0"/>
          <w:sz w:val="32"/>
          <w:szCs w:val="20"/>
          <w:lang w:bidi="ar"/>
        </w:rPr>
        <w:t>1</w:t>
      </w:r>
      <w:bookmarkStart w:id="1098" w:name="_Toc337558787"/>
      <w:r>
        <w:rPr>
          <w:rFonts w:hint="eastAsia" w:ascii="黑体" w:hAnsi="宋体" w:eastAsia="黑体" w:cs="黑体"/>
          <w:kern w:val="0"/>
          <w:sz w:val="32"/>
          <w:szCs w:val="20"/>
          <w:lang w:bidi="ar"/>
        </w:rPr>
        <w:t>0.变更</w:t>
      </w:r>
      <w:bookmarkEnd w:id="1079"/>
      <w:bookmarkEnd w:id="1080"/>
      <w:bookmarkEnd w:id="1097"/>
    </w:p>
    <w:bookmarkEnd w:id="1098"/>
    <w:p w14:paraId="2B784D04">
      <w:pPr>
        <w:pStyle w:val="25"/>
        <w:ind w:firstLine="482" w:firstLineChars="200"/>
        <w:rPr>
          <w:b/>
        </w:rPr>
      </w:pPr>
      <w:bookmarkStart w:id="1099" w:name="_Toc152264582"/>
      <w:bookmarkStart w:id="1100" w:name="_Toc256000223"/>
      <w:bookmarkStart w:id="1101" w:name="_Toc351203568"/>
      <w:r>
        <w:rPr>
          <w:b/>
        </w:rPr>
        <w:t>1</w:t>
      </w:r>
      <w:bookmarkStart w:id="1102" w:name="_Toc337558788"/>
      <w:bookmarkStart w:id="1103" w:name="_Toc296503084"/>
      <w:bookmarkStart w:id="1104" w:name="_Toc296346585"/>
      <w:r>
        <w:rPr>
          <w:b/>
        </w:rPr>
        <w:t>0.1变更的范围</w:t>
      </w:r>
      <w:bookmarkEnd w:id="1099"/>
      <w:bookmarkEnd w:id="1100"/>
      <w:bookmarkEnd w:id="1101"/>
    </w:p>
    <w:bookmarkEnd w:id="1102"/>
    <w:bookmarkEnd w:id="1103"/>
    <w:bookmarkEnd w:id="1104"/>
    <w:p w14:paraId="4D647A3B">
      <w:pPr>
        <w:spacing w:line="400" w:lineRule="exact"/>
        <w:ind w:firstLine="420" w:firstLineChars="200"/>
      </w:pPr>
      <w:r>
        <w:t>除专用合同条款另有约定外，合同履行过程中发生以下情形的，应按照本条约定进行变更：</w:t>
      </w:r>
    </w:p>
    <w:p w14:paraId="016F085A">
      <w:pPr>
        <w:spacing w:line="400" w:lineRule="exact"/>
        <w:ind w:firstLine="420" w:firstLineChars="200"/>
      </w:pPr>
      <w:r>
        <w:t>（1）增加或减少合同中任何工作，或追加额外的工作；</w:t>
      </w:r>
    </w:p>
    <w:p w14:paraId="1D340BCA">
      <w:pPr>
        <w:spacing w:line="400" w:lineRule="exact"/>
        <w:ind w:firstLine="420" w:firstLineChars="200"/>
      </w:pPr>
      <w:r>
        <w:t>（2）取消合同中任何工作，但转由他人实施的工作除外；</w:t>
      </w:r>
    </w:p>
    <w:p w14:paraId="312C9B3E">
      <w:pPr>
        <w:spacing w:line="400" w:lineRule="exact"/>
        <w:ind w:firstLine="420" w:firstLineChars="200"/>
      </w:pPr>
      <w:r>
        <w:t>（3）改变合同中任何工作的质量标准或其他特性；</w:t>
      </w:r>
    </w:p>
    <w:p w14:paraId="3EFC7785">
      <w:pPr>
        <w:spacing w:line="400" w:lineRule="exact"/>
        <w:ind w:firstLine="420" w:firstLineChars="200"/>
      </w:pPr>
      <w:r>
        <w:t>（4）改变工程的基线、标高、位置和尺寸；</w:t>
      </w:r>
    </w:p>
    <w:p w14:paraId="042D8089">
      <w:pPr>
        <w:spacing w:line="400" w:lineRule="exact"/>
        <w:ind w:firstLine="420" w:firstLineChars="200"/>
      </w:pPr>
      <w:r>
        <w:t>（5）改变工程的时间安排或实施顺序。</w:t>
      </w:r>
    </w:p>
    <w:p w14:paraId="619144FB">
      <w:pPr>
        <w:pStyle w:val="25"/>
        <w:ind w:firstLine="482" w:firstLineChars="200"/>
        <w:rPr>
          <w:b/>
        </w:rPr>
      </w:pPr>
      <w:bookmarkStart w:id="1105" w:name="_Toc351203569"/>
      <w:bookmarkStart w:id="1106" w:name="_Toc256000224"/>
      <w:bookmarkStart w:id="1107" w:name="_Toc152264583"/>
      <w:r>
        <w:rPr>
          <w:b/>
        </w:rPr>
        <w:t>1</w:t>
      </w:r>
      <w:bookmarkStart w:id="1108" w:name="_Toc296503085"/>
      <w:bookmarkStart w:id="1109" w:name="_Toc296346586"/>
      <w:bookmarkStart w:id="1110" w:name="_Toc337558789"/>
      <w:r>
        <w:rPr>
          <w:b/>
        </w:rPr>
        <w:t>0.2变更权</w:t>
      </w:r>
      <w:bookmarkEnd w:id="1105"/>
      <w:bookmarkEnd w:id="1106"/>
      <w:bookmarkEnd w:id="1107"/>
    </w:p>
    <w:bookmarkEnd w:id="1108"/>
    <w:bookmarkEnd w:id="1109"/>
    <w:bookmarkEnd w:id="1110"/>
    <w:p w14:paraId="622D36BC">
      <w:pPr>
        <w:spacing w:line="400" w:lineRule="exact"/>
        <w:ind w:firstLine="420" w:firstLineChars="200"/>
      </w:pPr>
      <w: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19E8A0B">
      <w:pPr>
        <w:spacing w:line="400" w:lineRule="exact"/>
        <w:ind w:firstLine="420" w:firstLineChars="200"/>
      </w:pPr>
      <w:r>
        <w:t>涉及设计变更的，应由设计人提供变更后的图纸和说明。如变更超过原设计标准或批准的建设规模时，发包人应及时办理规划、设计变更</w:t>
      </w:r>
      <w:r>
        <w:rPr>
          <w:rFonts w:hint="eastAsia"/>
        </w:rPr>
        <w:t>等</w:t>
      </w:r>
      <w:r>
        <w:t>审批手续。</w:t>
      </w:r>
    </w:p>
    <w:p w14:paraId="0BA0F79D">
      <w:pPr>
        <w:pStyle w:val="25"/>
        <w:ind w:firstLine="482" w:firstLineChars="200"/>
        <w:rPr>
          <w:b/>
        </w:rPr>
      </w:pPr>
      <w:bookmarkStart w:id="1111" w:name="_Toc351203570"/>
      <w:bookmarkStart w:id="1112" w:name="_Toc152264584"/>
      <w:bookmarkStart w:id="1113" w:name="_Toc256000225"/>
      <w:r>
        <w:rPr>
          <w:b/>
        </w:rPr>
        <w:t>1</w:t>
      </w:r>
      <w:bookmarkStart w:id="1114" w:name="_Toc337558790"/>
      <w:bookmarkStart w:id="1115" w:name="_Toc296503086"/>
      <w:bookmarkStart w:id="1116" w:name="_Toc296346587"/>
      <w:r>
        <w:rPr>
          <w:b/>
        </w:rPr>
        <w:t>0.3变更程序</w:t>
      </w:r>
      <w:bookmarkEnd w:id="1111"/>
      <w:bookmarkEnd w:id="1112"/>
      <w:bookmarkEnd w:id="1113"/>
    </w:p>
    <w:bookmarkEnd w:id="1114"/>
    <w:bookmarkEnd w:id="1115"/>
    <w:bookmarkEnd w:id="1116"/>
    <w:p w14:paraId="43EFE0D7">
      <w:pPr>
        <w:spacing w:line="400" w:lineRule="exact"/>
        <w:ind w:firstLine="420" w:firstLineChars="200"/>
      </w:pPr>
      <w:r>
        <w:t>10.3.1 发包人提出变更</w:t>
      </w:r>
    </w:p>
    <w:p w14:paraId="056A5C18">
      <w:pPr>
        <w:spacing w:line="400" w:lineRule="exact"/>
        <w:ind w:firstLine="420" w:firstLineChars="200"/>
      </w:pPr>
      <w:r>
        <w:t>发包人提出变更的，应通过监理人向承包人发出变更指示，变更指示应说明计划变更的工程范围和变更的内容。</w:t>
      </w:r>
    </w:p>
    <w:p w14:paraId="1527E8F6">
      <w:pPr>
        <w:spacing w:line="400" w:lineRule="exact"/>
        <w:ind w:firstLine="420" w:firstLineChars="200"/>
      </w:pPr>
      <w:r>
        <w:t>10.3.2 监理人提出变更建议</w:t>
      </w:r>
    </w:p>
    <w:p w14:paraId="3EC8FBFF">
      <w:pPr>
        <w:spacing w:line="400" w:lineRule="exact"/>
        <w:ind w:firstLine="420" w:firstLineChars="200"/>
      </w:pPr>
      <w: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39943AD">
      <w:pPr>
        <w:spacing w:line="400" w:lineRule="exact"/>
        <w:ind w:firstLine="420" w:firstLineChars="200"/>
      </w:pPr>
      <w:r>
        <w:rPr>
          <w:rFonts w:hint="eastAsia"/>
        </w:rPr>
        <w:t>10.3.3 变更执行</w:t>
      </w:r>
    </w:p>
    <w:p w14:paraId="6264A5CB">
      <w:pPr>
        <w:spacing w:line="400" w:lineRule="exact"/>
        <w:ind w:firstLine="420" w:firstLineChars="200"/>
      </w:pPr>
      <w:r>
        <w:t>承包人收到监理人下达的变更指示后，</w:t>
      </w:r>
      <w:r>
        <w:rPr>
          <w:rFonts w:hint="eastAsia"/>
        </w:rPr>
        <w:t>认为不能执行，应立即</w:t>
      </w:r>
      <w:r>
        <w:t>提出不能执行该变更指示的理由。承包人</w:t>
      </w:r>
      <w:r>
        <w:rPr>
          <w:rFonts w:hint="eastAsia"/>
        </w:rPr>
        <w:t>认为可以</w:t>
      </w:r>
      <w:r>
        <w:t>执行变更的，</w:t>
      </w:r>
      <w:r>
        <w:rPr>
          <w:rFonts w:hint="eastAsia"/>
        </w:rPr>
        <w:t>应当书面说明实施该变更指示对合同价格和工期的影响，且合同当事人应当按照第10.4款〔变更估价〕约定确定变更估价</w:t>
      </w:r>
      <w:r>
        <w:t>。</w:t>
      </w:r>
    </w:p>
    <w:p w14:paraId="15D0DC61">
      <w:pPr>
        <w:pStyle w:val="25"/>
        <w:ind w:firstLine="482" w:firstLineChars="200"/>
        <w:rPr>
          <w:b/>
        </w:rPr>
      </w:pPr>
      <w:bookmarkStart w:id="1117" w:name="_Toc351203571"/>
      <w:bookmarkStart w:id="1118" w:name="_Toc256000226"/>
      <w:bookmarkStart w:id="1119" w:name="_Toc152264585"/>
      <w:r>
        <w:rPr>
          <w:b/>
        </w:rPr>
        <w:t>1</w:t>
      </w:r>
      <w:bookmarkStart w:id="1120" w:name="_Toc296503087"/>
      <w:bookmarkStart w:id="1121" w:name="_Toc296346588"/>
      <w:bookmarkStart w:id="1122" w:name="_Toc337558791"/>
      <w:r>
        <w:rPr>
          <w:b/>
        </w:rPr>
        <w:t>0.4变更估价</w:t>
      </w:r>
      <w:bookmarkEnd w:id="1117"/>
      <w:bookmarkEnd w:id="1118"/>
      <w:bookmarkEnd w:id="1119"/>
    </w:p>
    <w:bookmarkEnd w:id="1120"/>
    <w:bookmarkEnd w:id="1121"/>
    <w:bookmarkEnd w:id="1122"/>
    <w:p w14:paraId="5C298140">
      <w:pPr>
        <w:spacing w:line="400" w:lineRule="exact"/>
        <w:ind w:firstLine="420" w:firstLineChars="200"/>
      </w:pPr>
      <w:r>
        <w:rPr>
          <w:rFonts w:hint="eastAsia"/>
        </w:rPr>
        <w:t>10.4.1 变更估价原则</w:t>
      </w:r>
    </w:p>
    <w:p w14:paraId="23456FAB">
      <w:pPr>
        <w:spacing w:line="400" w:lineRule="exact"/>
        <w:ind w:firstLine="420" w:firstLineChars="200"/>
      </w:pPr>
      <w:r>
        <w:t>除专用合同条款另有约定外，变更估价按照本款约定处理：</w:t>
      </w:r>
    </w:p>
    <w:p w14:paraId="27A6E01C">
      <w:pPr>
        <w:spacing w:line="400" w:lineRule="exact"/>
        <w:ind w:firstLine="420" w:firstLineChars="200"/>
      </w:pPr>
      <w:r>
        <w:t>（1）已标价工程量清单或预算书有相同项目的，按照相同项目单价认定；</w:t>
      </w:r>
    </w:p>
    <w:p w14:paraId="4A0F443E">
      <w:pPr>
        <w:spacing w:line="400" w:lineRule="exact"/>
        <w:ind w:firstLine="420" w:firstLineChars="200"/>
      </w:pPr>
      <w:r>
        <w:t>（2）已标价工程量清单或预算书中无相同项目，但有类似项目的，参照类似项目的单价认定；</w:t>
      </w:r>
    </w:p>
    <w:p w14:paraId="2DA7D3D9">
      <w:pPr>
        <w:spacing w:line="400" w:lineRule="exact"/>
        <w:ind w:firstLine="420" w:firstLineChars="200"/>
      </w:pPr>
      <w: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rPr>
        <w:t>〔</w:t>
      </w:r>
      <w:r>
        <w:t>商定或确定</w:t>
      </w:r>
      <w:r>
        <w:rPr>
          <w:rFonts w:hint="eastAsia"/>
        </w:rPr>
        <w:t>〕</w:t>
      </w:r>
      <w:r>
        <w:t>确定变更工作的单价。</w:t>
      </w:r>
    </w:p>
    <w:p w14:paraId="60E2EAD2">
      <w:pPr>
        <w:spacing w:line="400" w:lineRule="exact"/>
        <w:ind w:firstLine="420" w:firstLineChars="200"/>
      </w:pPr>
      <w:r>
        <w:rPr>
          <w:rFonts w:hint="eastAsia"/>
        </w:rPr>
        <w:t>10.4.2 变更估价程序</w:t>
      </w:r>
    </w:p>
    <w:p w14:paraId="7D87040D">
      <w:pPr>
        <w:spacing w:line="400" w:lineRule="exact"/>
        <w:ind w:firstLine="420" w:firstLineChars="200"/>
      </w:pPr>
      <w:r>
        <w:rPr>
          <w:rFonts w:hint="eastAsia"/>
        </w:rPr>
        <w:t>承包人应在收到变更指示后14天内，向监理人提交变更估价申请。监理人应在收到承包人提交的变更估价申请后7天内审查完毕并报送发包人，监理人对变更估价申请有异议</w:t>
      </w:r>
      <w:r>
        <w:t>，通知承包人</w:t>
      </w:r>
      <w:r>
        <w:rPr>
          <w:rFonts w:hint="eastAsia"/>
        </w:rPr>
        <w:t>修</w:t>
      </w:r>
      <w:r>
        <w:t>改</w:t>
      </w:r>
      <w:r>
        <w:rPr>
          <w:rFonts w:hint="eastAsia"/>
        </w:rPr>
        <w:t>后重新提交</w:t>
      </w:r>
      <w:r>
        <w:t>。发包人应在</w:t>
      </w:r>
      <w:r>
        <w:rPr>
          <w:rFonts w:hint="eastAsia"/>
        </w:rPr>
        <w:t>承包人提交变更估价申请</w:t>
      </w:r>
      <w:r>
        <w:t>后</w:t>
      </w:r>
      <w:r>
        <w:rPr>
          <w:rFonts w:hint="eastAsia"/>
        </w:rPr>
        <w:t>14</w:t>
      </w:r>
      <w:r>
        <w:t>天内审批完毕。</w:t>
      </w:r>
      <w:r>
        <w:rPr>
          <w:rFonts w:hint="eastAsia"/>
        </w:rPr>
        <w:t>发包人逾期未完成审批或未提出异议的，视为认可承包人提交的变更估价申请。</w:t>
      </w:r>
    </w:p>
    <w:p w14:paraId="713B1E8F">
      <w:pPr>
        <w:spacing w:line="400" w:lineRule="exact"/>
        <w:ind w:firstLine="420" w:firstLineChars="200"/>
      </w:pPr>
      <w:r>
        <w:t>因变更引起的价格调整应计入最近一期的进度款中支付。</w:t>
      </w:r>
    </w:p>
    <w:p w14:paraId="5D0E2430">
      <w:pPr>
        <w:pStyle w:val="25"/>
        <w:ind w:firstLine="482" w:firstLineChars="200"/>
        <w:rPr>
          <w:b/>
        </w:rPr>
      </w:pPr>
      <w:bookmarkStart w:id="1123" w:name="_Toc152264586"/>
      <w:bookmarkStart w:id="1124" w:name="_Toc256000227"/>
      <w:bookmarkStart w:id="1125" w:name="_Toc351203572"/>
      <w:r>
        <w:rPr>
          <w:b/>
        </w:rPr>
        <w:t>1</w:t>
      </w:r>
      <w:bookmarkStart w:id="1126" w:name="_Toc296346595"/>
      <w:bookmarkStart w:id="1127" w:name="_Toc296503094"/>
      <w:bookmarkStart w:id="1128" w:name="_Toc337558792"/>
      <w:r>
        <w:rPr>
          <w:b/>
        </w:rPr>
        <w:t>0.5承包人的合理化建议</w:t>
      </w:r>
      <w:bookmarkEnd w:id="1123"/>
      <w:bookmarkEnd w:id="1124"/>
      <w:bookmarkEnd w:id="1125"/>
    </w:p>
    <w:bookmarkEnd w:id="1126"/>
    <w:bookmarkEnd w:id="1127"/>
    <w:bookmarkEnd w:id="1128"/>
    <w:p w14:paraId="1C8862D3">
      <w:pPr>
        <w:spacing w:line="400" w:lineRule="exact"/>
        <w:ind w:firstLine="420" w:firstLineChars="200"/>
      </w:pPr>
      <w:r>
        <w:t>承包人提出合理化建议的，应向监理人提交合理化建议说明，说明建议的内容和理由，以及实施该建议对合同价格和工期的影响。</w:t>
      </w:r>
    </w:p>
    <w:p w14:paraId="558427D0">
      <w:pPr>
        <w:spacing w:line="400" w:lineRule="exact"/>
        <w:ind w:firstLine="420" w:firstLineChars="200"/>
      </w:pPr>
      <w: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rPr>
        <w:t>〔</w:t>
      </w:r>
      <w:r>
        <w:t>变更估价</w:t>
      </w:r>
      <w:r>
        <w:rPr>
          <w:rFonts w:hint="eastAsia"/>
        </w:rPr>
        <w:t>〕</w:t>
      </w:r>
      <w:r>
        <w:t>约定执行。发包人不同意变更的，监理人应书面通知承包人。</w:t>
      </w:r>
    </w:p>
    <w:p w14:paraId="4D2F1145">
      <w:pPr>
        <w:spacing w:line="400" w:lineRule="exact"/>
        <w:ind w:firstLine="420" w:firstLineChars="200"/>
      </w:pPr>
      <w:r>
        <w:t>合理化建议降低了合同价格或者提高了工程经济效益的，发包人可对承包人给予奖励，奖励的方法和金额在专用合同条款中约定。</w:t>
      </w:r>
    </w:p>
    <w:p w14:paraId="33B92055">
      <w:pPr>
        <w:pStyle w:val="25"/>
        <w:ind w:firstLine="482" w:firstLineChars="200"/>
        <w:rPr>
          <w:b/>
        </w:rPr>
      </w:pPr>
      <w:bookmarkStart w:id="1129" w:name="_Toc351203573"/>
      <w:bookmarkStart w:id="1130" w:name="_Toc152264587"/>
      <w:bookmarkStart w:id="1131" w:name="_Toc256000228"/>
      <w:r>
        <w:rPr>
          <w:b/>
        </w:rPr>
        <w:t>1</w:t>
      </w:r>
      <w:bookmarkStart w:id="1132" w:name="_Toc337558793"/>
      <w:r>
        <w:rPr>
          <w:b/>
        </w:rPr>
        <w:t>0.6变更引起的工期调整</w:t>
      </w:r>
      <w:bookmarkEnd w:id="1129"/>
      <w:bookmarkEnd w:id="1130"/>
      <w:bookmarkEnd w:id="1131"/>
      <w:r>
        <w:rPr>
          <w:b/>
        </w:rPr>
        <w:t xml:space="preserve"> </w:t>
      </w:r>
      <w:bookmarkEnd w:id="1132"/>
      <w:r>
        <w:rPr>
          <w:b/>
        </w:rPr>
        <w:t xml:space="preserve">  </w:t>
      </w:r>
    </w:p>
    <w:p w14:paraId="0360EC77">
      <w:pPr>
        <w:spacing w:line="400" w:lineRule="exact"/>
        <w:ind w:firstLine="420" w:firstLineChars="200"/>
      </w:pPr>
      <w:r>
        <w:t>因变更引起工期变化的，合同当事人均可要求调整合同工期，由合同当事人按照第4.4款</w:t>
      </w:r>
      <w:r>
        <w:rPr>
          <w:rFonts w:hint="eastAsia"/>
        </w:rPr>
        <w:t>〔</w:t>
      </w:r>
      <w:r>
        <w:t>商定或确定</w:t>
      </w:r>
      <w:r>
        <w:rPr>
          <w:rFonts w:hint="eastAsia"/>
        </w:rPr>
        <w:t>〕</w:t>
      </w:r>
      <w:r>
        <w:t>并参考工程所在地的工期定额标准确定增减工期天数。</w:t>
      </w:r>
    </w:p>
    <w:p w14:paraId="5911F786">
      <w:pPr>
        <w:pStyle w:val="25"/>
        <w:ind w:firstLine="482" w:firstLineChars="200"/>
        <w:rPr>
          <w:b/>
        </w:rPr>
      </w:pPr>
      <w:bookmarkStart w:id="1133" w:name="_Toc152264588"/>
      <w:bookmarkStart w:id="1134" w:name="_Toc351203574"/>
      <w:bookmarkStart w:id="1135" w:name="_Toc256000229"/>
      <w:r>
        <w:rPr>
          <w:b/>
        </w:rPr>
        <w:t>10.7暂估价</w:t>
      </w:r>
      <w:bookmarkEnd w:id="1133"/>
      <w:bookmarkEnd w:id="1134"/>
      <w:bookmarkEnd w:id="1135"/>
    </w:p>
    <w:p w14:paraId="0E010C1E">
      <w:pPr>
        <w:spacing w:line="400" w:lineRule="exact"/>
        <w:ind w:firstLine="420" w:firstLineChars="200"/>
      </w:pPr>
      <w:r>
        <w:t>暂估价专业分包工程、</w:t>
      </w:r>
      <w:r>
        <w:rPr>
          <w:rFonts w:hint="eastAsia"/>
        </w:rPr>
        <w:t>服务、</w:t>
      </w:r>
      <w:r>
        <w:t>材料和工程设备的明细由合同当事人在专用合同条款中约定。</w:t>
      </w:r>
    </w:p>
    <w:p w14:paraId="4537AA0E">
      <w:pPr>
        <w:spacing w:line="400" w:lineRule="exact"/>
        <w:ind w:firstLine="420" w:firstLineChars="200"/>
      </w:pPr>
      <w:r>
        <w:t>10.7.1 依法必须招标的暂估价项目</w:t>
      </w:r>
    </w:p>
    <w:p w14:paraId="10686969">
      <w:pPr>
        <w:spacing w:line="400" w:lineRule="exact"/>
        <w:ind w:firstLine="420" w:firstLineChars="200"/>
      </w:pPr>
      <w:r>
        <w:t>对于依法必须招标的暂估价项目，采取以下第1种方式确定</w:t>
      </w:r>
      <w:r>
        <w:rPr>
          <w:rFonts w:hint="eastAsia"/>
        </w:rPr>
        <w:t>。合同当事人也可以在</w:t>
      </w:r>
      <w:r>
        <w:t>专用合同条款</w:t>
      </w:r>
      <w:r>
        <w:rPr>
          <w:rFonts w:hint="eastAsia"/>
        </w:rPr>
        <w:t>中选择其他招标方式。</w:t>
      </w:r>
    </w:p>
    <w:p w14:paraId="190CC084">
      <w:pPr>
        <w:spacing w:line="400" w:lineRule="exact"/>
        <w:ind w:firstLine="420" w:firstLineChars="200"/>
      </w:pPr>
      <w:r>
        <w:t>第1种方式：对于依法必须招标的暂估价项目，由承包人招标，对该暂估价项目的确认和批准按照以下约定执行：</w:t>
      </w:r>
    </w:p>
    <w:p w14:paraId="3AF683E0">
      <w:pPr>
        <w:spacing w:line="400" w:lineRule="exact"/>
        <w:ind w:firstLine="420" w:firstLineChars="200"/>
      </w:pPr>
      <w: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76F2E0F">
      <w:pPr>
        <w:spacing w:line="400" w:lineRule="exact"/>
        <w:ind w:firstLine="420" w:firstLineChars="200"/>
      </w:pPr>
      <w:r>
        <w:t>（2）承包人应当根据施工进度计划，提前14天将招标文件通过监理人报送发包人审批，发包人应当在收到承包人报送的相关文件后7天内完成审批或提出修改意见；发包人有权确定招标控制价</w:t>
      </w:r>
      <w:r>
        <w:rPr>
          <w:rFonts w:hint="eastAsia"/>
        </w:rPr>
        <w:t>并按照法律规定参加评标</w:t>
      </w:r>
      <w:r>
        <w:t>；</w:t>
      </w:r>
    </w:p>
    <w:p w14:paraId="0E2E9036">
      <w:pPr>
        <w:spacing w:line="400" w:lineRule="exact"/>
        <w:ind w:firstLine="420" w:firstLineChars="200"/>
      </w:pPr>
      <w: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4795A83">
      <w:pPr>
        <w:spacing w:line="400" w:lineRule="exact"/>
        <w:ind w:firstLine="420" w:firstLineChars="200"/>
      </w:pPr>
      <w: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270C41D">
      <w:pPr>
        <w:spacing w:line="400" w:lineRule="exact"/>
        <w:ind w:firstLine="420" w:firstLineChars="200"/>
      </w:pPr>
      <w:r>
        <w:t>10.7.2不属于依法必须招标的暂估价项目</w:t>
      </w:r>
    </w:p>
    <w:p w14:paraId="73452B41">
      <w:pPr>
        <w:spacing w:line="400" w:lineRule="exact"/>
        <w:ind w:firstLine="420" w:firstLineChars="200"/>
      </w:pPr>
      <w:r>
        <w:t>除专用合同条款另有约定外，对于不属于依法必须招标的暂估价项目，采取以下第1种方式确定：</w:t>
      </w:r>
      <w:r>
        <w:rPr>
          <w:rFonts w:hint="eastAsia"/>
        </w:rPr>
        <w:t xml:space="preserve"> </w:t>
      </w:r>
    </w:p>
    <w:p w14:paraId="37838A9A">
      <w:pPr>
        <w:spacing w:line="400" w:lineRule="exact"/>
        <w:ind w:firstLine="420" w:firstLineChars="200"/>
      </w:pPr>
      <w:r>
        <w:t>第1种方式：对于不属于依法必须招标的暂估价项目，按本项约定确认和批准：</w:t>
      </w:r>
    </w:p>
    <w:p w14:paraId="50CBEF3D">
      <w:pPr>
        <w:spacing w:line="400" w:lineRule="exact"/>
        <w:ind w:firstLine="420" w:firstLineChars="200"/>
      </w:pPr>
      <w: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05959AA">
      <w:pPr>
        <w:spacing w:line="400" w:lineRule="exact"/>
        <w:ind w:firstLine="420" w:firstLineChars="200"/>
      </w:pPr>
      <w:r>
        <w:t>（2）发包人认为承包人确定的供应商、分包人无法满足工程质量或合同要求的，发包人可以要求承包人重新确定暂估价项目的供应商、分包人;</w:t>
      </w:r>
    </w:p>
    <w:p w14:paraId="64F6FF4E">
      <w:pPr>
        <w:spacing w:line="400" w:lineRule="exact"/>
        <w:ind w:firstLine="420" w:firstLineChars="200"/>
      </w:pPr>
      <w:r>
        <w:t>（3）承包人应当在签订暂估价合同后7天内，将暂估价合同副本报送发包人留存。</w:t>
      </w:r>
    </w:p>
    <w:p w14:paraId="1267AB8D">
      <w:pPr>
        <w:spacing w:line="400" w:lineRule="exact"/>
        <w:ind w:firstLine="420" w:firstLineChars="200"/>
      </w:pPr>
      <w:r>
        <w:t>第2种方式：承包人按照第10.7.1项</w:t>
      </w:r>
      <w:r>
        <w:rPr>
          <w:rFonts w:hint="eastAsia"/>
        </w:rPr>
        <w:t>〔</w:t>
      </w:r>
      <w:r>
        <w:t>依法必须招标的暂估价项目</w:t>
      </w:r>
      <w:r>
        <w:rPr>
          <w:rFonts w:hint="eastAsia"/>
        </w:rPr>
        <w:t>〕</w:t>
      </w:r>
      <w:r>
        <w:t>约定的第1种方式确定暂估价项目。</w:t>
      </w:r>
    </w:p>
    <w:p w14:paraId="08E364B9">
      <w:pPr>
        <w:spacing w:line="400" w:lineRule="exact"/>
        <w:ind w:firstLine="420" w:firstLineChars="200"/>
      </w:pPr>
      <w:r>
        <w:t>第3种方式：承包人直接实施的暂估价项目</w:t>
      </w:r>
    </w:p>
    <w:p w14:paraId="03C997F3">
      <w:pPr>
        <w:spacing w:line="400" w:lineRule="exact"/>
        <w:ind w:firstLine="420" w:firstLineChars="200"/>
      </w:pPr>
      <w:r>
        <w:t>承包人具备实施暂估价项目的资格和条件的，经发包人和承包人协商一致后，可由承包人自行实施暂估价项目，合同当事人可以在专用合同条款约定具体事项。</w:t>
      </w:r>
    </w:p>
    <w:p w14:paraId="229CB069">
      <w:pPr>
        <w:spacing w:line="400" w:lineRule="exact"/>
        <w:ind w:firstLine="420" w:firstLineChars="200"/>
      </w:pPr>
      <w: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1C226D8">
      <w:pPr>
        <w:pStyle w:val="25"/>
        <w:ind w:firstLine="482" w:firstLineChars="200"/>
        <w:rPr>
          <w:b/>
        </w:rPr>
      </w:pPr>
      <w:bookmarkStart w:id="1136" w:name="_Toc351203575"/>
      <w:bookmarkStart w:id="1137" w:name="_Toc256000230"/>
      <w:bookmarkStart w:id="1138" w:name="_Toc152264589"/>
      <w:r>
        <w:rPr>
          <w:b/>
        </w:rPr>
        <w:t>1</w:t>
      </w:r>
      <w:bookmarkStart w:id="1139" w:name="_Toc337558794"/>
      <w:bookmarkStart w:id="1140" w:name="_Toc322522561"/>
      <w:bookmarkStart w:id="1141" w:name="_Toc296503090"/>
      <w:bookmarkStart w:id="1142" w:name="_Toc296346591"/>
      <w:r>
        <w:rPr>
          <w:b/>
        </w:rPr>
        <w:t>0.8暂列金额</w:t>
      </w:r>
      <w:bookmarkEnd w:id="1136"/>
      <w:bookmarkEnd w:id="1137"/>
      <w:bookmarkEnd w:id="1138"/>
    </w:p>
    <w:bookmarkEnd w:id="1139"/>
    <w:p w14:paraId="3C2C7397">
      <w:pPr>
        <w:spacing w:line="400" w:lineRule="exact"/>
        <w:ind w:firstLine="420" w:firstLineChars="200"/>
      </w:pPr>
      <w:r>
        <w:t>暂列金额应按照发包人的要求使用，发包人的要求应通过监理人发出。</w:t>
      </w:r>
      <w:r>
        <w:rPr>
          <w:rFonts w:hint="eastAsia"/>
        </w:rPr>
        <w:t>合同当事人可以在专用合同条款中协商确定有关事项。</w:t>
      </w:r>
    </w:p>
    <w:bookmarkEnd w:id="1140"/>
    <w:bookmarkEnd w:id="1141"/>
    <w:bookmarkEnd w:id="1142"/>
    <w:p w14:paraId="2CD58978">
      <w:pPr>
        <w:pStyle w:val="25"/>
        <w:ind w:firstLine="482" w:firstLineChars="200"/>
        <w:rPr>
          <w:b/>
        </w:rPr>
      </w:pPr>
      <w:bookmarkStart w:id="1143" w:name="_Toc152264590"/>
      <w:bookmarkStart w:id="1144" w:name="_Toc256000231"/>
      <w:bookmarkStart w:id="1145" w:name="_Toc351203576"/>
      <w:r>
        <w:rPr>
          <w:b/>
        </w:rPr>
        <w:t>1</w:t>
      </w:r>
      <w:bookmarkStart w:id="1146" w:name="_Toc337558796"/>
      <w:bookmarkStart w:id="1147" w:name="_Toc296346592"/>
      <w:bookmarkStart w:id="1148" w:name="_Toc296503091"/>
      <w:r>
        <w:rPr>
          <w:b/>
        </w:rPr>
        <w:t>0.9计日工</w:t>
      </w:r>
      <w:bookmarkEnd w:id="1143"/>
      <w:bookmarkEnd w:id="1144"/>
      <w:bookmarkEnd w:id="1145"/>
      <w:r>
        <w:rPr>
          <w:b/>
        </w:rPr>
        <w:t xml:space="preserve"> </w:t>
      </w:r>
      <w:bookmarkEnd w:id="1146"/>
      <w:bookmarkEnd w:id="1147"/>
      <w:bookmarkEnd w:id="1148"/>
    </w:p>
    <w:p w14:paraId="17C54D01">
      <w:pPr>
        <w:spacing w:line="400" w:lineRule="exact"/>
        <w:ind w:firstLine="420" w:firstLineChars="200"/>
      </w:pPr>
      <w:r>
        <w:rPr>
          <w:rFonts w:hint="eastAsia"/>
        </w:rPr>
        <w:t>需要采用计日工方式的，经发包人同意后</w:t>
      </w:r>
      <w:r>
        <w:t>，由监理人通知承包人以计日工计价方式实施</w:t>
      </w:r>
      <w:r>
        <w:rPr>
          <w:rFonts w:hint="eastAsia"/>
        </w:rPr>
        <w:t>相应</w:t>
      </w:r>
      <w: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rPr>
        <w:t>〔</w:t>
      </w:r>
      <w:r>
        <w:t>商定或确定</w:t>
      </w:r>
      <w:r>
        <w:rPr>
          <w:rFonts w:hint="eastAsia"/>
        </w:rPr>
        <w:t>〕</w:t>
      </w:r>
      <w:r>
        <w:t>确定</w:t>
      </w:r>
      <w:r>
        <w:rPr>
          <w:rFonts w:hint="eastAsia"/>
        </w:rPr>
        <w:t>计日工</w:t>
      </w:r>
      <w:r>
        <w:t>的单价。</w:t>
      </w:r>
    </w:p>
    <w:p w14:paraId="3005A387">
      <w:pPr>
        <w:spacing w:line="400" w:lineRule="exact"/>
        <w:ind w:firstLine="420" w:firstLineChars="200"/>
      </w:pPr>
      <w:r>
        <w:t>采用计日工计价的任何一项工作，承包人应在该项工作实施过程中，每天提交以下报表和有关凭证报送监理人审查：</w:t>
      </w:r>
    </w:p>
    <w:p w14:paraId="01559FC3">
      <w:pPr>
        <w:spacing w:line="400" w:lineRule="exact"/>
        <w:ind w:firstLine="420" w:firstLineChars="200"/>
      </w:pPr>
      <w:r>
        <w:t>（1）工作名称、内容和数量；</w:t>
      </w:r>
    </w:p>
    <w:p w14:paraId="6E19284D">
      <w:pPr>
        <w:spacing w:line="400" w:lineRule="exact"/>
        <w:ind w:firstLine="420" w:firstLineChars="200"/>
      </w:pPr>
      <w:r>
        <w:t>（2）投入该工作的所有人员的姓名、专业、工种、级别和耗用工时；</w:t>
      </w:r>
    </w:p>
    <w:p w14:paraId="44BC1380">
      <w:pPr>
        <w:spacing w:line="400" w:lineRule="exact"/>
        <w:ind w:firstLine="420" w:firstLineChars="200"/>
      </w:pPr>
      <w:r>
        <w:t>（3）投入该工作的材料类别和数量；</w:t>
      </w:r>
    </w:p>
    <w:p w14:paraId="221B41C5">
      <w:pPr>
        <w:spacing w:line="400" w:lineRule="exact"/>
        <w:ind w:firstLine="420" w:firstLineChars="200"/>
      </w:pPr>
      <w:r>
        <w:t>（4）投入该工作的施工设备型号、台数和耗用台时；</w:t>
      </w:r>
    </w:p>
    <w:p w14:paraId="609C3AC1">
      <w:pPr>
        <w:spacing w:line="400" w:lineRule="exact"/>
        <w:ind w:firstLine="420" w:firstLineChars="200"/>
      </w:pPr>
      <w:r>
        <w:t>（5）其他有关资料和凭证。</w:t>
      </w:r>
    </w:p>
    <w:p w14:paraId="03BE5539">
      <w:pPr>
        <w:spacing w:line="400" w:lineRule="exact"/>
        <w:ind w:firstLine="420" w:firstLineChars="200"/>
      </w:pPr>
      <w:r>
        <w:t xml:space="preserve"> 计日工由承包人汇总后，列入最近一期进度付款申请单，由监理人审查并经发包人批准后列入进度付款。</w:t>
      </w:r>
    </w:p>
    <w:p w14:paraId="58412B66">
      <w:pPr>
        <w:pStyle w:val="23"/>
        <w:ind w:firstLine="640" w:firstLineChars="200"/>
        <w:rPr>
          <w:rFonts w:ascii="黑体" w:hAnsi="宋体" w:cs="黑体"/>
          <w:kern w:val="0"/>
          <w:sz w:val="32"/>
          <w:lang w:bidi="ar"/>
        </w:rPr>
      </w:pPr>
      <w:bookmarkStart w:id="1149" w:name="_Toc351203577"/>
      <w:bookmarkStart w:id="1150" w:name="_Toc152264591"/>
      <w:bookmarkStart w:id="1151" w:name="_Toc256000232"/>
      <w:r>
        <w:rPr>
          <w:rFonts w:hint="eastAsia" w:ascii="黑体" w:hAnsi="宋体" w:cs="黑体"/>
          <w:kern w:val="0"/>
          <w:sz w:val="32"/>
          <w:lang w:bidi="ar"/>
        </w:rPr>
        <w:t>11.价格调整</w:t>
      </w:r>
      <w:bookmarkEnd w:id="1149"/>
      <w:bookmarkEnd w:id="1150"/>
      <w:bookmarkEnd w:id="1151"/>
    </w:p>
    <w:p w14:paraId="1D264E63">
      <w:pPr>
        <w:pStyle w:val="25"/>
        <w:ind w:firstLine="482" w:firstLineChars="200"/>
        <w:rPr>
          <w:b/>
        </w:rPr>
      </w:pPr>
      <w:bookmarkStart w:id="1152" w:name="_Toc351203578"/>
      <w:bookmarkStart w:id="1153" w:name="_Toc256000233"/>
      <w:bookmarkStart w:id="1154" w:name="_Toc152264592"/>
      <w:bookmarkStart w:id="1155" w:name="_Toc296346593"/>
      <w:bookmarkStart w:id="1156" w:name="_Toc337558797"/>
      <w:bookmarkStart w:id="1157" w:name="_Toc296503092"/>
      <w:r>
        <w:rPr>
          <w:b/>
        </w:rPr>
        <w:t>11.1市场价格波动引起的调整</w:t>
      </w:r>
      <w:bookmarkEnd w:id="1152"/>
      <w:bookmarkEnd w:id="1153"/>
      <w:bookmarkEnd w:id="1154"/>
    </w:p>
    <w:bookmarkEnd w:id="1155"/>
    <w:bookmarkEnd w:id="1156"/>
    <w:bookmarkEnd w:id="1157"/>
    <w:p w14:paraId="07BA0DA4">
      <w:pPr>
        <w:spacing w:line="400" w:lineRule="exact"/>
        <w:ind w:firstLine="420" w:firstLineChars="200"/>
      </w:pPr>
      <w:r>
        <w:t>除专用合同条款另有约定外，市场价格波动超过合同当事人约定的范围，合同价格应当调整。合同当事人可以在专用合同条款中约定选择以下一种方式对合同价格进行调整：</w:t>
      </w:r>
    </w:p>
    <w:p w14:paraId="44DD3EC1">
      <w:pPr>
        <w:spacing w:line="400" w:lineRule="exact"/>
        <w:ind w:firstLine="420" w:firstLineChars="200"/>
      </w:pPr>
      <w:r>
        <w:t>第1种方式：采用价格指数</w:t>
      </w:r>
      <w:r>
        <w:rPr>
          <w:rFonts w:hint="eastAsia"/>
        </w:rPr>
        <w:t>进行价格</w:t>
      </w:r>
      <w:r>
        <w:t>调整。</w:t>
      </w:r>
    </w:p>
    <w:p w14:paraId="306E6EF6">
      <w:pPr>
        <w:spacing w:line="400" w:lineRule="exact"/>
        <w:ind w:firstLine="420" w:firstLineChars="200"/>
      </w:pPr>
      <w:r>
        <w:t>（1）价格调整公式</w:t>
      </w:r>
    </w:p>
    <w:p w14:paraId="67E2BBA3">
      <w:pPr>
        <w:spacing w:line="400" w:lineRule="exact"/>
        <w:ind w:firstLine="420" w:firstLineChars="200"/>
      </w:pPr>
      <w:r>
        <w:t>因人工、材料和设备等价格波动影响合同价格时，根据专用合同条款中约定的数据，按以下公式计算差额并调整合同价格：</w:t>
      </w:r>
    </w:p>
    <w:p w14:paraId="13AF5A19">
      <w:pPr>
        <w:spacing w:line="720" w:lineRule="auto"/>
        <w:ind w:firstLine="1050" w:firstLineChars="500"/>
        <w:rPr>
          <w:sz w:val="52"/>
          <w:szCs w:val="52"/>
        </w:rPr>
      </w:pPr>
      <w:r>
        <w:rPr>
          <w:position w:val="-34"/>
        </w:rPr>
        <w:object>
          <v:shape id="_x0000_i1025" o:spt="75" type="#_x0000_t75" style="height:41pt;width:30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p>
    <w:p w14:paraId="5E041691">
      <w:pPr>
        <w:spacing w:line="400" w:lineRule="exact"/>
        <w:ind w:firstLine="420" w:firstLineChars="200"/>
      </w:pPr>
      <w:r>
        <w:t>公式中：</w:t>
      </w:r>
      <w:r>
        <w:rPr>
          <w:rFonts w:hint="eastAsia"/>
        </w:rPr>
        <w:t xml:space="preserve">    </w:t>
      </w:r>
      <w:r>
        <w:t>ΔP——需调整的价格差额；</w:t>
      </w:r>
    </w:p>
    <w:p w14:paraId="18DCF9B0">
      <w:pPr>
        <w:spacing w:line="400" w:lineRule="exact"/>
        <w:ind w:firstLine="1785" w:firstLineChars="850"/>
      </w:pPr>
      <w:r>
        <w:rPr>
          <w:rFonts w:hint="eastAsia"/>
        </w:rPr>
        <w:t>P</w:t>
      </w:r>
      <w:r>
        <w:rPr>
          <w:rFonts w:hint="eastAsia"/>
          <w:szCs w:val="21"/>
          <w:vertAlign w:val="subscript"/>
        </w:rPr>
        <w:t>0</w:t>
      </w:r>
      <w:r>
        <w:t>——约定的付款证书中承包人应得到的已完成工程量的金额。此项金额应不包括价格调整、不计质量保证金的扣留和支付、预付款的支付和扣回。约定的变更及其他金额已按现行价格计价的，也不计在内；</w:t>
      </w:r>
    </w:p>
    <w:p w14:paraId="6117F554">
      <w:pPr>
        <w:spacing w:line="400" w:lineRule="exact"/>
        <w:ind w:firstLine="1785" w:firstLineChars="850"/>
      </w:pPr>
      <w:r>
        <w:t>A——定值权重（即不调部分的权重）；</w:t>
      </w:r>
    </w:p>
    <w:p w14:paraId="3B186AB9">
      <w:pPr>
        <w:spacing w:line="400" w:lineRule="exact"/>
        <w:ind w:firstLine="420" w:firstLineChars="200"/>
      </w:pPr>
      <w:r>
        <w:rPr>
          <w:rFonts w:hint="eastAsia"/>
        </w:rPr>
        <w:t>B</w:t>
      </w:r>
      <w:r>
        <w:rPr>
          <w:rFonts w:hint="eastAsia"/>
          <w:szCs w:val="21"/>
          <w:vertAlign w:val="subscript"/>
        </w:rPr>
        <w:t>1</w:t>
      </w:r>
      <w:r>
        <w:rPr>
          <w:rFonts w:hint="eastAsia"/>
          <w:sz w:val="15"/>
          <w:szCs w:val="15"/>
        </w:rPr>
        <w:t>;</w:t>
      </w:r>
      <w:r>
        <w:rPr>
          <w:rFonts w:hint="eastAsia"/>
        </w:rPr>
        <w:t xml:space="preserve"> B</w:t>
      </w:r>
      <w:r>
        <w:rPr>
          <w:rFonts w:hint="eastAsia"/>
          <w:szCs w:val="21"/>
          <w:vertAlign w:val="subscript"/>
        </w:rPr>
        <w:t>2</w:t>
      </w:r>
      <w:r>
        <w:rPr>
          <w:rFonts w:hint="eastAsia"/>
        </w:rPr>
        <w:t xml:space="preserve"> ;B</w:t>
      </w:r>
      <w:r>
        <w:rPr>
          <w:rFonts w:hint="eastAsia"/>
          <w:szCs w:val="21"/>
          <w:vertAlign w:val="subscript"/>
        </w:rPr>
        <w:t>3</w:t>
      </w:r>
      <w:r>
        <w:rPr>
          <w:rFonts w:hint="eastAsia" w:ascii="宋体" w:hAnsi="宋体"/>
          <w:sz w:val="15"/>
          <w:szCs w:val="15"/>
        </w:rPr>
        <w:t>·····</w:t>
      </w:r>
      <w:r>
        <w:rPr>
          <w:rFonts w:hint="eastAsia"/>
        </w:rPr>
        <w:t>B</w:t>
      </w:r>
      <w:r>
        <w:rPr>
          <w:rFonts w:hint="eastAsia"/>
          <w:szCs w:val="21"/>
          <w:vertAlign w:val="subscript"/>
        </w:rPr>
        <w:t>n</w:t>
      </w:r>
      <w:r>
        <w:t>——各可调因子的变值权重（即可调部分的权重），为各可调因子在签约合同价中所占的比例；</w:t>
      </w:r>
    </w:p>
    <w:p w14:paraId="4A8AA674">
      <w:pPr>
        <w:spacing w:line="400" w:lineRule="exact"/>
        <w:ind w:firstLine="420" w:firstLineChars="200"/>
      </w:pPr>
      <w:r>
        <w:rPr>
          <w:rFonts w:hint="eastAsia"/>
        </w:rPr>
        <w:t>F</w:t>
      </w:r>
      <w:r>
        <w:rPr>
          <w:rFonts w:hint="eastAsia"/>
          <w:szCs w:val="21"/>
          <w:vertAlign w:val="subscript"/>
        </w:rPr>
        <w:t>t1</w:t>
      </w:r>
      <w:r>
        <w:rPr>
          <w:rFonts w:hint="eastAsia"/>
        </w:rPr>
        <w:t xml:space="preserve"> ;F</w:t>
      </w:r>
      <w:r>
        <w:rPr>
          <w:rFonts w:hint="eastAsia"/>
          <w:szCs w:val="21"/>
          <w:vertAlign w:val="subscript"/>
        </w:rPr>
        <w:t>t2</w:t>
      </w:r>
      <w:r>
        <w:rPr>
          <w:rFonts w:hint="eastAsia"/>
        </w:rPr>
        <w:t xml:space="preserve"> ;F</w:t>
      </w:r>
      <w:r>
        <w:rPr>
          <w:rFonts w:hint="eastAsia"/>
          <w:szCs w:val="21"/>
          <w:vertAlign w:val="subscript"/>
        </w:rPr>
        <w:t>t3</w:t>
      </w:r>
      <w:r>
        <w:rPr>
          <w:rFonts w:hint="eastAsia" w:ascii="宋体" w:hAnsi="宋体"/>
          <w:sz w:val="15"/>
          <w:szCs w:val="15"/>
        </w:rPr>
        <w:t>·····</w:t>
      </w:r>
      <w:r>
        <w:rPr>
          <w:rFonts w:hint="eastAsia"/>
        </w:rPr>
        <w:t>F</w:t>
      </w:r>
      <w:r>
        <w:rPr>
          <w:rFonts w:hint="eastAsia"/>
          <w:szCs w:val="21"/>
          <w:vertAlign w:val="subscript"/>
        </w:rPr>
        <w:t>tn</w:t>
      </w:r>
      <w:r>
        <w:t>——各可调因子的现行价格指数，指约定的付款证书相关周期最后一天的前42天的各可调因子的价格指数；</w:t>
      </w:r>
    </w:p>
    <w:p w14:paraId="08F8D8BD">
      <w:pPr>
        <w:spacing w:line="400" w:lineRule="exact"/>
        <w:ind w:firstLine="420" w:firstLineChars="200"/>
      </w:pPr>
      <w:r>
        <w:rPr>
          <w:rFonts w:hint="eastAsia"/>
        </w:rPr>
        <w:t>F</w:t>
      </w:r>
      <w:r>
        <w:rPr>
          <w:rFonts w:hint="eastAsia"/>
          <w:szCs w:val="21"/>
          <w:vertAlign w:val="subscript"/>
        </w:rPr>
        <w:t>o1</w:t>
      </w:r>
      <w:r>
        <w:rPr>
          <w:rFonts w:hint="eastAsia"/>
        </w:rPr>
        <w:t>; F</w:t>
      </w:r>
      <w:r>
        <w:rPr>
          <w:rFonts w:hint="eastAsia"/>
          <w:szCs w:val="21"/>
          <w:vertAlign w:val="subscript"/>
        </w:rPr>
        <w:t>o2</w:t>
      </w:r>
      <w:r>
        <w:rPr>
          <w:rFonts w:hint="eastAsia"/>
          <w:sz w:val="15"/>
          <w:szCs w:val="15"/>
        </w:rPr>
        <w:t>;</w:t>
      </w:r>
      <w:r>
        <w:rPr>
          <w:rFonts w:hint="eastAsia"/>
        </w:rPr>
        <w:t xml:space="preserve"> F</w:t>
      </w:r>
      <w:r>
        <w:rPr>
          <w:rFonts w:hint="eastAsia"/>
          <w:szCs w:val="21"/>
          <w:vertAlign w:val="subscript"/>
        </w:rPr>
        <w:t>o3</w:t>
      </w:r>
      <w:r>
        <w:rPr>
          <w:rFonts w:hint="eastAsia" w:ascii="宋体" w:hAnsi="宋体"/>
          <w:sz w:val="15"/>
          <w:szCs w:val="15"/>
        </w:rPr>
        <w:t>····</w:t>
      </w:r>
      <w:r>
        <w:rPr>
          <w:rFonts w:hint="eastAsia"/>
        </w:rPr>
        <w:t>F</w:t>
      </w:r>
      <w:r>
        <w:rPr>
          <w:rFonts w:hint="eastAsia"/>
          <w:szCs w:val="21"/>
          <w:vertAlign w:val="subscript"/>
        </w:rPr>
        <w:t>on</w:t>
      </w:r>
      <w:r>
        <w:t>——各可调因子的基本价格指数，指基准日期的各可调因子的价格指数。</w:t>
      </w:r>
    </w:p>
    <w:p w14:paraId="2B8ACF0C">
      <w:pPr>
        <w:spacing w:line="400" w:lineRule="exact"/>
        <w:ind w:firstLine="420" w:firstLineChars="200"/>
      </w:pPr>
      <w: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4BE9115">
      <w:pPr>
        <w:spacing w:line="400" w:lineRule="exact"/>
        <w:ind w:firstLine="420" w:firstLineChars="200"/>
      </w:pPr>
      <w:r>
        <w:t>（2）暂时确定调整差额</w:t>
      </w:r>
    </w:p>
    <w:p w14:paraId="107F4C90">
      <w:pPr>
        <w:spacing w:line="400" w:lineRule="exact"/>
        <w:ind w:firstLine="420" w:firstLineChars="200"/>
      </w:pPr>
      <w:r>
        <w:t>在计算调整差额时无现行价格指数的，合同当事人同意暂用前次价格指数计算。实际价格指数有调整的，合同当事人进行相应调整。</w:t>
      </w:r>
    </w:p>
    <w:p w14:paraId="56177CD5">
      <w:pPr>
        <w:spacing w:line="400" w:lineRule="exact"/>
        <w:ind w:firstLine="420" w:firstLineChars="200"/>
      </w:pPr>
      <w:r>
        <w:t>（3）权重的调整</w:t>
      </w:r>
    </w:p>
    <w:p w14:paraId="4748F791">
      <w:pPr>
        <w:spacing w:line="400" w:lineRule="exact"/>
        <w:ind w:firstLine="420" w:firstLineChars="200"/>
      </w:pPr>
      <w:r>
        <w:t>因变更导致合同约定的权重不合理时，按照第4.4款</w:t>
      </w:r>
      <w:r>
        <w:rPr>
          <w:rFonts w:hint="eastAsia"/>
        </w:rPr>
        <w:t>〔</w:t>
      </w:r>
      <w:r>
        <w:t>商定或确定</w:t>
      </w:r>
      <w:r>
        <w:rPr>
          <w:rFonts w:hint="eastAsia"/>
        </w:rPr>
        <w:t>〕</w:t>
      </w:r>
      <w:r>
        <w:t>执行。</w:t>
      </w:r>
    </w:p>
    <w:p w14:paraId="6BEF2C92">
      <w:pPr>
        <w:spacing w:line="400" w:lineRule="exact"/>
        <w:ind w:firstLine="420" w:firstLineChars="200"/>
      </w:pPr>
      <w:r>
        <w:t>（4）因承包人原因工期延误后的价格调整</w:t>
      </w:r>
    </w:p>
    <w:p w14:paraId="53233405">
      <w:pPr>
        <w:spacing w:line="400" w:lineRule="exact"/>
        <w:ind w:firstLine="420" w:firstLineChars="200"/>
      </w:pPr>
      <w:r>
        <w:t>因承包人原因未按期竣工的，对合同约定的竣工日期后继续施工的工程，在使用价格调整公式时，应采用计划竣工日期与实际竣工日期的两个价格指数中较低的一个作为现行价格指数。</w:t>
      </w:r>
    </w:p>
    <w:p w14:paraId="110C35D7">
      <w:pPr>
        <w:spacing w:line="400" w:lineRule="exact"/>
        <w:ind w:firstLine="420" w:firstLineChars="200"/>
      </w:pPr>
      <w:r>
        <w:t>第2种方式：采用造价信息</w:t>
      </w:r>
      <w:r>
        <w:rPr>
          <w:rFonts w:hint="eastAsia"/>
        </w:rPr>
        <w:t>进行价格</w:t>
      </w:r>
      <w:r>
        <w:t>调整。</w:t>
      </w:r>
    </w:p>
    <w:p w14:paraId="5A48B582">
      <w:pPr>
        <w:spacing w:line="400" w:lineRule="exact"/>
        <w:ind w:firstLine="420" w:firstLineChars="200"/>
      </w:pPr>
      <w: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rPr>
        <w:t>量</w:t>
      </w:r>
      <w:r>
        <w:t>应由发包人审批，发包人确认需调整的材料单价及数量，作为调整合同价格的依据。</w:t>
      </w:r>
    </w:p>
    <w:p w14:paraId="1F1DEE0E">
      <w:pPr>
        <w:spacing w:line="400" w:lineRule="exact"/>
        <w:ind w:firstLine="420" w:firstLineChars="200"/>
      </w:pPr>
      <w: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9E7A993">
      <w:pPr>
        <w:spacing w:line="400" w:lineRule="exact"/>
        <w:ind w:firstLine="420" w:firstLineChars="200"/>
      </w:pPr>
      <w:r>
        <w:t>（2）材料、工程设备价格变化的价款调整按照发包人提供的基准价格，按以下风险范围规定执行:</w:t>
      </w:r>
    </w:p>
    <w:p w14:paraId="224BE086">
      <w:pPr>
        <w:spacing w:line="400" w:lineRule="exact"/>
        <w:ind w:firstLine="630" w:firstLineChars="300"/>
      </w:pPr>
      <w:r>
        <w:rPr>
          <w:rFonts w:hint="eastAsia"/>
        </w:rPr>
        <w:t>①</w:t>
      </w:r>
      <w: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8086B1F">
      <w:pPr>
        <w:spacing w:line="400" w:lineRule="exact"/>
        <w:ind w:firstLine="630" w:firstLineChars="300"/>
      </w:pPr>
      <w:r>
        <w:rPr>
          <w:rFonts w:hint="eastAsia"/>
        </w:rPr>
        <w:t>②</w:t>
      </w:r>
      <w: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A47EB19">
      <w:pPr>
        <w:spacing w:line="400" w:lineRule="exact"/>
        <w:ind w:firstLine="630" w:firstLineChars="300"/>
      </w:pPr>
      <w:r>
        <w:rPr>
          <w:rFonts w:hint="eastAsia"/>
        </w:rPr>
        <w:t>③</w:t>
      </w:r>
      <w:r>
        <w:t>承包人在已标价工程量清单或预算书中载明材料单价等于基准价格的：除专用合同条款另有约定外，合同履行期间材料单价涨跌幅以基准价格为基础超过±5%时，其超过部分据实调整。</w:t>
      </w:r>
    </w:p>
    <w:p w14:paraId="2AB85D24">
      <w:pPr>
        <w:spacing w:line="400" w:lineRule="exact"/>
        <w:ind w:firstLine="630" w:firstLineChars="300"/>
      </w:pPr>
      <w:r>
        <w:rPr>
          <w:rFonts w:hint="eastAsia"/>
        </w:rPr>
        <w:t>④</w:t>
      </w:r>
      <w: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283641C">
      <w:pPr>
        <w:spacing w:line="400" w:lineRule="exact"/>
        <w:ind w:firstLine="420" w:firstLineChars="200"/>
      </w:pPr>
      <w:bookmarkStart w:id="1158" w:name="OLE_LINK3"/>
      <w:r>
        <w:t>前述基准价格是指由发包人在招标文件或专用合同条款中给定的材料、工程设备的价格，该价格原则上应当按照省级或行业建设主管部门或其授权的工程造价管理机构发布的信息价编制。</w:t>
      </w:r>
    </w:p>
    <w:p w14:paraId="194148BE">
      <w:pPr>
        <w:spacing w:line="400" w:lineRule="exact"/>
        <w:ind w:firstLine="420" w:firstLineChars="200"/>
      </w:pPr>
      <w:r>
        <w:t>（3）施工机械台班单价或施工机械使用费发生变化超过省级或行业建设主管部门或其授权的工程造价管理机构规定的范围时，按规定调整合同价格。</w:t>
      </w:r>
    </w:p>
    <w:p w14:paraId="14F8D4CC">
      <w:pPr>
        <w:spacing w:line="400" w:lineRule="exact"/>
        <w:ind w:firstLine="420" w:firstLineChars="200"/>
      </w:pPr>
      <w:r>
        <w:t>第3种方式：专用合同条款约定的其他方式。</w:t>
      </w:r>
    </w:p>
    <w:p w14:paraId="31E76C06">
      <w:pPr>
        <w:pStyle w:val="25"/>
        <w:ind w:firstLine="482" w:firstLineChars="200"/>
        <w:rPr>
          <w:b/>
        </w:rPr>
      </w:pPr>
      <w:bookmarkStart w:id="1159" w:name="_Toc152264593"/>
      <w:bookmarkStart w:id="1160" w:name="_Toc351203579"/>
      <w:bookmarkStart w:id="1161" w:name="_Toc256000234"/>
      <w:bookmarkStart w:id="1162" w:name="_Toc337558798"/>
      <w:bookmarkStart w:id="1163" w:name="_Toc296346594"/>
      <w:bookmarkStart w:id="1164" w:name="_Toc296503093"/>
      <w:r>
        <w:rPr>
          <w:b/>
        </w:rPr>
        <w:t>11.2法律变化引起的调整</w:t>
      </w:r>
      <w:bookmarkEnd w:id="1159"/>
      <w:bookmarkEnd w:id="1160"/>
      <w:bookmarkEnd w:id="1161"/>
    </w:p>
    <w:bookmarkEnd w:id="1162"/>
    <w:bookmarkEnd w:id="1163"/>
    <w:bookmarkEnd w:id="1164"/>
    <w:p w14:paraId="52AD520A">
      <w:pPr>
        <w:spacing w:line="400" w:lineRule="exact"/>
        <w:ind w:firstLine="420" w:firstLineChars="200"/>
      </w:pPr>
      <w:r>
        <w:t>基准日</w:t>
      </w:r>
      <w:r>
        <w:rPr>
          <w:rFonts w:hint="eastAsia"/>
        </w:rPr>
        <w:t>期</w:t>
      </w:r>
      <w:r>
        <w:t>后，法律变化</w:t>
      </w:r>
      <w:r>
        <w:rPr>
          <w:rFonts w:hint="eastAsia"/>
        </w:rPr>
        <w:t>导致承包人在合同履行过程中所需要的费用发生除第11.1款〔市场价格波动引起的调整〕约定以外的增加时，由发包人承担由此增加的费用；减少时，应从合同价格中予以扣减。</w:t>
      </w:r>
      <w:r>
        <w:t>基准日</w:t>
      </w:r>
      <w:r>
        <w:rPr>
          <w:rFonts w:hint="eastAsia"/>
        </w:rPr>
        <w:t>期</w:t>
      </w:r>
      <w:r>
        <w:t>后，</w:t>
      </w:r>
      <w:r>
        <w:rPr>
          <w:rFonts w:hint="eastAsia"/>
        </w:rPr>
        <w:t>因</w:t>
      </w:r>
      <w:r>
        <w:t>法律变化</w:t>
      </w:r>
      <w:r>
        <w:rPr>
          <w:rFonts w:hint="eastAsia"/>
        </w:rPr>
        <w:t>造成工期延误时，工期应予以顺延。</w:t>
      </w:r>
    </w:p>
    <w:p w14:paraId="3FAA06A8">
      <w:pPr>
        <w:spacing w:line="400" w:lineRule="exact"/>
        <w:ind w:firstLine="420" w:firstLineChars="200"/>
      </w:pPr>
      <w:r>
        <w:rPr>
          <w:rFonts w:hint="eastAsia"/>
        </w:rPr>
        <w:t>因法律变化引起的合同价格和工期调整，合同当事人无法达成一致的，由总监理工程师按第4.4款〔商定或确定〕的约定处理。</w:t>
      </w:r>
    </w:p>
    <w:p w14:paraId="5BEC9784">
      <w:pPr>
        <w:spacing w:line="400" w:lineRule="exact"/>
        <w:ind w:firstLine="420" w:firstLineChars="200"/>
      </w:pPr>
      <w:r>
        <w:t>因承包人原因造成工期延误，在工期延误期间出现法律变化的，由此增加的费用和（或）延误的工期由承包人承担。</w:t>
      </w:r>
    </w:p>
    <w:p w14:paraId="4B10788F">
      <w:pPr>
        <w:pStyle w:val="23"/>
        <w:ind w:firstLine="640" w:firstLineChars="200"/>
        <w:rPr>
          <w:rFonts w:ascii="黑体" w:hAnsi="宋体" w:cs="黑体"/>
          <w:kern w:val="0"/>
          <w:sz w:val="32"/>
          <w:lang w:bidi="ar"/>
        </w:rPr>
      </w:pPr>
      <w:bookmarkStart w:id="1165" w:name="_Toc256000235"/>
      <w:bookmarkStart w:id="1166" w:name="_Toc351203580"/>
      <w:bookmarkStart w:id="1167" w:name="_Toc152264594"/>
      <w:bookmarkStart w:id="1168" w:name="_Toc337558799"/>
      <w:bookmarkStart w:id="1169" w:name="_Toc296503096"/>
      <w:bookmarkStart w:id="1170" w:name="_Toc296346597"/>
      <w:r>
        <w:rPr>
          <w:rFonts w:hint="eastAsia" w:ascii="黑体" w:hAnsi="宋体" w:cs="黑体"/>
          <w:kern w:val="0"/>
          <w:sz w:val="32"/>
          <w:lang w:bidi="ar"/>
        </w:rPr>
        <w:t>12.合同价格、计量与支付</w:t>
      </w:r>
      <w:bookmarkEnd w:id="1165"/>
      <w:bookmarkEnd w:id="1166"/>
      <w:bookmarkEnd w:id="1167"/>
    </w:p>
    <w:bookmarkEnd w:id="1168"/>
    <w:p w14:paraId="23F4D5A1">
      <w:pPr>
        <w:pStyle w:val="25"/>
        <w:ind w:firstLine="482" w:firstLineChars="200"/>
        <w:rPr>
          <w:b/>
        </w:rPr>
      </w:pPr>
      <w:bookmarkStart w:id="1171" w:name="_Toc351203581"/>
      <w:bookmarkStart w:id="1172" w:name="_Toc152264595"/>
      <w:bookmarkStart w:id="1173" w:name="_Toc256000236"/>
      <w:bookmarkStart w:id="1174" w:name="_Toc337558800"/>
      <w:r>
        <w:rPr>
          <w:b/>
        </w:rPr>
        <w:t>12.1 合同价</w:t>
      </w:r>
      <w:bookmarkEnd w:id="1169"/>
      <w:bookmarkEnd w:id="1170"/>
      <w:r>
        <w:rPr>
          <w:b/>
        </w:rPr>
        <w:t>格形式</w:t>
      </w:r>
      <w:bookmarkEnd w:id="1171"/>
      <w:bookmarkEnd w:id="1172"/>
      <w:bookmarkEnd w:id="1173"/>
    </w:p>
    <w:bookmarkEnd w:id="1174"/>
    <w:p w14:paraId="53862318">
      <w:pPr>
        <w:spacing w:line="400" w:lineRule="exact"/>
        <w:ind w:firstLine="420" w:firstLineChars="200"/>
      </w:pPr>
      <w:r>
        <w:t>发包人和承包人应在合同协议书中</w:t>
      </w:r>
      <w:r>
        <w:rPr>
          <w:rFonts w:hint="eastAsia"/>
        </w:rPr>
        <w:t>选择</w:t>
      </w:r>
      <w:r>
        <w:t xml:space="preserve">下列一种合同价格形式： </w:t>
      </w:r>
    </w:p>
    <w:p w14:paraId="72E03B96">
      <w:pPr>
        <w:spacing w:line="400" w:lineRule="exact"/>
        <w:ind w:firstLine="420" w:firstLineChars="200"/>
      </w:pPr>
      <w:r>
        <w:t>1</w:t>
      </w:r>
      <w:r>
        <w:rPr>
          <w:rFonts w:hint="eastAsia"/>
        </w:rPr>
        <w:t>.</w:t>
      </w:r>
      <w:r>
        <w:t>单价合同</w:t>
      </w:r>
    </w:p>
    <w:p w14:paraId="36741BC3">
      <w:pPr>
        <w:spacing w:line="400" w:lineRule="exact"/>
        <w:ind w:firstLine="420" w:firstLineChars="200"/>
      </w:pPr>
      <w: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rPr>
        <w:t>〔</w:t>
      </w:r>
      <w:r>
        <w:t>市场价格波动引起的调整</w:t>
      </w:r>
      <w:r>
        <w:rPr>
          <w:rFonts w:hint="eastAsia"/>
        </w:rPr>
        <w:t>〕</w:t>
      </w:r>
      <w:r>
        <w:t>约定执行。</w:t>
      </w:r>
    </w:p>
    <w:p w14:paraId="048573C4">
      <w:pPr>
        <w:spacing w:line="400" w:lineRule="exact"/>
        <w:ind w:firstLine="420" w:firstLineChars="200"/>
      </w:pPr>
      <w:r>
        <w:t>2</w:t>
      </w:r>
      <w:r>
        <w:rPr>
          <w:rFonts w:hint="eastAsia"/>
        </w:rPr>
        <w:t>.</w:t>
      </w:r>
      <w:r>
        <w:t>总价合同</w:t>
      </w:r>
    </w:p>
    <w:p w14:paraId="79E75E08">
      <w:pPr>
        <w:spacing w:line="400" w:lineRule="exact"/>
        <w:ind w:firstLine="420" w:firstLineChars="200"/>
      </w:pPr>
      <w: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rPr>
        <w:t>〔</w:t>
      </w:r>
      <w:r>
        <w:t>市场价格波动引起的调整</w:t>
      </w:r>
      <w:r>
        <w:rPr>
          <w:rFonts w:hint="eastAsia"/>
        </w:rPr>
        <w:t>〕</w:t>
      </w:r>
      <w:r>
        <w:t>、因法律变化引起的调整按第11.2款</w:t>
      </w:r>
      <w:r>
        <w:rPr>
          <w:rFonts w:hint="eastAsia"/>
        </w:rPr>
        <w:t>〔</w:t>
      </w:r>
      <w:r>
        <w:t>法律变化引起的调整</w:t>
      </w:r>
      <w:r>
        <w:rPr>
          <w:rFonts w:hint="eastAsia"/>
        </w:rPr>
        <w:t>〕</w:t>
      </w:r>
      <w:r>
        <w:t>约定执行。</w:t>
      </w:r>
    </w:p>
    <w:p w14:paraId="362B03DC">
      <w:pPr>
        <w:spacing w:line="400" w:lineRule="exact"/>
        <w:ind w:firstLine="420" w:firstLineChars="200"/>
      </w:pPr>
      <w:r>
        <w:t>3</w:t>
      </w:r>
      <w:r>
        <w:rPr>
          <w:rFonts w:hint="eastAsia"/>
        </w:rPr>
        <w:t>.</w:t>
      </w:r>
      <w:r>
        <w:t>其它价格形式</w:t>
      </w:r>
    </w:p>
    <w:p w14:paraId="5214D166">
      <w:pPr>
        <w:spacing w:line="400" w:lineRule="exact"/>
        <w:ind w:firstLine="420" w:firstLineChars="200"/>
      </w:pPr>
      <w:r>
        <w:t>合同当事人可在专用合同条款中约定其他合同价格形式。</w:t>
      </w:r>
    </w:p>
    <w:p w14:paraId="3926CFE6">
      <w:pPr>
        <w:pStyle w:val="25"/>
        <w:ind w:firstLine="482" w:firstLineChars="200"/>
        <w:rPr>
          <w:b/>
        </w:rPr>
      </w:pPr>
      <w:bookmarkStart w:id="1175" w:name="_Toc296503097"/>
      <w:bookmarkStart w:id="1176" w:name="_Toc296346598"/>
      <w:bookmarkStart w:id="1177" w:name="_Toc256000237"/>
      <w:bookmarkStart w:id="1178" w:name="_Toc351203582"/>
      <w:bookmarkStart w:id="1179" w:name="_Toc152264596"/>
      <w:bookmarkStart w:id="1180" w:name="_Toc337558801"/>
      <w:r>
        <w:rPr>
          <w:b/>
        </w:rPr>
        <w:t>12.2预</w:t>
      </w:r>
      <w:bookmarkEnd w:id="1175"/>
      <w:bookmarkEnd w:id="1176"/>
      <w:bookmarkStart w:id="1181" w:name="_Toc296503100"/>
      <w:bookmarkStart w:id="1182" w:name="_Toc296346601"/>
      <w:r>
        <w:rPr>
          <w:b/>
        </w:rPr>
        <w:t>付款</w:t>
      </w:r>
      <w:bookmarkEnd w:id="1177"/>
      <w:bookmarkEnd w:id="1178"/>
      <w:bookmarkEnd w:id="1179"/>
    </w:p>
    <w:bookmarkEnd w:id="1180"/>
    <w:bookmarkEnd w:id="1181"/>
    <w:bookmarkEnd w:id="1182"/>
    <w:p w14:paraId="77F8C288">
      <w:pPr>
        <w:spacing w:line="400" w:lineRule="exact"/>
        <w:ind w:firstLine="420" w:firstLineChars="200"/>
      </w:pPr>
      <w:r>
        <w:t>12.2.1预付款的支付</w:t>
      </w:r>
    </w:p>
    <w:p w14:paraId="7F787CDF">
      <w:pPr>
        <w:spacing w:line="400" w:lineRule="exact"/>
        <w:ind w:firstLine="420" w:firstLineChars="200"/>
      </w:pPr>
      <w:r>
        <w:t>预付款的支付按照专用合同条款约定执行，但至迟应在开工通知载明的开工日期7天前支付。预付款应当用于材料、工程设备、施工设备的采购及修建临时工程、组织施工队伍进场等。</w:t>
      </w:r>
    </w:p>
    <w:p w14:paraId="709420F8">
      <w:pPr>
        <w:spacing w:line="400" w:lineRule="exact"/>
        <w:ind w:firstLine="420" w:firstLineChars="200"/>
      </w:pPr>
      <w:r>
        <w:t>除专用合同条款另有约定外，预付款在进度付款中同比例扣回。</w:t>
      </w:r>
      <w:bookmarkEnd w:id="1158"/>
      <w:r>
        <w:t>在颁发工程接收证书前，提前解除合同的，尚未扣完的预付款应与合同价款一并结算。</w:t>
      </w:r>
    </w:p>
    <w:p w14:paraId="7F1A7B8E">
      <w:pPr>
        <w:spacing w:line="400" w:lineRule="exact"/>
        <w:ind w:firstLine="420" w:firstLineChars="200"/>
      </w:pPr>
      <w:r>
        <w:t>发包人逾期支付预付款超过7天的，承包人有权向发包人发出要求预付的催告通知，发包人收到通知后7天内仍未支付的，承包人有权暂停施工，并按第16.1.1项</w:t>
      </w:r>
      <w:r>
        <w:rPr>
          <w:rFonts w:hint="eastAsia"/>
        </w:rPr>
        <w:t>〔</w:t>
      </w:r>
      <w:r>
        <w:t>发包人违约的情形</w:t>
      </w:r>
      <w:r>
        <w:rPr>
          <w:rFonts w:hint="eastAsia"/>
        </w:rPr>
        <w:t>〕</w:t>
      </w:r>
      <w:r>
        <w:t>执行。</w:t>
      </w:r>
    </w:p>
    <w:p w14:paraId="50D4BA92">
      <w:pPr>
        <w:spacing w:line="400" w:lineRule="exact"/>
        <w:ind w:firstLine="420" w:firstLineChars="200"/>
      </w:pPr>
      <w:r>
        <w:t>12.2.2 预付款担保</w:t>
      </w:r>
    </w:p>
    <w:p w14:paraId="47E5BC0C">
      <w:pPr>
        <w:spacing w:line="400" w:lineRule="exact"/>
        <w:ind w:firstLine="420" w:firstLineChars="200"/>
      </w:pPr>
      <w:r>
        <w:rPr>
          <w:rFonts w:hint="eastAsia"/>
        </w:rPr>
        <w:t>发包人要求承包人提供预付款担保的</w:t>
      </w:r>
      <w:r>
        <w:t>，承包人应在发包人支付预付款7天前提供预付款担保</w:t>
      </w:r>
      <w:r>
        <w:rPr>
          <w:rFonts w:hint="eastAsia"/>
        </w:rPr>
        <w:t>，</w:t>
      </w:r>
      <w:r>
        <w:t>专用合同条款另有约定</w:t>
      </w:r>
      <w:r>
        <w:rPr>
          <w:rFonts w:hint="eastAsia"/>
        </w:rPr>
        <w:t>除</w:t>
      </w:r>
      <w:r>
        <w:t>外。预付款担保可采用银行保函、担保公司担保等形式，具体由合同当事人在专用合同条款中约定。在预付款完全扣回之前，承包人应保证预付款担保持续有效。</w:t>
      </w:r>
    </w:p>
    <w:p w14:paraId="019A4B02">
      <w:pPr>
        <w:spacing w:line="400" w:lineRule="exact"/>
        <w:ind w:firstLine="420" w:firstLineChars="200"/>
      </w:pPr>
      <w:r>
        <w:t>发包人在工程款中逐期扣回预付款后，预付款担保额度应相应减少，但剩余的预付款担保金额不得低于未被扣回的预付款金额。</w:t>
      </w:r>
    </w:p>
    <w:p w14:paraId="4389502A">
      <w:pPr>
        <w:pStyle w:val="25"/>
        <w:ind w:firstLine="482" w:firstLineChars="200"/>
        <w:rPr>
          <w:b/>
        </w:rPr>
      </w:pPr>
      <w:bookmarkStart w:id="1183" w:name="_Toc152264597"/>
      <w:bookmarkStart w:id="1184" w:name="_Toc351203583"/>
      <w:bookmarkStart w:id="1185" w:name="_Toc256000238"/>
      <w:bookmarkStart w:id="1186" w:name="_Toc337558802"/>
      <w:r>
        <w:rPr>
          <w:b/>
        </w:rPr>
        <w:t>12.3计量</w:t>
      </w:r>
      <w:bookmarkEnd w:id="1183"/>
      <w:bookmarkEnd w:id="1184"/>
      <w:bookmarkEnd w:id="1185"/>
    </w:p>
    <w:bookmarkEnd w:id="1186"/>
    <w:p w14:paraId="12FC5DDB">
      <w:pPr>
        <w:spacing w:line="400" w:lineRule="exact"/>
        <w:ind w:firstLine="420" w:firstLineChars="200"/>
      </w:pPr>
      <w:r>
        <w:t>12.3.1 计量原则</w:t>
      </w:r>
    </w:p>
    <w:p w14:paraId="65A2DF10">
      <w:pPr>
        <w:spacing w:line="400" w:lineRule="exact"/>
        <w:ind w:firstLine="420" w:firstLineChars="200"/>
      </w:pPr>
      <w:r>
        <w:t>工程量计量按照合同约定的工程量计算规则、图纸及变更指示</w:t>
      </w:r>
      <w:r>
        <w:rPr>
          <w:rFonts w:hint="eastAsia"/>
        </w:rPr>
        <w:t>等</w:t>
      </w:r>
      <w:r>
        <w:t>进行计量。工程量计算规则应以相关的国家标准、行业标准</w:t>
      </w:r>
      <w:r>
        <w:rPr>
          <w:rFonts w:hint="eastAsia"/>
        </w:rPr>
        <w:t>等</w:t>
      </w:r>
      <w:r>
        <w:t>为依据，由合同当事人在专用合同条款中约定。</w:t>
      </w:r>
    </w:p>
    <w:p w14:paraId="54299F00">
      <w:pPr>
        <w:spacing w:line="400" w:lineRule="exact"/>
        <w:ind w:firstLine="420" w:firstLineChars="200"/>
      </w:pPr>
      <w:r>
        <w:t>12.3.2 计量周期</w:t>
      </w:r>
    </w:p>
    <w:p w14:paraId="3D28B0DD">
      <w:pPr>
        <w:spacing w:line="400" w:lineRule="exact"/>
        <w:ind w:firstLine="420" w:firstLineChars="200"/>
      </w:pPr>
      <w:r>
        <w:t>除专用合同条款另有约定外，工程量的计量按月进行。</w:t>
      </w:r>
    </w:p>
    <w:p w14:paraId="46DBA60D">
      <w:pPr>
        <w:spacing w:line="400" w:lineRule="exact"/>
        <w:ind w:firstLine="420" w:firstLineChars="200"/>
      </w:pPr>
      <w:r>
        <w:t>12.3.3 单价合同的计量</w:t>
      </w:r>
    </w:p>
    <w:p w14:paraId="36D7C6F5">
      <w:pPr>
        <w:spacing w:line="400" w:lineRule="exact"/>
        <w:ind w:firstLine="420" w:firstLineChars="200"/>
      </w:pPr>
      <w:r>
        <w:t>除专用合同条款另有约定外，单价合同的计量按照本项约定执行：</w:t>
      </w:r>
    </w:p>
    <w:p w14:paraId="0F1E8689">
      <w:pPr>
        <w:spacing w:line="400" w:lineRule="exact"/>
        <w:ind w:firstLine="420" w:firstLineChars="200"/>
      </w:pPr>
      <w:r>
        <w:t>（1）承包人应于每月25日向监理人报送上月20日至当月19日已完成的工程量报告，并附具进度付款申请单、已完成工程量报表和有关资料。</w:t>
      </w:r>
    </w:p>
    <w:p w14:paraId="5BC8C5B3">
      <w:pPr>
        <w:spacing w:line="400" w:lineRule="exact"/>
        <w:ind w:firstLine="420" w:firstLineChars="200"/>
      </w:pPr>
      <w: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0A565C6">
      <w:pPr>
        <w:spacing w:line="400" w:lineRule="exact"/>
        <w:ind w:firstLine="420" w:firstLineChars="200"/>
      </w:pPr>
      <w:r>
        <w:t>（3）监理人未在收到承包人提交的工程量报表后的7天内完成审核的，承包人报送的工程量报告中的工程量视为承包人实际完成的工程量，据此计算工程价款。</w:t>
      </w:r>
    </w:p>
    <w:p w14:paraId="13EEE99E">
      <w:pPr>
        <w:spacing w:line="400" w:lineRule="exact"/>
        <w:ind w:firstLine="420" w:firstLineChars="200"/>
      </w:pPr>
      <w:r>
        <w:t>12.3.4 总价合同的计量</w:t>
      </w:r>
    </w:p>
    <w:p w14:paraId="71F6697D">
      <w:pPr>
        <w:spacing w:line="400" w:lineRule="exact"/>
        <w:ind w:firstLine="420" w:firstLineChars="200"/>
      </w:pPr>
      <w:r>
        <w:t>除专用合同条款另有约定外，按</w:t>
      </w:r>
      <w:r>
        <w:rPr>
          <w:rFonts w:hint="eastAsia"/>
        </w:rPr>
        <w:t>月计量支付</w:t>
      </w:r>
      <w:r>
        <w:t>的总价合同，按照本项约定执行：</w:t>
      </w:r>
    </w:p>
    <w:p w14:paraId="1A2C6F00">
      <w:pPr>
        <w:spacing w:line="400" w:lineRule="exact"/>
        <w:ind w:firstLine="420" w:firstLineChars="200"/>
      </w:pPr>
      <w:r>
        <w:t>（1）承包人应于每月25日向监理人报送上月20日至当月19日已完成的工程量报告，并附具进度付款申请单、已完成工程量报表和有关资料。</w:t>
      </w:r>
    </w:p>
    <w:p w14:paraId="13AB3A13">
      <w:pPr>
        <w:spacing w:line="400" w:lineRule="exact"/>
        <w:ind w:firstLine="420" w:firstLineChars="200"/>
      </w:pPr>
      <w: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B7CF449">
      <w:pPr>
        <w:spacing w:line="400" w:lineRule="exact"/>
        <w:ind w:firstLine="420" w:firstLineChars="200"/>
      </w:pPr>
      <w:r>
        <w:t>（3）监理人未在收到承包人提交的工程量报表后的7天内完成复核的，承包人提交的工程量报告中的工程量视为承包人实际完成的工程量。</w:t>
      </w:r>
    </w:p>
    <w:p w14:paraId="43C01FFC">
      <w:pPr>
        <w:spacing w:line="400" w:lineRule="exact"/>
        <w:ind w:firstLine="420" w:firstLineChars="200"/>
      </w:pPr>
      <w:r>
        <w:t>12.3.5 总价合同采用支付分解表计量支付的，可以按照第12.3.4项</w:t>
      </w:r>
      <w:r>
        <w:rPr>
          <w:rFonts w:hint="eastAsia"/>
        </w:rPr>
        <w:t>〔</w:t>
      </w:r>
      <w:r>
        <w:t>总价合同的计量</w:t>
      </w:r>
      <w:r>
        <w:rPr>
          <w:rFonts w:hint="eastAsia"/>
        </w:rPr>
        <w:t>〕</w:t>
      </w:r>
      <w:r>
        <w:t>约定进行计量，但合同价款按照支付分解表进行支付。</w:t>
      </w:r>
    </w:p>
    <w:p w14:paraId="414DA7AA">
      <w:pPr>
        <w:spacing w:line="400" w:lineRule="exact"/>
        <w:ind w:firstLine="420" w:firstLineChars="200"/>
      </w:pPr>
      <w:r>
        <w:t>12.3.6 其他价格形式合同的计量</w:t>
      </w:r>
    </w:p>
    <w:p w14:paraId="40AC7ECD">
      <w:pPr>
        <w:spacing w:line="400" w:lineRule="exact"/>
        <w:ind w:firstLine="420" w:firstLineChars="200"/>
      </w:pPr>
      <w:r>
        <w:t>合同当事人可在专用合同条款中约定其他价格形式合同的计量方式和程序。</w:t>
      </w:r>
    </w:p>
    <w:p w14:paraId="2E5BF5CF">
      <w:pPr>
        <w:pStyle w:val="25"/>
        <w:ind w:firstLine="482" w:firstLineChars="200"/>
        <w:rPr>
          <w:b/>
        </w:rPr>
      </w:pPr>
      <w:bookmarkStart w:id="1187" w:name="_Toc296503101"/>
      <w:bookmarkStart w:id="1188" w:name="_Toc296346602"/>
      <w:bookmarkStart w:id="1189" w:name="_Toc152264598"/>
      <w:bookmarkStart w:id="1190" w:name="_Toc256000239"/>
      <w:bookmarkStart w:id="1191" w:name="_Toc351203584"/>
      <w:bookmarkStart w:id="1192" w:name="_Toc337558803"/>
      <w:r>
        <w:rPr>
          <w:b/>
        </w:rPr>
        <w:t>12.4工程进度款支</w:t>
      </w:r>
      <w:bookmarkEnd w:id="1187"/>
      <w:bookmarkEnd w:id="1188"/>
      <w:r>
        <w:rPr>
          <w:b/>
        </w:rPr>
        <w:t>付</w:t>
      </w:r>
      <w:bookmarkEnd w:id="1189"/>
      <w:bookmarkEnd w:id="1190"/>
      <w:bookmarkEnd w:id="1191"/>
    </w:p>
    <w:bookmarkEnd w:id="1192"/>
    <w:p w14:paraId="4FDC2899">
      <w:pPr>
        <w:spacing w:line="400" w:lineRule="exact"/>
        <w:ind w:firstLine="420" w:firstLineChars="200"/>
      </w:pPr>
      <w:r>
        <w:t>12.4.1 付款周期</w:t>
      </w:r>
    </w:p>
    <w:p w14:paraId="58CD7DC6">
      <w:pPr>
        <w:spacing w:line="400" w:lineRule="exact"/>
        <w:ind w:firstLine="420" w:firstLineChars="200"/>
      </w:pPr>
      <w:r>
        <w:t>除专用合同条款另有约定外，付款周期应按照第12.3.2</w:t>
      </w:r>
      <w:r>
        <w:rPr>
          <w:rFonts w:hint="eastAsia"/>
        </w:rPr>
        <w:t>项〔</w:t>
      </w:r>
      <w:r>
        <w:t>计量周期</w:t>
      </w:r>
      <w:r>
        <w:rPr>
          <w:rFonts w:hint="eastAsia"/>
        </w:rPr>
        <w:t>〕</w:t>
      </w:r>
      <w:r>
        <w:t>的约定与计量周期保持一致。</w:t>
      </w:r>
    </w:p>
    <w:p w14:paraId="6E4125ED">
      <w:pPr>
        <w:spacing w:line="400" w:lineRule="exact"/>
        <w:ind w:firstLine="420" w:firstLineChars="200"/>
      </w:pPr>
      <w:r>
        <w:t>12.4.2 进度付款申请单的编制</w:t>
      </w:r>
    </w:p>
    <w:p w14:paraId="318CE3BE">
      <w:pPr>
        <w:spacing w:line="400" w:lineRule="exact"/>
        <w:ind w:firstLine="420" w:firstLineChars="200"/>
      </w:pPr>
      <w:r>
        <w:t>除专用合同条款另有约定外，进度付款申请单应包括下列内容：</w:t>
      </w:r>
    </w:p>
    <w:p w14:paraId="05C84F61">
      <w:pPr>
        <w:spacing w:line="400" w:lineRule="exact"/>
        <w:ind w:firstLine="420" w:firstLineChars="200"/>
      </w:pPr>
      <w:r>
        <w:t>（1）截至本次付款周期已完成工作对应的金额；</w:t>
      </w:r>
    </w:p>
    <w:p w14:paraId="2CBF17A5">
      <w:pPr>
        <w:spacing w:line="400" w:lineRule="exact"/>
        <w:ind w:firstLine="420" w:firstLineChars="200"/>
      </w:pPr>
      <w:r>
        <w:t>（2）根据第10条</w:t>
      </w:r>
      <w:r>
        <w:rPr>
          <w:rFonts w:hint="eastAsia"/>
        </w:rPr>
        <w:t>〔</w:t>
      </w:r>
      <w:r>
        <w:t>变更</w:t>
      </w:r>
      <w:r>
        <w:rPr>
          <w:rFonts w:hint="eastAsia"/>
        </w:rPr>
        <w:t>〕</w:t>
      </w:r>
      <w:r>
        <w:t>应增加和扣减的变更金额；</w:t>
      </w:r>
    </w:p>
    <w:p w14:paraId="4FCC3110">
      <w:pPr>
        <w:spacing w:line="400" w:lineRule="exact"/>
        <w:ind w:firstLine="420" w:firstLineChars="200"/>
      </w:pPr>
      <w:r>
        <w:t>（3）根据第12.2款</w:t>
      </w:r>
      <w:r>
        <w:rPr>
          <w:rFonts w:hint="eastAsia"/>
        </w:rPr>
        <w:t>〔</w:t>
      </w:r>
      <w:r>
        <w:t>预付款</w:t>
      </w:r>
      <w:r>
        <w:rPr>
          <w:rFonts w:hint="eastAsia"/>
        </w:rPr>
        <w:t>〕</w:t>
      </w:r>
      <w:r>
        <w:t>约定应支付的预付款和扣减的返还预付款；</w:t>
      </w:r>
    </w:p>
    <w:p w14:paraId="5C0BDF18">
      <w:pPr>
        <w:spacing w:line="400" w:lineRule="exact"/>
        <w:ind w:firstLine="420" w:firstLineChars="200"/>
      </w:pPr>
      <w:r>
        <w:t>（4）根据第15.3款</w:t>
      </w:r>
      <w:r>
        <w:rPr>
          <w:rFonts w:hint="eastAsia"/>
        </w:rPr>
        <w:t>〔</w:t>
      </w:r>
      <w:r>
        <w:t>质量保证金</w:t>
      </w:r>
      <w:r>
        <w:rPr>
          <w:rFonts w:hint="eastAsia"/>
        </w:rPr>
        <w:t>〕</w:t>
      </w:r>
      <w:r>
        <w:t>约定应扣减的质量保证金；</w:t>
      </w:r>
    </w:p>
    <w:p w14:paraId="7BD65C2A">
      <w:pPr>
        <w:spacing w:line="400" w:lineRule="exact"/>
        <w:ind w:firstLine="420" w:firstLineChars="200"/>
      </w:pPr>
      <w:r>
        <w:t>（5）根据第19条</w:t>
      </w:r>
      <w:r>
        <w:rPr>
          <w:rFonts w:hint="eastAsia"/>
        </w:rPr>
        <w:t>〔</w:t>
      </w:r>
      <w:r>
        <w:t>索赔</w:t>
      </w:r>
      <w:r>
        <w:rPr>
          <w:rFonts w:hint="eastAsia"/>
        </w:rPr>
        <w:t>〕</w:t>
      </w:r>
      <w:r>
        <w:t>应增加和扣减的索赔金额；</w:t>
      </w:r>
    </w:p>
    <w:p w14:paraId="20565037">
      <w:pPr>
        <w:spacing w:line="400" w:lineRule="exact"/>
        <w:ind w:firstLine="420" w:firstLineChars="200"/>
      </w:pPr>
      <w:r>
        <w:t>（6）对已签发的进度款支付证书中出现错误的修正，应在本次进度付款中支付或扣除的金额；</w:t>
      </w:r>
    </w:p>
    <w:p w14:paraId="7C2D6EED">
      <w:pPr>
        <w:spacing w:line="400" w:lineRule="exact"/>
        <w:ind w:firstLine="420" w:firstLineChars="200"/>
      </w:pPr>
      <w:r>
        <w:t>（7）根据合同约定应增加和扣减的其他金额。</w:t>
      </w:r>
    </w:p>
    <w:p w14:paraId="1FE84DEA">
      <w:pPr>
        <w:spacing w:line="400" w:lineRule="exact"/>
        <w:ind w:firstLine="420" w:firstLineChars="200"/>
      </w:pPr>
      <w:r>
        <w:t>12.4.3 进度付款申请单的提交</w:t>
      </w:r>
    </w:p>
    <w:p w14:paraId="5173829A">
      <w:pPr>
        <w:spacing w:line="400" w:lineRule="exact"/>
        <w:ind w:firstLine="420" w:firstLineChars="200"/>
      </w:pPr>
      <w:r>
        <w:t>（1）单价合同进度付款申请单的提交</w:t>
      </w:r>
    </w:p>
    <w:p w14:paraId="76E97D13">
      <w:pPr>
        <w:spacing w:line="400" w:lineRule="exact"/>
        <w:ind w:firstLine="420" w:firstLineChars="200"/>
      </w:pPr>
      <w:r>
        <w:t>单价合同的进度付款申请单，按照第12.3.3项</w:t>
      </w:r>
      <w:r>
        <w:rPr>
          <w:rFonts w:hint="eastAsia"/>
        </w:rPr>
        <w:t>〔</w:t>
      </w:r>
      <w:r>
        <w:t>单价合同的计量</w:t>
      </w:r>
      <w:r>
        <w:rPr>
          <w:rFonts w:hint="eastAsia"/>
        </w:rPr>
        <w:t>〕</w:t>
      </w:r>
      <w:r>
        <w:t>约定的时间按月向监理人提交，并附上已完成工程量报表和有关资料。单价合同中的总价项目按月进行支付分解，并汇总列入当期进度付款申请单。</w:t>
      </w:r>
    </w:p>
    <w:p w14:paraId="057AEAFD">
      <w:pPr>
        <w:spacing w:line="400" w:lineRule="exact"/>
        <w:ind w:firstLine="420" w:firstLineChars="200"/>
      </w:pPr>
      <w:r>
        <w:t>（2）总价合同进度付款申请单的提交</w:t>
      </w:r>
    </w:p>
    <w:p w14:paraId="5572511F">
      <w:pPr>
        <w:spacing w:line="400" w:lineRule="exact"/>
        <w:ind w:firstLine="420" w:firstLineChars="200"/>
      </w:pPr>
      <w:r>
        <w:t>总价合同按</w:t>
      </w:r>
      <w:r>
        <w:rPr>
          <w:rFonts w:hint="eastAsia"/>
        </w:rPr>
        <w:t>月计量支付的</w:t>
      </w:r>
      <w:r>
        <w:t>，承包人按照第12.3.4项</w:t>
      </w:r>
      <w:r>
        <w:rPr>
          <w:rFonts w:hint="eastAsia"/>
        </w:rPr>
        <w:t>〔</w:t>
      </w:r>
      <w:r>
        <w:t>总价合同的计量</w:t>
      </w:r>
      <w:r>
        <w:rPr>
          <w:rFonts w:hint="eastAsia"/>
        </w:rPr>
        <w:t>〕</w:t>
      </w:r>
      <w:r>
        <w:t>约定的时间按月向监理人提交进度付款申请单，并附上已完成工程量报表和有关资料。</w:t>
      </w:r>
    </w:p>
    <w:p w14:paraId="558374FA">
      <w:pPr>
        <w:spacing w:line="400" w:lineRule="exact"/>
        <w:ind w:firstLine="420" w:firstLineChars="200"/>
      </w:pPr>
      <w:r>
        <w:t>总价合同按支付分解表支付的，承包人应按照第12.4.6项</w:t>
      </w:r>
      <w:r>
        <w:rPr>
          <w:rFonts w:hint="eastAsia"/>
        </w:rPr>
        <w:t>〔</w:t>
      </w:r>
      <w:r>
        <w:t>支付分解表</w:t>
      </w:r>
      <w:r>
        <w:rPr>
          <w:rFonts w:hint="eastAsia"/>
        </w:rPr>
        <w:t>〕</w:t>
      </w:r>
      <w:r>
        <w:t>及第12.4.2项</w:t>
      </w:r>
      <w:r>
        <w:rPr>
          <w:rFonts w:hint="eastAsia"/>
        </w:rPr>
        <w:t>〔</w:t>
      </w:r>
      <w:r>
        <w:t>进度付款申请单的编制</w:t>
      </w:r>
      <w:r>
        <w:rPr>
          <w:rFonts w:hint="eastAsia"/>
        </w:rPr>
        <w:t>〕</w:t>
      </w:r>
      <w:r>
        <w:t>的约定向监理人提交进度付款申请单。</w:t>
      </w:r>
    </w:p>
    <w:p w14:paraId="2D816952">
      <w:pPr>
        <w:spacing w:line="400" w:lineRule="exact"/>
        <w:ind w:firstLine="420" w:firstLineChars="200"/>
      </w:pPr>
      <w:r>
        <w:t>（3）其他价格形式合同的进度付款申请单的提交</w:t>
      </w:r>
    </w:p>
    <w:p w14:paraId="1ADB1140">
      <w:pPr>
        <w:spacing w:line="400" w:lineRule="exact"/>
        <w:ind w:firstLine="420" w:firstLineChars="200"/>
      </w:pPr>
      <w:r>
        <w:t>合同当事人可在专用合同条款中约定其他价格形式合同的进度付款申请单的编制和提交程序。</w:t>
      </w:r>
    </w:p>
    <w:p w14:paraId="1C901742">
      <w:pPr>
        <w:spacing w:line="400" w:lineRule="exact"/>
        <w:ind w:firstLine="420" w:firstLineChars="200"/>
      </w:pPr>
      <w:r>
        <w:t>12.4.4 进度款审核和支付</w:t>
      </w:r>
    </w:p>
    <w:p w14:paraId="0B9C225E">
      <w:pPr>
        <w:spacing w:line="400" w:lineRule="exact"/>
        <w:ind w:firstLine="420" w:firstLineChars="200"/>
      </w:pPr>
      <w: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rPr>
        <w:t>审批</w:t>
      </w:r>
      <w:r>
        <w:t>且未提出异议的，视为已签发进度款支付证书。</w:t>
      </w:r>
    </w:p>
    <w:p w14:paraId="249D01E1">
      <w:pPr>
        <w:spacing w:line="400" w:lineRule="exact"/>
        <w:ind w:firstLine="420" w:firstLineChars="200"/>
      </w:pPr>
      <w: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rPr>
        <w:t>〔</w:t>
      </w:r>
      <w:r>
        <w:t>争议解决</w:t>
      </w:r>
      <w:r>
        <w:rPr>
          <w:rFonts w:hint="eastAsia"/>
        </w:rPr>
        <w:t>〕</w:t>
      </w:r>
      <w:r>
        <w:t>的约定处理。</w:t>
      </w:r>
    </w:p>
    <w:p w14:paraId="7883A0BA">
      <w:pPr>
        <w:spacing w:line="400" w:lineRule="exact"/>
        <w:ind w:firstLine="420" w:firstLineChars="200"/>
      </w:pPr>
      <w:r>
        <w:t>（2）除专用合同条款另有约定外，发包人应在进度款支付证书或临时进度款支付证书签发后14天内完成支付，发包人逾期支付进度款的，应按照中国人民银行发布的同期同类贷款基准利率支付违约金。</w:t>
      </w:r>
    </w:p>
    <w:p w14:paraId="53178D0D">
      <w:pPr>
        <w:spacing w:line="400" w:lineRule="exact"/>
        <w:ind w:firstLine="420" w:firstLineChars="200"/>
      </w:pPr>
      <w:r>
        <w:t>（3）发包人签发进度款支付证书或临时进度款支付证书，不表明发包人已同意、批准或接受了承包人完成的相应部分的工作。</w:t>
      </w:r>
    </w:p>
    <w:p w14:paraId="4C653C90">
      <w:pPr>
        <w:spacing w:line="400" w:lineRule="exact"/>
        <w:ind w:firstLine="420" w:firstLineChars="200"/>
      </w:pPr>
      <w:r>
        <w:t>12.4.5 进度付款的修正</w:t>
      </w:r>
    </w:p>
    <w:p w14:paraId="238A175A">
      <w:pPr>
        <w:spacing w:line="400" w:lineRule="exact"/>
        <w:ind w:firstLine="420" w:firstLineChars="200"/>
      </w:pPr>
      <w:r>
        <w:t>在对已签发的进度款支付证书进行阶段汇总和复核中发现错误、遗漏或重复的，发包人和承包人均有权提出修正申请。经发包人和承包人同意的修正，应在下期进度付款中支付或扣除。</w:t>
      </w:r>
    </w:p>
    <w:p w14:paraId="4C289892">
      <w:pPr>
        <w:spacing w:line="400" w:lineRule="exact"/>
        <w:ind w:firstLine="420" w:firstLineChars="200"/>
      </w:pPr>
      <w:r>
        <w:t>12.4.6 支付分解表</w:t>
      </w:r>
    </w:p>
    <w:p w14:paraId="237E8945">
      <w:pPr>
        <w:spacing w:line="400" w:lineRule="exact"/>
        <w:ind w:firstLine="420" w:firstLineChars="200"/>
      </w:pPr>
      <w:r>
        <w:t>1</w:t>
      </w:r>
      <w:r>
        <w:rPr>
          <w:rFonts w:hint="eastAsia"/>
        </w:rPr>
        <w:t>.</w:t>
      </w:r>
      <w:r>
        <w:t>支付分解表的编制要求</w:t>
      </w:r>
    </w:p>
    <w:p w14:paraId="06D1FD28">
      <w:pPr>
        <w:spacing w:line="400" w:lineRule="exact"/>
        <w:ind w:firstLine="420" w:firstLineChars="200"/>
      </w:pPr>
      <w:r>
        <w:t>（1）支付分解表中所列的每期付款金额，应为第12.4.2项</w:t>
      </w:r>
      <w:r>
        <w:rPr>
          <w:rFonts w:hint="eastAsia"/>
        </w:rPr>
        <w:t>〔</w:t>
      </w:r>
      <w:r>
        <w:t>进度付款申请单的编制</w:t>
      </w:r>
      <w:r>
        <w:rPr>
          <w:rFonts w:hint="eastAsia"/>
        </w:rPr>
        <w:t>〕</w:t>
      </w:r>
      <w:r>
        <w:t>第（1）</w:t>
      </w:r>
      <w:r>
        <w:rPr>
          <w:rFonts w:hint="eastAsia"/>
        </w:rPr>
        <w:t>目</w:t>
      </w:r>
      <w:r>
        <w:t>的估算金额；</w:t>
      </w:r>
    </w:p>
    <w:p w14:paraId="1DAC3591">
      <w:pPr>
        <w:spacing w:line="400" w:lineRule="exact"/>
        <w:ind w:firstLine="420" w:firstLineChars="200"/>
      </w:pPr>
      <w:r>
        <w:t>（2）实际进度与施工进度计划不一致的，合同当事人可按照第4.4款</w:t>
      </w:r>
      <w:r>
        <w:rPr>
          <w:rFonts w:hint="eastAsia"/>
        </w:rPr>
        <w:t>〔</w:t>
      </w:r>
      <w:r>
        <w:t>商定或确定</w:t>
      </w:r>
      <w:r>
        <w:rPr>
          <w:rFonts w:hint="eastAsia"/>
        </w:rPr>
        <w:t>〕</w:t>
      </w:r>
      <w:r>
        <w:t>修改支付分解表；</w:t>
      </w:r>
    </w:p>
    <w:p w14:paraId="4E66EA4B">
      <w:pPr>
        <w:spacing w:line="400" w:lineRule="exact"/>
        <w:ind w:firstLine="420" w:firstLineChars="200"/>
      </w:pPr>
      <w:r>
        <w:t>（3）不采用支付分解表的，承包人应向发包人和监理人提交按季度编制的支付估算分解表，用于支付参考。</w:t>
      </w:r>
    </w:p>
    <w:p w14:paraId="1D342327">
      <w:pPr>
        <w:spacing w:line="400" w:lineRule="exact"/>
        <w:ind w:firstLine="420" w:firstLineChars="200"/>
      </w:pPr>
      <w:r>
        <w:t>2</w:t>
      </w:r>
      <w:r>
        <w:rPr>
          <w:rFonts w:hint="eastAsia"/>
        </w:rPr>
        <w:t>.</w:t>
      </w:r>
      <w:r>
        <w:t>总价合同支付分解表的编制与审批</w:t>
      </w:r>
    </w:p>
    <w:p w14:paraId="5E7E4FFB">
      <w:pPr>
        <w:spacing w:line="400" w:lineRule="exact"/>
        <w:ind w:firstLine="420" w:firstLineChars="200"/>
      </w:pPr>
      <w:r>
        <w:t>（1）除专用合同条款另有约定外，承包人应根据第7.2款</w:t>
      </w:r>
      <w:r>
        <w:rPr>
          <w:rFonts w:hint="eastAsia"/>
        </w:rPr>
        <w:t>〔</w:t>
      </w:r>
      <w:r>
        <w:t>施工进度计划</w:t>
      </w:r>
      <w:r>
        <w:rPr>
          <w:rFonts w:hint="eastAsia"/>
        </w:rPr>
        <w:t>〕</w:t>
      </w:r>
      <w: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04B0205">
      <w:pPr>
        <w:spacing w:line="400" w:lineRule="exact"/>
        <w:ind w:firstLine="420" w:firstLineChars="200"/>
      </w:pPr>
      <w:r>
        <w:t>（2）监理人应在收到支付分解表后7天内完成审核并报送发包人。发包人应在收到经监理人审核的支付分解表后7天内完成审批，经发包人批准的支付分解表为有约束力的支付分解表。</w:t>
      </w:r>
    </w:p>
    <w:p w14:paraId="0B3E8321">
      <w:pPr>
        <w:spacing w:line="400" w:lineRule="exact"/>
        <w:ind w:firstLine="420" w:firstLineChars="200"/>
      </w:pPr>
      <w:r>
        <w:t>（3）发包人逾期未完成支付分解表</w:t>
      </w:r>
      <w:r>
        <w:rPr>
          <w:rFonts w:hint="eastAsia"/>
        </w:rPr>
        <w:t>审批</w:t>
      </w:r>
      <w:r>
        <w:t>的，也未及时要求承包人进行修正和提供补充资料的，则承包人提交的支付分解表视为已经获得发包人批准。</w:t>
      </w:r>
    </w:p>
    <w:p w14:paraId="62B0D4BE">
      <w:pPr>
        <w:spacing w:line="400" w:lineRule="exact"/>
        <w:ind w:firstLine="420" w:firstLineChars="200"/>
      </w:pPr>
      <w:r>
        <w:t>3</w:t>
      </w:r>
      <w:r>
        <w:rPr>
          <w:rFonts w:hint="eastAsia"/>
        </w:rPr>
        <w:t>.</w:t>
      </w:r>
      <w:r>
        <w:t>单价合同的总价项目支付分解表的编制与审批</w:t>
      </w:r>
    </w:p>
    <w:p w14:paraId="14A6CAE4">
      <w:pPr>
        <w:spacing w:line="400" w:lineRule="exact"/>
        <w:ind w:firstLine="420" w:firstLineChars="200"/>
      </w:pPr>
      <w: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2A2B9C1">
      <w:pPr>
        <w:pStyle w:val="25"/>
        <w:ind w:firstLine="482" w:firstLineChars="200"/>
        <w:rPr>
          <w:b/>
        </w:rPr>
      </w:pPr>
      <w:bookmarkStart w:id="1193" w:name="_Toc256000240"/>
      <w:bookmarkStart w:id="1194" w:name="_Toc351203585"/>
      <w:bookmarkStart w:id="1195" w:name="_Toc152264599"/>
      <w:r>
        <w:rPr>
          <w:b/>
        </w:rPr>
        <w:t>12.5支付账户</w:t>
      </w:r>
      <w:bookmarkEnd w:id="1193"/>
      <w:bookmarkEnd w:id="1194"/>
      <w:bookmarkEnd w:id="1195"/>
    </w:p>
    <w:p w14:paraId="0DB3264B">
      <w:pPr>
        <w:spacing w:line="400" w:lineRule="exact"/>
        <w:ind w:firstLine="420" w:firstLineChars="200"/>
      </w:pPr>
      <w:r>
        <w:t>发包人应将合同价款支付至合同协议书中约定的承包人账户。</w:t>
      </w:r>
    </w:p>
    <w:p w14:paraId="58C30C7B">
      <w:pPr>
        <w:pStyle w:val="23"/>
        <w:ind w:firstLine="640" w:firstLineChars="200"/>
        <w:rPr>
          <w:rFonts w:ascii="黑体" w:hAnsi="宋体" w:cs="黑体"/>
          <w:kern w:val="0"/>
          <w:sz w:val="32"/>
          <w:lang w:bidi="ar"/>
        </w:rPr>
      </w:pPr>
      <w:bookmarkStart w:id="1196" w:name="_Toc351203586"/>
      <w:bookmarkStart w:id="1197" w:name="_Toc256000241"/>
      <w:bookmarkStart w:id="1198" w:name="_Toc152264600"/>
      <w:bookmarkStart w:id="1199" w:name="_Toc296346607"/>
      <w:bookmarkStart w:id="1200" w:name="_Toc296503106"/>
      <w:bookmarkStart w:id="1201" w:name="_Toc337558804"/>
      <w:bookmarkStart w:id="1202" w:name="_Toc322522574"/>
      <w:r>
        <w:rPr>
          <w:rFonts w:hint="eastAsia" w:ascii="黑体" w:hAnsi="宋体" w:cs="黑体"/>
          <w:kern w:val="0"/>
          <w:sz w:val="32"/>
          <w:lang w:bidi="ar"/>
        </w:rPr>
        <w:t>13.验收和工程试车</w:t>
      </w:r>
      <w:bookmarkEnd w:id="1196"/>
      <w:bookmarkEnd w:id="1197"/>
      <w:bookmarkEnd w:id="1198"/>
    </w:p>
    <w:bookmarkEnd w:id="1199"/>
    <w:bookmarkEnd w:id="1200"/>
    <w:bookmarkEnd w:id="1201"/>
    <w:bookmarkEnd w:id="1202"/>
    <w:p w14:paraId="4DDF0C7C">
      <w:pPr>
        <w:pStyle w:val="25"/>
        <w:ind w:firstLine="482" w:firstLineChars="200"/>
        <w:rPr>
          <w:b/>
        </w:rPr>
      </w:pPr>
      <w:bookmarkStart w:id="1203" w:name="_Toc152264601"/>
      <w:bookmarkStart w:id="1204" w:name="_Toc256000242"/>
      <w:bookmarkStart w:id="1205" w:name="_Toc351203587"/>
      <w:bookmarkStart w:id="1206" w:name="_Toc337558805"/>
      <w:bookmarkStart w:id="1207" w:name="_Toc296503110"/>
      <w:bookmarkStart w:id="1208" w:name="_Toc296346611"/>
      <w:r>
        <w:rPr>
          <w:b/>
        </w:rPr>
        <w:t>13.1分部分项工程验收</w:t>
      </w:r>
      <w:bookmarkEnd w:id="1203"/>
      <w:bookmarkEnd w:id="1204"/>
      <w:bookmarkEnd w:id="1205"/>
    </w:p>
    <w:bookmarkEnd w:id="1206"/>
    <w:p w14:paraId="52A5FE02">
      <w:pPr>
        <w:spacing w:line="400" w:lineRule="exact"/>
        <w:ind w:firstLine="420" w:firstLineChars="200"/>
      </w:pPr>
      <w:r>
        <w:t>13.1.1 分部分项工程质量应符合国家有关工程施工验收规范、标准及合同约定，承包人应按照施工组织设计的要求完成分部分项工程施工。</w:t>
      </w:r>
    </w:p>
    <w:p w14:paraId="65254578">
      <w:pPr>
        <w:spacing w:line="400" w:lineRule="exact"/>
        <w:ind w:firstLine="420" w:firstLineChars="200"/>
      </w:pPr>
      <w: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7C93AB5">
      <w:pPr>
        <w:spacing w:line="400" w:lineRule="exact"/>
        <w:ind w:firstLine="420" w:firstLineChars="200"/>
      </w:pPr>
      <w:r>
        <w:t>分部分项工程的验收资料应当作为竣工资料的组成部分。</w:t>
      </w:r>
    </w:p>
    <w:p w14:paraId="4BDCD1F8">
      <w:pPr>
        <w:pStyle w:val="25"/>
        <w:ind w:firstLine="482" w:firstLineChars="200"/>
        <w:rPr>
          <w:b/>
        </w:rPr>
      </w:pPr>
      <w:bookmarkStart w:id="1209" w:name="_Toc351203588"/>
      <w:bookmarkStart w:id="1210" w:name="_Toc256000243"/>
      <w:bookmarkStart w:id="1211" w:name="_Toc152264602"/>
      <w:bookmarkStart w:id="1212" w:name="_Toc337558806"/>
      <w:r>
        <w:rPr>
          <w:b/>
        </w:rPr>
        <w:t>13.2竣工验收</w:t>
      </w:r>
      <w:bookmarkEnd w:id="1209"/>
      <w:bookmarkEnd w:id="1210"/>
      <w:bookmarkEnd w:id="1211"/>
    </w:p>
    <w:bookmarkEnd w:id="1207"/>
    <w:bookmarkEnd w:id="1208"/>
    <w:bookmarkEnd w:id="1212"/>
    <w:p w14:paraId="1C38830C">
      <w:pPr>
        <w:spacing w:line="400" w:lineRule="exact"/>
        <w:ind w:firstLine="420" w:firstLineChars="200"/>
      </w:pPr>
      <w:r>
        <w:t>13.2.1竣工验收条件</w:t>
      </w:r>
    </w:p>
    <w:p w14:paraId="7BFBDC4F">
      <w:pPr>
        <w:spacing w:line="400" w:lineRule="exact"/>
        <w:ind w:firstLine="420" w:firstLineChars="200"/>
      </w:pPr>
      <w:r>
        <w:t>工程具备以下条件的，承包人可以申请竣工验收：</w:t>
      </w:r>
    </w:p>
    <w:p w14:paraId="32667A04">
      <w:pPr>
        <w:spacing w:line="400" w:lineRule="exact"/>
        <w:ind w:firstLine="420" w:firstLineChars="200"/>
      </w:pPr>
      <w:r>
        <w:t>（1）除发包人同意的甩项</w:t>
      </w:r>
      <w:r>
        <w:rPr>
          <w:rFonts w:hint="eastAsia"/>
        </w:rPr>
        <w:t>工作</w:t>
      </w:r>
      <w:r>
        <w:t>和缺陷修补工作外，合同范围内的全部工程以及有关工作，包括合同要求的试验、试运行以及检验均已完成，并符合合同要求；</w:t>
      </w:r>
    </w:p>
    <w:p w14:paraId="199AF8BE">
      <w:pPr>
        <w:spacing w:line="400" w:lineRule="exact"/>
        <w:ind w:firstLine="420" w:firstLineChars="200"/>
      </w:pPr>
      <w:r>
        <w:t>（2）已按合同约定编制了甩项</w:t>
      </w:r>
      <w:r>
        <w:rPr>
          <w:rFonts w:hint="eastAsia"/>
        </w:rPr>
        <w:t>工作</w:t>
      </w:r>
      <w:r>
        <w:t>和缺陷修补工作清单以及相应的施工计划；</w:t>
      </w:r>
    </w:p>
    <w:p w14:paraId="19B3ACB2">
      <w:pPr>
        <w:spacing w:line="400" w:lineRule="exact"/>
        <w:ind w:firstLine="420" w:firstLineChars="200"/>
      </w:pPr>
      <w:r>
        <w:t>（3）已按合同约定的内容和份数备齐竣工资料。</w:t>
      </w:r>
    </w:p>
    <w:p w14:paraId="7AE4C91A">
      <w:pPr>
        <w:spacing w:line="400" w:lineRule="exact"/>
        <w:ind w:firstLine="420" w:firstLineChars="200"/>
      </w:pPr>
      <w:r>
        <w:t>13.2.2竣工验收程序</w:t>
      </w:r>
    </w:p>
    <w:p w14:paraId="64ADF902">
      <w:pPr>
        <w:spacing w:line="400" w:lineRule="exact"/>
        <w:ind w:firstLine="420" w:firstLineChars="200"/>
      </w:pPr>
      <w:r>
        <w:t>除专用合同条款另有约定外，承包人申请竣工验收的，应当按照以下程序进行：</w:t>
      </w:r>
    </w:p>
    <w:p w14:paraId="7B784248">
      <w:pPr>
        <w:spacing w:line="400" w:lineRule="exact"/>
        <w:ind w:firstLine="420" w:firstLineChars="200"/>
      </w:pPr>
      <w: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296F29F">
      <w:pPr>
        <w:spacing w:line="400" w:lineRule="exact"/>
        <w:ind w:firstLine="420" w:firstLineChars="200"/>
      </w:pPr>
      <w:r>
        <w:t>（2）监理人审查后认为已具备竣工验收条件的，应将竣工验收申请报告提交发包人，发包人应在收到</w:t>
      </w:r>
      <w:r>
        <w:rPr>
          <w:rFonts w:hint="eastAsia"/>
        </w:rPr>
        <w:t>经</w:t>
      </w:r>
      <w:r>
        <w:t>监理人审核的竣工验收申请报告后28天内</w:t>
      </w:r>
      <w:r>
        <w:rPr>
          <w:rFonts w:hint="eastAsia"/>
        </w:rPr>
        <w:t>审批</w:t>
      </w:r>
      <w:r>
        <w:t>完毕并组织监理人、承包人、设计人等相关单位完成竣工验收。</w:t>
      </w:r>
    </w:p>
    <w:p w14:paraId="00AA63C1">
      <w:pPr>
        <w:spacing w:line="400" w:lineRule="exact"/>
        <w:ind w:firstLine="420" w:firstLineChars="200"/>
      </w:pPr>
      <w:r>
        <w:t>（3）竣工验收合格的，发包人应在验收合格后14天内向承包人签发工程接收证书。发包人无正当理由逾期不颁发工程接收证书的，自验收合格后第15天起视为已颁发工程接收证书。</w:t>
      </w:r>
    </w:p>
    <w:p w14:paraId="6C6ED5BD">
      <w:pPr>
        <w:spacing w:line="400" w:lineRule="exact"/>
        <w:ind w:firstLine="420" w:firstLineChars="200"/>
      </w:pPr>
      <w: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B19351A">
      <w:pPr>
        <w:spacing w:line="400" w:lineRule="exact"/>
        <w:ind w:firstLine="420" w:firstLineChars="200"/>
      </w:pPr>
      <w:r>
        <w:t>（5）工程未经验收或验收不合格，发包人擅自使用的，应在转移占有工程后7天内向承包人颁发工程接收证书；发包人无正当理由逾期不颁发工程接收证书的，自转移占有后第15天起视为已颁发工程接收证书。</w:t>
      </w:r>
    </w:p>
    <w:p w14:paraId="03D723FC">
      <w:pPr>
        <w:spacing w:line="400" w:lineRule="exact"/>
        <w:ind w:firstLine="420" w:firstLineChars="200"/>
      </w:pPr>
      <w:r>
        <w:t>除专用合同条款另有约定外，发包人不按照本项约定组织竣工验收、颁发工程接收证书的，每逾期一天，应以签约合同价为基数，按照中国人民银行发布的同期同类贷款基准利率支付违约金。</w:t>
      </w:r>
    </w:p>
    <w:p w14:paraId="3B3B90D6">
      <w:pPr>
        <w:spacing w:line="400" w:lineRule="exact"/>
        <w:ind w:firstLine="420" w:firstLineChars="200"/>
      </w:pPr>
      <w:r>
        <w:t>13.2.3竣工日期</w:t>
      </w:r>
    </w:p>
    <w:p w14:paraId="6FA4C1B1">
      <w:pPr>
        <w:spacing w:line="400" w:lineRule="exact"/>
        <w:ind w:firstLine="420" w:firstLineChars="200"/>
      </w:pPr>
      <w:r>
        <w:t>工程经竣工验收合格的，以承包人提交竣工验收申请报告之日为实际竣工日期，并在工程接收证书中载明；因发包人原因，未在监理人收到承包人提交的竣工验收申请报告42天内完成</w:t>
      </w:r>
      <w:r>
        <w:rPr>
          <w:rFonts w:hint="eastAsia"/>
        </w:rPr>
        <w:t>竣工</w:t>
      </w:r>
      <w:r>
        <w:t>验收</w:t>
      </w:r>
      <w:r>
        <w:rPr>
          <w:rFonts w:hint="eastAsia"/>
        </w:rPr>
        <w:t>，或完成竣工验收不予签发工程接收证书</w:t>
      </w:r>
      <w:r>
        <w:t>的，以提交竣工验</w:t>
      </w:r>
      <w:bookmarkStart w:id="1213" w:name="#go14"/>
      <w:bookmarkEnd w:id="1213"/>
      <w:r>
        <w:t>收申请报告的日期为实际竣工日期；工程未经竣工验收，发包人擅自使用的，以转移占有工程之日为实际竣工日期。</w:t>
      </w:r>
    </w:p>
    <w:p w14:paraId="52AD85CC">
      <w:pPr>
        <w:spacing w:line="400" w:lineRule="exact"/>
        <w:ind w:firstLine="420" w:firstLineChars="200"/>
      </w:pPr>
      <w:r>
        <w:t>13.2.4 拒绝接收全部或部分工程</w:t>
      </w:r>
    </w:p>
    <w:p w14:paraId="066F5746">
      <w:pPr>
        <w:spacing w:line="400" w:lineRule="exact"/>
        <w:ind w:firstLine="420" w:firstLineChars="200"/>
      </w:pPr>
      <w:r>
        <w:t>对于竣工验收不合格的工程，承包人完成整改后，</w:t>
      </w:r>
      <w:r>
        <w:rPr>
          <w:rFonts w:hint="eastAsia"/>
        </w:rPr>
        <w:t>应当</w:t>
      </w:r>
      <w: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EE167EB">
      <w:pPr>
        <w:spacing w:line="400" w:lineRule="exact"/>
        <w:ind w:firstLine="420" w:firstLineChars="200"/>
      </w:pPr>
      <w:r>
        <w:t>13.2.5 移交、接收全部与部分工程</w:t>
      </w:r>
    </w:p>
    <w:p w14:paraId="62F32A3E">
      <w:pPr>
        <w:spacing w:line="400" w:lineRule="exact"/>
        <w:ind w:firstLine="420" w:firstLineChars="200"/>
      </w:pPr>
      <w:r>
        <w:rPr>
          <w:rFonts w:hint="eastAsia"/>
        </w:rPr>
        <w:t>除专用合同条款另有约定外，</w:t>
      </w:r>
      <w:r>
        <w:t>合同当事人应当在颁发工程接收证书</w:t>
      </w:r>
      <w:r>
        <w:rPr>
          <w:rFonts w:hint="eastAsia"/>
        </w:rPr>
        <w:t>后7天内</w:t>
      </w:r>
      <w:r>
        <w:t>完成工程的移交。</w:t>
      </w:r>
    </w:p>
    <w:p w14:paraId="0402A2F1">
      <w:pPr>
        <w:spacing w:line="400" w:lineRule="exact"/>
        <w:ind w:firstLine="420" w:firstLineChars="200"/>
      </w:pPr>
      <w:r>
        <w:t>发包人无正当理由不接收工程的，发包人自</w:t>
      </w:r>
      <w:r>
        <w:rPr>
          <w:rFonts w:hint="eastAsia"/>
        </w:rPr>
        <w:t>应当接收工程</w:t>
      </w:r>
      <w:r>
        <w:t>之日起，承担工程照管、成品保护、保管等与工程有关的各项费用</w:t>
      </w:r>
      <w:r>
        <w:rPr>
          <w:rFonts w:hint="eastAsia"/>
        </w:rPr>
        <w:t>，合同当事人可以在专用合同条款中另行约定发包人逾期接收工程的违约责任</w:t>
      </w:r>
      <w:r>
        <w:t>。</w:t>
      </w:r>
    </w:p>
    <w:p w14:paraId="4C6ADB84">
      <w:pPr>
        <w:spacing w:line="400" w:lineRule="exact"/>
        <w:ind w:firstLine="420" w:firstLineChars="200"/>
      </w:pPr>
      <w:r>
        <w:t>承包人无正当理由不移交工程的，</w:t>
      </w:r>
      <w:r>
        <w:rPr>
          <w:rFonts w:hint="eastAsia"/>
        </w:rPr>
        <w:t>承包人应承担</w:t>
      </w:r>
      <w:r>
        <w:t>工程照管、成品保护、保管等与工程有关的各项费用</w:t>
      </w:r>
      <w:r>
        <w:rPr>
          <w:rFonts w:hint="eastAsia"/>
        </w:rPr>
        <w:t>，合同当事人可以在专用合同条款中另行约定承包人无正当理由不移交工程的违约责任</w:t>
      </w:r>
      <w:r>
        <w:t>。</w:t>
      </w:r>
    </w:p>
    <w:p w14:paraId="4A598589">
      <w:pPr>
        <w:pStyle w:val="25"/>
        <w:ind w:firstLine="482" w:firstLineChars="200"/>
        <w:rPr>
          <w:b/>
        </w:rPr>
      </w:pPr>
      <w:bookmarkStart w:id="1214" w:name="_Toc152264603"/>
      <w:bookmarkStart w:id="1215" w:name="_Toc351203589"/>
      <w:bookmarkStart w:id="1216" w:name="_Toc256000244"/>
      <w:bookmarkStart w:id="1217" w:name="_Toc296503111"/>
      <w:bookmarkStart w:id="1218" w:name="_Toc337558807"/>
      <w:bookmarkStart w:id="1219" w:name="_Toc296346612"/>
      <w:r>
        <w:rPr>
          <w:b/>
        </w:rPr>
        <w:t>13.3工程试车</w:t>
      </w:r>
      <w:bookmarkEnd w:id="1214"/>
      <w:bookmarkEnd w:id="1215"/>
      <w:bookmarkEnd w:id="1216"/>
    </w:p>
    <w:bookmarkEnd w:id="1217"/>
    <w:bookmarkEnd w:id="1218"/>
    <w:bookmarkEnd w:id="1219"/>
    <w:p w14:paraId="241C89F1">
      <w:pPr>
        <w:spacing w:line="400" w:lineRule="exact"/>
        <w:ind w:firstLine="420" w:firstLineChars="200"/>
      </w:pPr>
      <w:r>
        <w:t>13.3.1试车程序</w:t>
      </w:r>
    </w:p>
    <w:p w14:paraId="588C5BDC">
      <w:pPr>
        <w:spacing w:line="400" w:lineRule="exact"/>
        <w:ind w:firstLine="420" w:firstLineChars="200"/>
      </w:pPr>
      <w:r>
        <w:t>工程需要试车的，除专用合同条款另有约定外，试车内容应与承包人承包范围相一致，试车费用由承包人承担。工程试车应按如下程序进行：</w:t>
      </w:r>
    </w:p>
    <w:p w14:paraId="1ACB69BB">
      <w:pPr>
        <w:spacing w:line="400" w:lineRule="exact"/>
        <w:ind w:firstLine="420" w:firstLineChars="200"/>
      </w:pPr>
      <w: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038E0EB">
      <w:pPr>
        <w:spacing w:line="400" w:lineRule="exact"/>
        <w:ind w:firstLine="420" w:firstLineChars="200"/>
      </w:pPr>
      <w: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F928A2B">
      <w:pPr>
        <w:spacing w:line="400" w:lineRule="exact"/>
        <w:ind w:firstLine="420" w:firstLineChars="200"/>
      </w:pPr>
      <w: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A3350AB">
      <w:pPr>
        <w:spacing w:line="400" w:lineRule="exact"/>
        <w:ind w:firstLine="420" w:firstLineChars="200"/>
      </w:pPr>
      <w:r>
        <w:t>13.3.2 试车中的责任</w:t>
      </w:r>
    </w:p>
    <w:p w14:paraId="4E721668">
      <w:pPr>
        <w:spacing w:line="400" w:lineRule="exact"/>
        <w:ind w:firstLine="420" w:firstLineChars="200"/>
      </w:pPr>
      <w: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4421A61">
      <w:pPr>
        <w:spacing w:line="400" w:lineRule="exact"/>
        <w:ind w:firstLine="420" w:firstLineChars="200"/>
      </w:pPr>
      <w: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CB8FA7B">
      <w:pPr>
        <w:spacing w:line="400" w:lineRule="exact"/>
        <w:ind w:firstLine="420" w:firstLineChars="200"/>
      </w:pPr>
      <w:r>
        <w:t>13.3.3 投料试车</w:t>
      </w:r>
    </w:p>
    <w:p w14:paraId="58572437">
      <w:pPr>
        <w:spacing w:line="400" w:lineRule="exact"/>
        <w:ind w:firstLine="420" w:firstLineChars="200"/>
      </w:pPr>
      <w:r>
        <w:rPr>
          <w:rFonts w:hint="eastAsia"/>
        </w:rPr>
        <w:t>如需进行投料试车的，</w:t>
      </w:r>
      <w:r>
        <w:t>发包人</w:t>
      </w:r>
      <w:r>
        <w:rPr>
          <w:rFonts w:hint="eastAsia"/>
        </w:rPr>
        <w:t>应在</w:t>
      </w:r>
      <w:r>
        <w:t>工程竣工验收后</w:t>
      </w:r>
      <w:r>
        <w:rPr>
          <w:rFonts w:hint="eastAsia"/>
        </w:rPr>
        <w:t>组织</w:t>
      </w:r>
      <w:r>
        <w:t>投料试车</w:t>
      </w:r>
      <w:r>
        <w:rPr>
          <w:rFonts w:hint="eastAsia"/>
        </w:rPr>
        <w:t>。</w:t>
      </w:r>
      <w:r>
        <w:t>发包人要求在工程竣工验收前进行或需要承包人配合时，应征得承包人同意</w:t>
      </w:r>
      <w:r>
        <w:rPr>
          <w:rFonts w:hint="eastAsia"/>
        </w:rPr>
        <w:t>，并在专用合同条款中约定有关事项</w:t>
      </w:r>
      <w:r>
        <w:t>。</w:t>
      </w:r>
    </w:p>
    <w:p w14:paraId="7EE0D7D2">
      <w:pPr>
        <w:spacing w:line="400" w:lineRule="exact"/>
        <w:ind w:firstLine="420" w:firstLineChars="200"/>
      </w:pPr>
      <w:r>
        <w:t>投料试车合格的，费用由发包人承担；因承包人原因造成投料试车不合格的，承包人应按照发包人要求进行整改，由此产生的整改费用由承包人承担；非因承包人原因导致投料试车不合格的，</w:t>
      </w:r>
      <w:r>
        <w:rPr>
          <w:rFonts w:hint="eastAsia"/>
        </w:rPr>
        <w:t>如</w:t>
      </w:r>
      <w:r>
        <w:t>发包人要求承包人进行整改</w:t>
      </w:r>
      <w:r>
        <w:rPr>
          <w:rFonts w:hint="eastAsia"/>
        </w:rPr>
        <w:t>的</w:t>
      </w:r>
      <w:r>
        <w:t>，由此产生的费用由发包人承担。</w:t>
      </w:r>
    </w:p>
    <w:p w14:paraId="1C42A282">
      <w:pPr>
        <w:pStyle w:val="25"/>
        <w:ind w:firstLine="482" w:firstLineChars="200"/>
        <w:rPr>
          <w:b/>
        </w:rPr>
      </w:pPr>
      <w:bookmarkStart w:id="1220" w:name="_Toc256000245"/>
      <w:bookmarkStart w:id="1221" w:name="_Toc152264604"/>
      <w:bookmarkStart w:id="1222" w:name="_Toc351203590"/>
      <w:bookmarkStart w:id="1223" w:name="_Toc337558808"/>
      <w:r>
        <w:rPr>
          <w:b/>
        </w:rPr>
        <w:t>13.4提前交付单位工程的验收</w:t>
      </w:r>
      <w:bookmarkEnd w:id="1220"/>
      <w:bookmarkEnd w:id="1221"/>
      <w:bookmarkEnd w:id="1222"/>
    </w:p>
    <w:bookmarkEnd w:id="1223"/>
    <w:p w14:paraId="7D46A55E">
      <w:pPr>
        <w:spacing w:line="400" w:lineRule="exact"/>
        <w:ind w:firstLine="420" w:firstLineChars="200"/>
      </w:pPr>
      <w:r>
        <w:t>13.4.1 发包人需要在工程竣工前使用单位工程的，或承包人提出提前交付已经竣工的单位工程且经发包人同意的，可进行单位工程验收，验收的程序按照第13.2款</w:t>
      </w:r>
      <w:r>
        <w:rPr>
          <w:rFonts w:hint="eastAsia"/>
        </w:rPr>
        <w:t>〔</w:t>
      </w:r>
      <w:r>
        <w:t>竣工验收</w:t>
      </w:r>
      <w:r>
        <w:rPr>
          <w:rFonts w:hint="eastAsia"/>
        </w:rPr>
        <w:t>〕</w:t>
      </w:r>
      <w:r>
        <w:t>的约定进行。</w:t>
      </w:r>
    </w:p>
    <w:p w14:paraId="6A790859">
      <w:pPr>
        <w:spacing w:line="400" w:lineRule="exact"/>
        <w:ind w:firstLine="420" w:firstLineChars="200"/>
      </w:pPr>
      <w:r>
        <w:t>验收合格后，由监理人向承包人出具经发包人签认的单位工程接收证书。已签发单位工程接收证书的单位工程由发包人负责照管。单位工程的验收成果和结论作为整体工程竣工验收申请报告的附件。</w:t>
      </w:r>
    </w:p>
    <w:p w14:paraId="7095A77D">
      <w:pPr>
        <w:spacing w:line="400" w:lineRule="exact"/>
        <w:ind w:firstLine="420" w:firstLineChars="200"/>
      </w:pPr>
      <w:r>
        <w:t>13.4.2 发包人要求在工程竣工前交付单位工程，由此导致承包人费用增加和（或）工期延误的，由发包人承担由此增加的费用和（或）延误的工期，并支付承包人合理的利润。</w:t>
      </w:r>
    </w:p>
    <w:p w14:paraId="281DC488">
      <w:pPr>
        <w:pStyle w:val="25"/>
        <w:ind w:firstLine="482" w:firstLineChars="200"/>
        <w:rPr>
          <w:b/>
        </w:rPr>
      </w:pPr>
      <w:bookmarkStart w:id="1224" w:name="_Toc152264605"/>
      <w:bookmarkStart w:id="1225" w:name="_Toc351203591"/>
      <w:bookmarkStart w:id="1226" w:name="_Toc256000246"/>
      <w:r>
        <w:rPr>
          <w:b/>
        </w:rPr>
        <w:t>13.5 施工期运行</w:t>
      </w:r>
      <w:bookmarkEnd w:id="1224"/>
      <w:bookmarkEnd w:id="1225"/>
      <w:bookmarkEnd w:id="1226"/>
    </w:p>
    <w:p w14:paraId="0B83EFD1">
      <w:pPr>
        <w:spacing w:line="400" w:lineRule="exact"/>
        <w:ind w:firstLine="420" w:firstLineChars="200"/>
      </w:pPr>
      <w:r>
        <w:t>13.5.1 施工期运行是指合同工程尚未全部竣工，其中某项或某几项单位工程或工程设备安装已竣工，根据专用合同条款约定，需要投入施工期运行的，经发包人按第13.4款</w:t>
      </w:r>
      <w:r>
        <w:rPr>
          <w:rFonts w:hint="eastAsia"/>
        </w:rPr>
        <w:t>〔</w:t>
      </w:r>
      <w:r>
        <w:t>提前交付单位工程的验收</w:t>
      </w:r>
      <w:r>
        <w:rPr>
          <w:rFonts w:hint="eastAsia"/>
        </w:rPr>
        <w:t>〕</w:t>
      </w:r>
      <w:r>
        <w:t>的约定验收合格，证明能确保安全后，才能在施工期投入运行。</w:t>
      </w:r>
    </w:p>
    <w:p w14:paraId="17AAC51C">
      <w:pPr>
        <w:spacing w:line="400" w:lineRule="exact"/>
        <w:ind w:firstLine="420" w:firstLineChars="200"/>
      </w:pPr>
      <w:r>
        <w:t>13.5.2 在施工期运行中发现工程或工程设备损坏或存在缺陷的，由承包人按第15.2款</w:t>
      </w:r>
      <w:r>
        <w:rPr>
          <w:rFonts w:hint="eastAsia"/>
        </w:rPr>
        <w:t>〔</w:t>
      </w:r>
      <w:r>
        <w:t>缺陷责任期</w:t>
      </w:r>
      <w:r>
        <w:rPr>
          <w:rFonts w:hint="eastAsia"/>
        </w:rPr>
        <w:t>〕</w:t>
      </w:r>
      <w:r>
        <w:t>约定进行修复。</w:t>
      </w:r>
    </w:p>
    <w:p w14:paraId="221C1A46">
      <w:pPr>
        <w:pStyle w:val="25"/>
        <w:ind w:firstLine="482" w:firstLineChars="200"/>
        <w:rPr>
          <w:b/>
        </w:rPr>
      </w:pPr>
      <w:bookmarkStart w:id="1227" w:name="_Toc296503112"/>
      <w:bookmarkStart w:id="1228" w:name="_Toc296346613"/>
      <w:bookmarkStart w:id="1229" w:name="_Toc351203592"/>
      <w:bookmarkStart w:id="1230" w:name="_Toc152264606"/>
      <w:bookmarkStart w:id="1231" w:name="_Toc256000247"/>
      <w:bookmarkStart w:id="1232" w:name="_Toc337558809"/>
      <w:r>
        <w:rPr>
          <w:b/>
        </w:rPr>
        <w:t>13.6 竣工退</w:t>
      </w:r>
      <w:bookmarkEnd w:id="1227"/>
      <w:bookmarkEnd w:id="1228"/>
      <w:r>
        <w:rPr>
          <w:b/>
        </w:rPr>
        <w:t>场</w:t>
      </w:r>
      <w:bookmarkEnd w:id="1229"/>
      <w:bookmarkEnd w:id="1230"/>
      <w:bookmarkEnd w:id="1231"/>
    </w:p>
    <w:bookmarkEnd w:id="1232"/>
    <w:p w14:paraId="5F329E52">
      <w:pPr>
        <w:spacing w:line="400" w:lineRule="exact"/>
        <w:ind w:firstLine="420" w:firstLineChars="200"/>
      </w:pPr>
      <w:r>
        <w:t>13.6.1 竣工退场</w:t>
      </w:r>
    </w:p>
    <w:p w14:paraId="69E03590">
      <w:pPr>
        <w:spacing w:line="400" w:lineRule="exact"/>
        <w:ind w:firstLine="420" w:firstLineChars="200"/>
      </w:pPr>
      <w:r>
        <w:t>颁发工程接收证书后，承包人应按以下要求对施工现场进行清理：</w:t>
      </w:r>
    </w:p>
    <w:p w14:paraId="4CA2A525">
      <w:pPr>
        <w:spacing w:line="400" w:lineRule="exact"/>
        <w:ind w:firstLine="420" w:firstLineChars="200"/>
      </w:pPr>
      <w:r>
        <w:t>（1）施工现场内残留的垃圾已全部清除出场；</w:t>
      </w:r>
    </w:p>
    <w:p w14:paraId="20660D4E">
      <w:pPr>
        <w:spacing w:line="400" w:lineRule="exact"/>
        <w:ind w:firstLine="420" w:firstLineChars="200"/>
      </w:pPr>
      <w:r>
        <w:t>（2）临时工程已拆除，场地已进行清理、平整或复原；</w:t>
      </w:r>
    </w:p>
    <w:p w14:paraId="3F46DA4C">
      <w:pPr>
        <w:spacing w:line="400" w:lineRule="exact"/>
        <w:ind w:firstLine="420" w:firstLineChars="200"/>
      </w:pPr>
      <w:r>
        <w:t>（3）按合同约定应撤离的人员、承包人施工设备和剩余的材料，包括废弃的施工设备和材料，已按计划撤离施工现场；</w:t>
      </w:r>
    </w:p>
    <w:p w14:paraId="301024F6">
      <w:pPr>
        <w:spacing w:line="400" w:lineRule="exact"/>
        <w:ind w:firstLine="420" w:firstLineChars="200"/>
      </w:pPr>
      <w:r>
        <w:t>（4）施工现场周边及其附近道路、河道的施工堆积物，已全部清理；</w:t>
      </w:r>
    </w:p>
    <w:p w14:paraId="576A7C0B">
      <w:pPr>
        <w:spacing w:line="400" w:lineRule="exact"/>
        <w:ind w:firstLine="420" w:firstLineChars="200"/>
      </w:pPr>
      <w:r>
        <w:t>（5）施工现场其他场地清理工作已全部完成。</w:t>
      </w:r>
    </w:p>
    <w:p w14:paraId="3B0A5A64">
      <w:pPr>
        <w:spacing w:line="400" w:lineRule="exact"/>
        <w:ind w:firstLine="420" w:firstLineChars="200"/>
      </w:pPr>
      <w: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B168ACD">
      <w:pPr>
        <w:spacing w:line="400" w:lineRule="exact"/>
        <w:ind w:firstLine="420" w:firstLineChars="200"/>
      </w:pPr>
      <w:r>
        <w:t>13.6.2 地表还原</w:t>
      </w:r>
    </w:p>
    <w:p w14:paraId="43D7464B">
      <w:pPr>
        <w:spacing w:line="400" w:lineRule="exact"/>
        <w:ind w:firstLine="420" w:firstLineChars="200"/>
      </w:pPr>
      <w:r>
        <w:t>承包人应按发包人要求恢复临时占地及清理场地，承包人未按发包人的要求恢复临时占地，或者场地清理未达到合同约定要求的，发包人有权委托其他人恢复或清理，所发生的费用由承包人承担。</w:t>
      </w:r>
    </w:p>
    <w:p w14:paraId="179098C3">
      <w:pPr>
        <w:pStyle w:val="23"/>
        <w:ind w:firstLine="640" w:firstLineChars="200"/>
        <w:rPr>
          <w:rFonts w:ascii="黑体" w:hAnsi="宋体" w:cs="黑体"/>
          <w:kern w:val="0"/>
          <w:sz w:val="32"/>
          <w:lang w:bidi="ar"/>
        </w:rPr>
      </w:pPr>
      <w:bookmarkStart w:id="1233" w:name="_Toc256000248"/>
      <w:bookmarkStart w:id="1234" w:name="_Toc152264607"/>
      <w:bookmarkStart w:id="1235" w:name="_Toc351203593"/>
      <w:bookmarkStart w:id="1236" w:name="_Toc337558810"/>
      <w:bookmarkStart w:id="1237" w:name="_Toc296503113"/>
      <w:bookmarkStart w:id="1238" w:name="_Toc296346614"/>
      <w:r>
        <w:rPr>
          <w:rFonts w:hint="eastAsia" w:ascii="黑体" w:hAnsi="宋体" w:cs="黑体"/>
          <w:kern w:val="0"/>
          <w:sz w:val="32"/>
          <w:lang w:bidi="ar"/>
        </w:rPr>
        <w:t>14.竣工结算</w:t>
      </w:r>
      <w:bookmarkEnd w:id="1233"/>
      <w:bookmarkEnd w:id="1234"/>
      <w:bookmarkEnd w:id="1235"/>
    </w:p>
    <w:bookmarkEnd w:id="1236"/>
    <w:p w14:paraId="7539164B">
      <w:pPr>
        <w:pStyle w:val="25"/>
        <w:ind w:firstLine="482" w:firstLineChars="200"/>
        <w:rPr>
          <w:b/>
        </w:rPr>
      </w:pPr>
      <w:bookmarkStart w:id="1239" w:name="_Toc256000249"/>
      <w:bookmarkStart w:id="1240" w:name="_Toc351203594"/>
      <w:bookmarkStart w:id="1241" w:name="_Toc152264608"/>
      <w:bookmarkStart w:id="1242" w:name="_Toc337558811"/>
      <w:r>
        <w:rPr>
          <w:b/>
        </w:rPr>
        <w:t>14.1 竣工结算申请</w:t>
      </w:r>
      <w:bookmarkEnd w:id="1239"/>
      <w:bookmarkEnd w:id="1240"/>
      <w:bookmarkEnd w:id="1241"/>
    </w:p>
    <w:bookmarkEnd w:id="1242"/>
    <w:p w14:paraId="15F21FAC">
      <w:pPr>
        <w:spacing w:line="400" w:lineRule="exact"/>
        <w:ind w:firstLine="420" w:firstLineChars="200"/>
      </w:pPr>
      <w:r>
        <w:t>除专用合同条款另有约定外，承包人应在工程竣工验收合格后28天内向发包人和监理人提交竣工结算申请单，并提交完整的结算资料，</w:t>
      </w:r>
      <w:r>
        <w:rPr>
          <w:rFonts w:hint="eastAsia"/>
        </w:rPr>
        <w:t>有关</w:t>
      </w:r>
      <w:r>
        <w:t>竣工结算申请单</w:t>
      </w:r>
      <w:r>
        <w:rPr>
          <w:rFonts w:hint="eastAsia"/>
        </w:rPr>
        <w:t>的资料清单和</w:t>
      </w:r>
      <w:r>
        <w:t>份数</w:t>
      </w:r>
      <w:r>
        <w:rPr>
          <w:rFonts w:hint="eastAsia"/>
        </w:rPr>
        <w:t>等要求</w:t>
      </w:r>
      <w:r>
        <w:t>由合同当事人在专用合同条款中约定。</w:t>
      </w:r>
    </w:p>
    <w:p w14:paraId="10865240">
      <w:pPr>
        <w:spacing w:line="400" w:lineRule="exact"/>
        <w:ind w:firstLine="420" w:firstLineChars="200"/>
      </w:pPr>
      <w:r>
        <w:t>除专用合同条款另有约定外，竣工结算申请单应包括以下内容：</w:t>
      </w:r>
    </w:p>
    <w:p w14:paraId="1ECFCDF4">
      <w:pPr>
        <w:spacing w:line="400" w:lineRule="exact"/>
        <w:ind w:firstLine="420" w:firstLineChars="200"/>
      </w:pPr>
      <w:r>
        <w:t>（1）竣工结算合同价格；</w:t>
      </w:r>
    </w:p>
    <w:p w14:paraId="7199D8B8">
      <w:pPr>
        <w:spacing w:line="400" w:lineRule="exact"/>
        <w:ind w:firstLine="420" w:firstLineChars="200"/>
      </w:pPr>
      <w:r>
        <w:t>（2）发包人已支付承包人的款项；</w:t>
      </w:r>
    </w:p>
    <w:p w14:paraId="18EA94E7">
      <w:pPr>
        <w:spacing w:line="400" w:lineRule="exact"/>
        <w:ind w:firstLine="420" w:firstLineChars="200"/>
      </w:pPr>
      <w:r>
        <w:t>（3）应扣留的质量保证金</w:t>
      </w:r>
      <w:r>
        <w:rPr>
          <w:rFonts w:hint="eastAsia"/>
        </w:rPr>
        <w:t>。已缴纳履约保证金的或提供其他工程质量担保方式的除外</w:t>
      </w:r>
      <w:r>
        <w:t xml:space="preserve">； </w:t>
      </w:r>
    </w:p>
    <w:p w14:paraId="00F12BBF">
      <w:pPr>
        <w:spacing w:line="400" w:lineRule="exact"/>
        <w:ind w:firstLine="420" w:firstLineChars="200"/>
      </w:pPr>
      <w:r>
        <w:t>（4）发包人应支付承包人的合同价款。</w:t>
      </w:r>
    </w:p>
    <w:p w14:paraId="0E8A1A06">
      <w:pPr>
        <w:pStyle w:val="25"/>
        <w:ind w:firstLine="482" w:firstLineChars="200"/>
        <w:rPr>
          <w:b/>
        </w:rPr>
      </w:pPr>
      <w:bookmarkStart w:id="1243" w:name="_Toc152264609"/>
      <w:bookmarkStart w:id="1244" w:name="_Toc256000250"/>
      <w:bookmarkStart w:id="1245" w:name="_Toc351203595"/>
      <w:bookmarkStart w:id="1246" w:name="_Toc337558812"/>
      <w:r>
        <w:rPr>
          <w:b/>
        </w:rPr>
        <w:t>14.2 竣工结算审核</w:t>
      </w:r>
      <w:bookmarkEnd w:id="1243"/>
      <w:bookmarkEnd w:id="1244"/>
      <w:bookmarkEnd w:id="1245"/>
    </w:p>
    <w:bookmarkEnd w:id="1246"/>
    <w:p w14:paraId="491AD2C8">
      <w:pPr>
        <w:spacing w:line="400" w:lineRule="exact"/>
        <w:ind w:firstLine="420" w:firstLineChars="200"/>
      </w:pPr>
      <w:r>
        <w:t>（1）除专用合同条款另有约定外，监理人应在收到竣工结算申请单后14天内完成核查并报送发包人。发包人应在收到监理人提交的经审核的竣工结算申请单后14天内完成</w:t>
      </w:r>
      <w:r>
        <w:rPr>
          <w:rFonts w:hint="eastAsia"/>
        </w:rPr>
        <w:t>审批</w:t>
      </w:r>
      <w:r>
        <w:t>，并由监理人向承包人签发经发包人签认的竣工付款证书。监理人或发包人对竣工结算申请单有异议的，有权要求承包人进行修正和提供补充资料，承包人应提交修正后的竣工结算申请单。</w:t>
      </w:r>
    </w:p>
    <w:p w14:paraId="6EC5BB7B">
      <w:pPr>
        <w:spacing w:line="400" w:lineRule="exact"/>
        <w:ind w:firstLine="420" w:firstLineChars="200"/>
      </w:pPr>
      <w:r>
        <w:t>发包人在收到承包人提交竣工结算申请书后28天</w:t>
      </w:r>
      <w:r>
        <w:rPr>
          <w:rFonts w:hint="eastAsia"/>
        </w:rPr>
        <w:t>内</w:t>
      </w:r>
      <w:r>
        <w:t>未完成</w:t>
      </w:r>
      <w:r>
        <w:rPr>
          <w:rFonts w:hint="eastAsia"/>
        </w:rPr>
        <w:t>审批</w:t>
      </w:r>
      <w:r>
        <w:t>且未提出异议的，视为发包人认可承包人提交的竣工结算申请单，并自发包人收到承包人提交的竣工结算申请单后第29天起视为已签发竣工付款证书。</w:t>
      </w:r>
    </w:p>
    <w:p w14:paraId="284BDEAF">
      <w:pPr>
        <w:spacing w:line="400" w:lineRule="exact"/>
        <w:ind w:firstLine="420" w:firstLineChars="200"/>
      </w:pPr>
      <w: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19FD84B">
      <w:pPr>
        <w:spacing w:line="400" w:lineRule="exact"/>
        <w:ind w:firstLine="420" w:firstLineChars="200"/>
      </w:pPr>
      <w:r>
        <w:t>（3）承包人对发包人签认的竣工付款证书有异议的，对于有异议部分应在收到发包人签认的竣工付款证书后7天内提出异议，并由合同当事人按照专用合同条款约定</w:t>
      </w:r>
      <w:r>
        <w:rPr>
          <w:rFonts w:hint="eastAsia"/>
        </w:rPr>
        <w:t>的方式和程序</w:t>
      </w:r>
      <w:r>
        <w:t>进行复核，或按照第20条</w:t>
      </w:r>
      <w:r>
        <w:rPr>
          <w:rFonts w:hint="eastAsia"/>
        </w:rPr>
        <w:t>〔</w:t>
      </w:r>
      <w:r>
        <w:t>争议解决</w:t>
      </w:r>
      <w:r>
        <w:rPr>
          <w:rFonts w:hint="eastAsia"/>
        </w:rPr>
        <w:t>〕</w:t>
      </w:r>
      <w:r>
        <w:t>约定处理。对于无异议部分，发包人应签发临时竣工付款证书，并按本款第（2）项完成付款</w:t>
      </w:r>
      <w:r>
        <w:rPr>
          <w:rFonts w:hint="eastAsia"/>
        </w:rPr>
        <w:t>。</w:t>
      </w:r>
      <w:r>
        <w:t>承包人逾期未提出异议的，视为认可发包人的</w:t>
      </w:r>
      <w:r>
        <w:rPr>
          <w:rFonts w:hint="eastAsia"/>
        </w:rPr>
        <w:t>审批</w:t>
      </w:r>
      <w:r>
        <w:t>结果。</w:t>
      </w:r>
    </w:p>
    <w:p w14:paraId="253359D4">
      <w:pPr>
        <w:pStyle w:val="25"/>
        <w:ind w:firstLine="482" w:firstLineChars="200"/>
        <w:rPr>
          <w:b/>
        </w:rPr>
      </w:pPr>
      <w:bookmarkStart w:id="1247" w:name="_Toc351203596"/>
      <w:bookmarkStart w:id="1248" w:name="_Toc256000251"/>
      <w:bookmarkStart w:id="1249" w:name="_Toc152264610"/>
      <w:bookmarkStart w:id="1250" w:name="_Toc337558813"/>
      <w:r>
        <w:rPr>
          <w:b/>
        </w:rPr>
        <w:t>14.3 甩项竣工协议</w:t>
      </w:r>
      <w:bookmarkEnd w:id="1247"/>
      <w:bookmarkEnd w:id="1248"/>
      <w:bookmarkEnd w:id="1249"/>
    </w:p>
    <w:bookmarkEnd w:id="1250"/>
    <w:p w14:paraId="1773BFB8">
      <w:pPr>
        <w:spacing w:line="400" w:lineRule="exact"/>
        <w:ind w:firstLine="420" w:firstLineChars="200"/>
      </w:pPr>
      <w:r>
        <w:t>发包人要求甩项竣工的，合同当事人应签订甩项竣工协议。在甩项竣工协议中应明确，合同当事人按照第14.1款</w:t>
      </w:r>
      <w:r>
        <w:rPr>
          <w:rFonts w:hint="eastAsia"/>
        </w:rPr>
        <w:t>〔</w:t>
      </w:r>
      <w:r>
        <w:t>竣工</w:t>
      </w:r>
      <w:r>
        <w:rPr>
          <w:rFonts w:hint="eastAsia"/>
        </w:rPr>
        <w:t>结算</w:t>
      </w:r>
      <w:r>
        <w:t>申请</w:t>
      </w:r>
      <w:r>
        <w:rPr>
          <w:rFonts w:hint="eastAsia"/>
        </w:rPr>
        <w:t>〕</w:t>
      </w:r>
      <w:r>
        <w:t>及14.2款</w:t>
      </w:r>
      <w:r>
        <w:rPr>
          <w:rFonts w:hint="eastAsia"/>
        </w:rPr>
        <w:t>〔</w:t>
      </w:r>
      <w:r>
        <w:t>竣工结算审核</w:t>
      </w:r>
      <w:r>
        <w:rPr>
          <w:rFonts w:hint="eastAsia"/>
        </w:rPr>
        <w:t>〕</w:t>
      </w:r>
      <w:r>
        <w:t>的约定，</w:t>
      </w:r>
      <w:r>
        <w:rPr>
          <w:rFonts w:hint="eastAsia"/>
        </w:rPr>
        <w:t>对已</w:t>
      </w:r>
      <w:r>
        <w:t>完合格工程</w:t>
      </w:r>
      <w:r>
        <w:rPr>
          <w:rFonts w:hint="eastAsia"/>
        </w:rPr>
        <w:t>进行</w:t>
      </w:r>
      <w:r>
        <w:t>结算，并支付相应</w:t>
      </w:r>
      <w:r>
        <w:rPr>
          <w:rFonts w:hint="eastAsia"/>
        </w:rPr>
        <w:t>合同</w:t>
      </w:r>
      <w:r>
        <w:t>价款。</w:t>
      </w:r>
    </w:p>
    <w:p w14:paraId="73FD1924">
      <w:pPr>
        <w:pStyle w:val="25"/>
        <w:ind w:firstLine="482" w:firstLineChars="200"/>
        <w:rPr>
          <w:b/>
        </w:rPr>
      </w:pPr>
      <w:bookmarkStart w:id="1251" w:name="_Toc152264611"/>
      <w:bookmarkStart w:id="1252" w:name="_Toc256000252"/>
      <w:bookmarkStart w:id="1253" w:name="_Toc351203597"/>
      <w:bookmarkStart w:id="1254" w:name="_Toc337558814"/>
      <w:r>
        <w:rPr>
          <w:b/>
        </w:rPr>
        <w:t>14.4 最终结清</w:t>
      </w:r>
      <w:bookmarkEnd w:id="1251"/>
      <w:bookmarkEnd w:id="1252"/>
      <w:bookmarkEnd w:id="1253"/>
    </w:p>
    <w:bookmarkEnd w:id="1254"/>
    <w:p w14:paraId="5106F988">
      <w:pPr>
        <w:spacing w:line="400" w:lineRule="exact"/>
        <w:ind w:firstLine="420" w:firstLineChars="200"/>
      </w:pPr>
      <w:r>
        <w:t>14.4.1 最终结清申请单</w:t>
      </w:r>
    </w:p>
    <w:p w14:paraId="201D6846">
      <w:pPr>
        <w:spacing w:line="400" w:lineRule="exact"/>
        <w:ind w:firstLine="420" w:firstLineChars="200"/>
      </w:pPr>
      <w:r>
        <w:t>（1）除专用合同条款另有约定外，承包人应在缺陷责任期终止证书颁发后7天内，按专用合同条款约定的份数向发包人提交最终结清申请单，并提供相关证明材料。</w:t>
      </w:r>
    </w:p>
    <w:p w14:paraId="4C146E8B">
      <w:pPr>
        <w:spacing w:line="400" w:lineRule="exact"/>
        <w:ind w:firstLine="420" w:firstLineChars="200"/>
      </w:pPr>
      <w:r>
        <w:t>除专用合同条款另有约定外，最终结清申请单应列明质量保证金、应扣除的质量保证金、缺陷责任期内发生的增减费用。</w:t>
      </w:r>
    </w:p>
    <w:p w14:paraId="070E7F0E">
      <w:pPr>
        <w:spacing w:line="400" w:lineRule="exact"/>
        <w:ind w:firstLine="420" w:firstLineChars="200"/>
      </w:pPr>
      <w:r>
        <w:t>（2）发包人对最终结清申请单内容有异议的，有权要求承包人进行修正和提供补充资料，承包人应向发包人提交修正后的最终结清申请单。</w:t>
      </w:r>
    </w:p>
    <w:p w14:paraId="5C2FCEFC">
      <w:pPr>
        <w:spacing w:line="400" w:lineRule="exact"/>
        <w:ind w:firstLine="420" w:firstLineChars="200"/>
      </w:pPr>
      <w:r>
        <w:t>14.4.2 最终结清证书和支付</w:t>
      </w:r>
    </w:p>
    <w:p w14:paraId="703A907C">
      <w:pPr>
        <w:spacing w:line="400" w:lineRule="exact"/>
        <w:ind w:firstLine="420" w:firstLineChars="200"/>
      </w:pPr>
      <w:r>
        <w:t>（1）除专用合同条款另有约定外，发包人应在收到承包人提交的最终结清申请单后14天内完成审批并向承包人颁发最终结清证书。发包人逾期未完成</w:t>
      </w:r>
      <w:r>
        <w:rPr>
          <w:rFonts w:hint="eastAsia"/>
        </w:rPr>
        <w:t>审批</w:t>
      </w:r>
      <w:r>
        <w:t>，又未提出修改意见的，视为发包人同意承包人提交的最终结清申请单，且自发包人收到承包人提交的最终结清申请单后15天起视为已颁发最终结清证书。</w:t>
      </w:r>
    </w:p>
    <w:p w14:paraId="48A26B5B">
      <w:pPr>
        <w:spacing w:line="400" w:lineRule="exact"/>
        <w:ind w:firstLine="420" w:firstLineChars="200"/>
      </w:pPr>
      <w: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F376697">
      <w:pPr>
        <w:spacing w:line="400" w:lineRule="exact"/>
        <w:ind w:firstLine="420" w:firstLineChars="200"/>
      </w:pPr>
      <w:r>
        <w:t>（3）承包人对发包人颁发的最终结清证书有异议的，按第20条</w:t>
      </w:r>
      <w:r>
        <w:rPr>
          <w:rFonts w:hint="eastAsia"/>
        </w:rPr>
        <w:t>〔</w:t>
      </w:r>
      <w:r>
        <w:t>争议解决</w:t>
      </w:r>
      <w:r>
        <w:rPr>
          <w:rFonts w:hint="eastAsia"/>
        </w:rPr>
        <w:t>〕</w:t>
      </w:r>
      <w:r>
        <w:t>的约定办理。</w:t>
      </w:r>
    </w:p>
    <w:p w14:paraId="37D40E58">
      <w:pPr>
        <w:pStyle w:val="23"/>
        <w:ind w:firstLine="640" w:firstLineChars="200"/>
        <w:rPr>
          <w:rFonts w:ascii="黑体" w:hAnsi="宋体" w:cs="黑体"/>
          <w:kern w:val="0"/>
          <w:sz w:val="32"/>
          <w:lang w:bidi="ar"/>
        </w:rPr>
      </w:pPr>
      <w:bookmarkStart w:id="1255" w:name="_Toc152264612"/>
      <w:bookmarkStart w:id="1256" w:name="_Toc256000253"/>
      <w:bookmarkStart w:id="1257" w:name="_Toc351203598"/>
      <w:bookmarkStart w:id="1258" w:name="_Toc337558815"/>
      <w:r>
        <w:rPr>
          <w:rFonts w:hint="eastAsia" w:ascii="黑体" w:hAnsi="宋体" w:cs="黑体"/>
          <w:kern w:val="0"/>
          <w:sz w:val="32"/>
          <w:lang w:bidi="ar"/>
        </w:rPr>
        <w:t>15.缺陷责任与保修</w:t>
      </w:r>
      <w:bookmarkEnd w:id="1255"/>
      <w:bookmarkEnd w:id="1256"/>
      <w:bookmarkEnd w:id="1257"/>
    </w:p>
    <w:bookmarkEnd w:id="1237"/>
    <w:bookmarkEnd w:id="1238"/>
    <w:bookmarkEnd w:id="1258"/>
    <w:p w14:paraId="10709FF7">
      <w:pPr>
        <w:pStyle w:val="25"/>
        <w:ind w:firstLine="482" w:firstLineChars="200"/>
        <w:rPr>
          <w:b/>
        </w:rPr>
      </w:pPr>
      <w:bookmarkStart w:id="1259" w:name="_Toc351203599"/>
      <w:bookmarkStart w:id="1260" w:name="_Toc256000254"/>
      <w:bookmarkStart w:id="1261" w:name="_Toc152264613"/>
      <w:bookmarkStart w:id="1262" w:name="_Toc337558816"/>
      <w:bookmarkStart w:id="1263" w:name="_Toc296346615"/>
      <w:bookmarkStart w:id="1264" w:name="_Toc296503114"/>
      <w:r>
        <w:rPr>
          <w:b/>
        </w:rPr>
        <w:t>15.1 工程保修的原则</w:t>
      </w:r>
      <w:bookmarkEnd w:id="1259"/>
      <w:bookmarkEnd w:id="1260"/>
      <w:bookmarkEnd w:id="1261"/>
    </w:p>
    <w:bookmarkEnd w:id="1262"/>
    <w:p w14:paraId="709E6B0A">
      <w:pPr>
        <w:spacing w:line="400" w:lineRule="exact"/>
        <w:ind w:firstLine="420" w:firstLineChars="200"/>
      </w:pPr>
      <w:r>
        <w:t>在工程移交发包人后，因承包人原因产生的质量缺陷，承包人应承担质量缺陷责任和保修义务。缺陷责任期届满，承包人仍应按合同约定的工程各部位保修年限承担保修义务。</w:t>
      </w:r>
    </w:p>
    <w:p w14:paraId="37305DDB">
      <w:pPr>
        <w:pStyle w:val="25"/>
        <w:ind w:firstLine="482" w:firstLineChars="200"/>
        <w:rPr>
          <w:b/>
        </w:rPr>
      </w:pPr>
      <w:bookmarkStart w:id="1265" w:name="_Toc152264614"/>
      <w:bookmarkStart w:id="1266" w:name="_Toc256000255"/>
      <w:bookmarkStart w:id="1267" w:name="_Toc351203600"/>
      <w:bookmarkStart w:id="1268" w:name="_Toc337558817"/>
      <w:r>
        <w:rPr>
          <w:b/>
        </w:rPr>
        <w:t>15.2 缺陷责任期</w:t>
      </w:r>
      <w:bookmarkEnd w:id="1263"/>
      <w:bookmarkEnd w:id="1264"/>
      <w:bookmarkEnd w:id="1265"/>
      <w:bookmarkEnd w:id="1266"/>
      <w:bookmarkEnd w:id="1267"/>
    </w:p>
    <w:bookmarkEnd w:id="1268"/>
    <w:p w14:paraId="044C3082">
      <w:pPr>
        <w:spacing w:line="400" w:lineRule="exact"/>
        <w:ind w:firstLine="420" w:firstLineChars="200"/>
      </w:pPr>
      <w:r>
        <w:t>15.2.1 缺陷责任期</w:t>
      </w:r>
      <w:r>
        <w:rPr>
          <w:rFonts w:hint="eastAsia"/>
        </w:rPr>
        <w:t>从工程通过竣工验收之日</w:t>
      </w:r>
      <w:r>
        <w:t>起计算，合同当事人应在专用合同条款约定缺陷责任期的具体期限，但该期限最长不超过24个月。</w:t>
      </w:r>
    </w:p>
    <w:p w14:paraId="1393947B">
      <w:pPr>
        <w:spacing w:line="400" w:lineRule="exact"/>
        <w:ind w:firstLine="420" w:firstLineChars="200"/>
      </w:pPr>
      <w:r>
        <w:t>单位工程先于全部工程进行验收，经验收合格并交付使用的，该单位工程缺陷责任期自单位工程验收合格之日起算。</w:t>
      </w:r>
      <w:r>
        <w:rPr>
          <w:rFonts w:hint="eastAsia"/>
        </w:rPr>
        <w:t>因承包人原因导致工程无法按合同约定期限进行竣工验收的，缺陷责任期从实际通过竣工验收之日起计算。</w:t>
      </w:r>
      <w:r>
        <w:t>因发包人原因导致工程无法按合同约定期限进行竣工验收的，</w:t>
      </w:r>
      <w:r>
        <w:rPr>
          <w:rFonts w:hint="eastAsia"/>
        </w:rPr>
        <w:t>在承包人提交竣工验收报告90天后，工程自动进入缺陷责任期</w:t>
      </w:r>
      <w:r>
        <w:t>；发包人未经竣工验收擅自使用工程的，缺陷责任期自工程转移占有之日起开始计算。</w:t>
      </w:r>
    </w:p>
    <w:p w14:paraId="6E3A3C33">
      <w:pPr>
        <w:spacing w:line="400" w:lineRule="exact"/>
        <w:ind w:firstLine="420" w:firstLineChars="200"/>
      </w:pPr>
      <w:r>
        <w:t>15.2.2</w:t>
      </w:r>
      <w:r>
        <w:rPr>
          <w:rFonts w:hint="eastAsia"/>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t>发包人有权要求承包人延长缺陷责任期，并应在原缺陷责任期届满前发出延长通知</w:t>
      </w:r>
      <w:r>
        <w:rPr>
          <w:rFonts w:hint="eastAsia"/>
        </w:rPr>
        <w:t>。</w:t>
      </w:r>
      <w:r>
        <w:t>但缺陷责任期</w:t>
      </w:r>
      <w:r>
        <w:rPr>
          <w:rFonts w:hint="eastAsia"/>
        </w:rPr>
        <w:t>（含延长部分）</w:t>
      </w:r>
      <w:r>
        <w:t>最长不能超过24个月。</w:t>
      </w:r>
    </w:p>
    <w:p w14:paraId="25235DF4">
      <w:pPr>
        <w:spacing w:line="400" w:lineRule="exact"/>
        <w:ind w:firstLine="420" w:firstLineChars="200"/>
      </w:pPr>
      <w:r>
        <w:rPr>
          <w:rFonts w:hint="eastAsia"/>
        </w:rPr>
        <w:t>由他人原因造成的缺陷，发包人负责组织维修，承包人不承担费用，且发包人不得从保证金中扣除费用。</w:t>
      </w:r>
    </w:p>
    <w:p w14:paraId="3ADC6CDA">
      <w:pPr>
        <w:spacing w:line="400" w:lineRule="exact"/>
        <w:ind w:firstLine="420" w:firstLineChars="200"/>
      </w:pPr>
      <w:r>
        <w:t>15.2.3 任何一项缺陷或损坏修复后，经检查证明其影响了工程或工程设备的使用性能，承包人应重新进行合同约定的试验和试运行，试验和试运行的全部费用应由责任方承担。</w:t>
      </w:r>
    </w:p>
    <w:p w14:paraId="280AFE79">
      <w:pPr>
        <w:spacing w:line="400" w:lineRule="exact"/>
        <w:ind w:firstLine="420" w:firstLineChars="200"/>
      </w:pPr>
      <w:r>
        <w:t>15.2.4</w:t>
      </w:r>
      <w:r>
        <w:rPr>
          <w:rFonts w:hint="eastAsia"/>
        </w:rPr>
        <w:t xml:space="preserve"> </w:t>
      </w:r>
      <w:r>
        <w:t>除专用合同条款另有约定外，承包人应于缺陷责任期届满后7天内向发包人发出缺陷责任期</w:t>
      </w:r>
      <w:r>
        <w:rPr>
          <w:rFonts w:hint="eastAsia"/>
        </w:rPr>
        <w:t>届</w:t>
      </w:r>
      <w:r>
        <w:t>满通知，发包人应在</w:t>
      </w:r>
      <w:r>
        <w:rPr>
          <w:rFonts w:hint="eastAsia"/>
        </w:rPr>
        <w:t>收</w:t>
      </w:r>
      <w:r>
        <w:t>到缺陷责任期满通知后14天内核实承包人是否履行缺陷</w:t>
      </w:r>
      <w:r>
        <w:rPr>
          <w:rFonts w:hint="eastAsia"/>
        </w:rPr>
        <w:t>修复</w:t>
      </w:r>
      <w:r>
        <w:t>义务，承包人未能履行缺陷</w:t>
      </w:r>
      <w:r>
        <w:rPr>
          <w:rFonts w:hint="eastAsia"/>
        </w:rPr>
        <w:t>修复</w:t>
      </w:r>
      <w:r>
        <w:t>义务的，发包人有权扣除相应金额的维修费用。发包人应在</w:t>
      </w:r>
      <w:r>
        <w:rPr>
          <w:rFonts w:hint="eastAsia"/>
        </w:rPr>
        <w:t>收到</w:t>
      </w:r>
      <w:r>
        <w:t>缺陷责任期</w:t>
      </w:r>
      <w:r>
        <w:rPr>
          <w:rFonts w:hint="eastAsia"/>
        </w:rPr>
        <w:t>届</w:t>
      </w:r>
      <w:r>
        <w:t>满</w:t>
      </w:r>
      <w:r>
        <w:rPr>
          <w:rFonts w:hint="eastAsia"/>
        </w:rPr>
        <w:t>通知后</w:t>
      </w:r>
      <w:r>
        <w:t>14天内，向承包人颁发缺陷责任期终止证</w:t>
      </w:r>
      <w:r>
        <w:rPr>
          <w:rFonts w:hint="eastAsia"/>
        </w:rPr>
        <w:t>书</w:t>
      </w:r>
      <w:r>
        <w:t>。</w:t>
      </w:r>
    </w:p>
    <w:p w14:paraId="2DEB15E7">
      <w:pPr>
        <w:pStyle w:val="25"/>
        <w:ind w:firstLine="482" w:firstLineChars="200"/>
        <w:rPr>
          <w:b/>
        </w:rPr>
      </w:pPr>
      <w:bookmarkStart w:id="1269" w:name="_Toc351203601"/>
      <w:bookmarkStart w:id="1270" w:name="_Toc152264615"/>
      <w:bookmarkStart w:id="1271" w:name="_Toc256000256"/>
      <w:bookmarkStart w:id="1272" w:name="_Toc337558818"/>
      <w:bookmarkStart w:id="1273" w:name="_Toc296346616"/>
      <w:bookmarkStart w:id="1274" w:name="_Toc296503115"/>
      <w:r>
        <w:rPr>
          <w:b/>
        </w:rPr>
        <w:t>15.3 质量保证金</w:t>
      </w:r>
      <w:bookmarkEnd w:id="1269"/>
      <w:bookmarkEnd w:id="1270"/>
      <w:bookmarkEnd w:id="1271"/>
    </w:p>
    <w:bookmarkEnd w:id="1272"/>
    <w:p w14:paraId="591759D1">
      <w:pPr>
        <w:spacing w:line="400" w:lineRule="exact"/>
        <w:ind w:firstLine="420" w:firstLineChars="200"/>
      </w:pPr>
      <w:r>
        <w:rPr>
          <w:rFonts w:hint="eastAsia"/>
        </w:rPr>
        <w:t>经合同当事人协商一致扣留质量保证金的，应在专用合同条款中予以明确。</w:t>
      </w:r>
    </w:p>
    <w:p w14:paraId="46511DDC">
      <w:pPr>
        <w:spacing w:line="400" w:lineRule="exact"/>
        <w:ind w:firstLine="420" w:firstLineChars="200"/>
      </w:pPr>
      <w:r>
        <w:rPr>
          <w:rFonts w:hint="eastAsia"/>
        </w:rPr>
        <w:t>在工程项目竣工前，承包人已经提供履约担保的，发包人不得同时预留工程质量保证金。</w:t>
      </w:r>
    </w:p>
    <w:p w14:paraId="070FB5D4">
      <w:pPr>
        <w:spacing w:line="400" w:lineRule="exact"/>
        <w:ind w:firstLine="420" w:firstLineChars="200"/>
      </w:pPr>
      <w:r>
        <w:t xml:space="preserve">15.3.1 </w:t>
      </w:r>
      <w:r>
        <w:rPr>
          <w:rFonts w:hint="eastAsia"/>
        </w:rPr>
        <w:t>承包人提供</w:t>
      </w:r>
      <w:r>
        <w:t>质量保证金的</w:t>
      </w:r>
      <w:r>
        <w:rPr>
          <w:rFonts w:hint="eastAsia"/>
        </w:rPr>
        <w:t>方</w:t>
      </w:r>
      <w:r>
        <w:t>式</w:t>
      </w:r>
    </w:p>
    <w:p w14:paraId="796BF9D1">
      <w:pPr>
        <w:spacing w:line="400" w:lineRule="exact"/>
        <w:ind w:firstLine="420" w:firstLineChars="200"/>
      </w:pPr>
      <w:r>
        <w:rPr>
          <w:rFonts w:hint="eastAsia"/>
        </w:rPr>
        <w:t>承包人提供</w:t>
      </w:r>
      <w:r>
        <w:t>质量保证金</w:t>
      </w:r>
      <w:r>
        <w:rPr>
          <w:rFonts w:hint="eastAsia"/>
        </w:rPr>
        <w:t>有</w:t>
      </w:r>
      <w:r>
        <w:t>以下</w:t>
      </w:r>
      <w:r>
        <w:rPr>
          <w:rFonts w:hint="eastAsia"/>
        </w:rPr>
        <w:t>三种方</w:t>
      </w:r>
      <w:r>
        <w:t>式：</w:t>
      </w:r>
    </w:p>
    <w:p w14:paraId="54679005">
      <w:pPr>
        <w:spacing w:line="400" w:lineRule="exact"/>
        <w:ind w:firstLine="420" w:firstLineChars="200"/>
      </w:pPr>
      <w:r>
        <w:t xml:space="preserve">（1）质量保证金保函； </w:t>
      </w:r>
    </w:p>
    <w:p w14:paraId="52E7D6F4">
      <w:pPr>
        <w:spacing w:line="400" w:lineRule="exact"/>
        <w:ind w:firstLine="420" w:firstLineChars="200"/>
      </w:pPr>
      <w:r>
        <w:rPr>
          <w:rFonts w:hint="eastAsia"/>
        </w:rPr>
        <w:t>（</w:t>
      </w:r>
      <w:r>
        <w:t>2）相应比例的工程款；</w:t>
      </w:r>
    </w:p>
    <w:p w14:paraId="6461F764">
      <w:pPr>
        <w:spacing w:line="400" w:lineRule="exact"/>
        <w:ind w:firstLine="420" w:firstLineChars="200"/>
      </w:pPr>
      <w:r>
        <w:t>（3）双方约定的其他</w:t>
      </w:r>
      <w:r>
        <w:rPr>
          <w:rFonts w:hint="eastAsia"/>
        </w:rPr>
        <w:t>方</w:t>
      </w:r>
      <w:r>
        <w:t>式。</w:t>
      </w:r>
    </w:p>
    <w:p w14:paraId="24284450">
      <w:pPr>
        <w:spacing w:line="400" w:lineRule="exact"/>
        <w:ind w:firstLine="420" w:firstLineChars="200"/>
      </w:pPr>
      <w:r>
        <w:t>除专用合同条款另有约定外，质量保证金</w:t>
      </w:r>
      <w:r>
        <w:rPr>
          <w:rFonts w:hint="eastAsia"/>
        </w:rPr>
        <w:t>原则上</w:t>
      </w:r>
      <w:r>
        <w:t>采</w:t>
      </w:r>
      <w:r>
        <w:rPr>
          <w:rFonts w:hint="eastAsia"/>
        </w:rPr>
        <w:t>用上述</w:t>
      </w:r>
      <w:r>
        <w:t>第（1）种</w:t>
      </w:r>
      <w:r>
        <w:rPr>
          <w:rFonts w:hint="eastAsia"/>
        </w:rPr>
        <w:t>方式。</w:t>
      </w:r>
    </w:p>
    <w:p w14:paraId="3AA57751">
      <w:pPr>
        <w:spacing w:line="400" w:lineRule="exact"/>
        <w:ind w:firstLine="420" w:firstLineChars="200"/>
      </w:pPr>
      <w:r>
        <w:t>15.3.2 质量保证金的扣留</w:t>
      </w:r>
    </w:p>
    <w:p w14:paraId="7FFAE76F">
      <w:pPr>
        <w:spacing w:line="400" w:lineRule="exact"/>
        <w:ind w:firstLine="420" w:firstLineChars="200"/>
      </w:pPr>
      <w:r>
        <w:t>质量保证金</w:t>
      </w:r>
      <w:r>
        <w:rPr>
          <w:rFonts w:hint="eastAsia"/>
        </w:rPr>
        <w:t>的</w:t>
      </w:r>
      <w:r>
        <w:t>扣留</w:t>
      </w:r>
      <w:r>
        <w:rPr>
          <w:rFonts w:hint="eastAsia"/>
        </w:rPr>
        <w:t>有</w:t>
      </w:r>
      <w:r>
        <w:t>以下</w:t>
      </w:r>
      <w:r>
        <w:rPr>
          <w:rFonts w:hint="eastAsia"/>
        </w:rPr>
        <w:t>三</w:t>
      </w:r>
      <w:r>
        <w:t>种</w:t>
      </w:r>
      <w:r>
        <w:rPr>
          <w:rFonts w:hint="eastAsia"/>
        </w:rPr>
        <w:t>方式</w:t>
      </w:r>
      <w:r>
        <w:t>：</w:t>
      </w:r>
    </w:p>
    <w:p w14:paraId="2D8C0558">
      <w:pPr>
        <w:spacing w:line="400" w:lineRule="exact"/>
        <w:ind w:firstLine="420" w:firstLineChars="200"/>
      </w:pPr>
      <w:r>
        <w:t>（1）在支付工程进度款时逐次扣留，在此情形下，质量保证金的计算基数不包括预付款的支付、扣回以及价格调整的金额；</w:t>
      </w:r>
    </w:p>
    <w:p w14:paraId="225783DF">
      <w:pPr>
        <w:spacing w:line="400" w:lineRule="exact"/>
        <w:ind w:firstLine="420" w:firstLineChars="200"/>
      </w:pPr>
      <w:r>
        <w:t>（2）工</w:t>
      </w:r>
      <w:bookmarkStart w:id="1275" w:name="#go6"/>
      <w:bookmarkEnd w:id="1275"/>
      <w:r>
        <w:t>程竣工结算时一次性扣留质量保证金；</w:t>
      </w:r>
    </w:p>
    <w:p w14:paraId="2E062A81">
      <w:pPr>
        <w:spacing w:line="400" w:lineRule="exact"/>
        <w:ind w:firstLine="420" w:firstLineChars="200"/>
      </w:pPr>
      <w:r>
        <w:t>（3）双方约定的其他扣留方式。</w:t>
      </w:r>
    </w:p>
    <w:p w14:paraId="2D2A50CB">
      <w:pPr>
        <w:spacing w:line="400" w:lineRule="exact"/>
        <w:ind w:firstLine="420" w:firstLineChars="200"/>
      </w:pPr>
      <w:r>
        <w:t>除专用合同条款另有约定外，质量保证金</w:t>
      </w:r>
      <w:r>
        <w:rPr>
          <w:rFonts w:hint="eastAsia"/>
        </w:rPr>
        <w:t>的</w:t>
      </w:r>
      <w:r>
        <w:t>扣留</w:t>
      </w:r>
      <w:r>
        <w:rPr>
          <w:rFonts w:hint="eastAsia"/>
        </w:rPr>
        <w:t>原则上</w:t>
      </w:r>
      <w:r>
        <w:t>采</w:t>
      </w:r>
      <w:r>
        <w:rPr>
          <w:rFonts w:hint="eastAsia"/>
        </w:rPr>
        <w:t>用上述</w:t>
      </w:r>
      <w:r>
        <w:t>第（1）种方式</w:t>
      </w:r>
      <w:r>
        <w:rPr>
          <w:rFonts w:hint="eastAsia"/>
        </w:rPr>
        <w:t>。</w:t>
      </w:r>
    </w:p>
    <w:p w14:paraId="794E67B5">
      <w:pPr>
        <w:spacing w:line="400" w:lineRule="exact"/>
        <w:ind w:firstLine="420" w:firstLineChars="200"/>
      </w:pPr>
      <w:r>
        <w:t>发</w:t>
      </w:r>
      <w:bookmarkStart w:id="1276" w:name="#go4"/>
      <w:bookmarkEnd w:id="1276"/>
      <w:r>
        <w:t>包人累计扣留的质量保证金不得超过</w:t>
      </w:r>
      <w:r>
        <w:rPr>
          <w:rFonts w:hint="eastAsia"/>
        </w:rPr>
        <w:t>工程价款结算总额</w:t>
      </w:r>
      <w:r>
        <w:t>的3</w:t>
      </w:r>
      <w:r>
        <w:rPr>
          <w:rFonts w:hint="eastAsia"/>
        </w:rPr>
        <w:t xml:space="preserve"> </w:t>
      </w:r>
      <w:r>
        <w:t>%</w:t>
      </w:r>
      <w:r>
        <w:rPr>
          <w:rFonts w:hint="eastAsia"/>
        </w:rPr>
        <w:t>。如</w:t>
      </w:r>
      <w:r>
        <w:t>承包人在发包人签发竣工付款证书后28天内提交质量保证金保函，发包人应同时退还扣留的作为质量保证金的工程价款</w:t>
      </w:r>
      <w:r>
        <w:rPr>
          <w:rFonts w:hint="eastAsia"/>
        </w:rPr>
        <w:t>；保函金额不得超过工程价款结算总额</w:t>
      </w:r>
      <w:r>
        <w:t>的3</w:t>
      </w:r>
      <w:r>
        <w:rPr>
          <w:rFonts w:hint="eastAsia"/>
        </w:rPr>
        <w:t xml:space="preserve"> </w:t>
      </w:r>
      <w:r>
        <w:t>%。</w:t>
      </w:r>
    </w:p>
    <w:p w14:paraId="5FB1B503">
      <w:pPr>
        <w:spacing w:line="400" w:lineRule="exact"/>
        <w:ind w:firstLine="420" w:firstLineChars="200"/>
      </w:pPr>
      <w:r>
        <w:rPr>
          <w:rFonts w:hint="eastAsia"/>
        </w:rPr>
        <w:t>发包人在退还质量保证金的同时</w:t>
      </w:r>
      <w:r>
        <w:t>按照中国人民银行发布的同期同类贷款基准利率支付</w:t>
      </w:r>
      <w:r>
        <w:rPr>
          <w:rFonts w:hint="eastAsia"/>
        </w:rPr>
        <w:t>利息。</w:t>
      </w:r>
    </w:p>
    <w:p w14:paraId="6ED7E445">
      <w:pPr>
        <w:spacing w:line="400" w:lineRule="exact"/>
        <w:ind w:firstLine="420" w:firstLineChars="200"/>
      </w:pPr>
      <w:r>
        <w:t>15.3.3 质量保证金的退还</w:t>
      </w:r>
    </w:p>
    <w:p w14:paraId="60A8EB99">
      <w:pPr>
        <w:spacing w:line="400" w:lineRule="exact"/>
        <w:ind w:firstLine="420" w:firstLineChars="200"/>
      </w:pPr>
      <w:r>
        <w:rPr>
          <w:rFonts w:hint="eastAsia"/>
        </w:rPr>
        <w:t>缺陷责任期内，承包人认真履行合同约定的责任，到期后，承包人可向发包人申请返还保证金。</w:t>
      </w:r>
    </w:p>
    <w:p w14:paraId="06578A13">
      <w:pPr>
        <w:spacing w:line="400" w:lineRule="exact"/>
        <w:ind w:firstLine="420" w:firstLineChars="200"/>
      </w:pPr>
      <w:r>
        <w:rPr>
          <w:rFonts w:hint="eastAsia"/>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03F02C3">
      <w:pPr>
        <w:spacing w:line="400" w:lineRule="exact"/>
        <w:ind w:firstLine="420" w:firstLineChars="200"/>
      </w:pPr>
      <w:r>
        <w:rPr>
          <w:rFonts w:hint="eastAsia"/>
        </w:rPr>
        <w:t>发包人和承包人对保证金预留、返还以及工程维修质量、费用有争议的，按本合同第20条约定的争议和纠纷解决程序处理</w:t>
      </w:r>
      <w:r>
        <w:t>。</w:t>
      </w:r>
    </w:p>
    <w:p w14:paraId="7802636A">
      <w:pPr>
        <w:pStyle w:val="25"/>
        <w:ind w:firstLine="482" w:firstLineChars="200"/>
        <w:rPr>
          <w:b/>
        </w:rPr>
      </w:pPr>
      <w:bookmarkStart w:id="1277" w:name="_Toc152264616"/>
      <w:bookmarkStart w:id="1278" w:name="_Toc256000257"/>
      <w:bookmarkStart w:id="1279" w:name="_Toc351203602"/>
      <w:bookmarkStart w:id="1280" w:name="_Toc337558819"/>
      <w:r>
        <w:rPr>
          <w:b/>
        </w:rPr>
        <w:t>15.4 保修</w:t>
      </w:r>
      <w:bookmarkEnd w:id="1277"/>
      <w:bookmarkEnd w:id="1278"/>
      <w:bookmarkEnd w:id="1279"/>
    </w:p>
    <w:bookmarkEnd w:id="1273"/>
    <w:bookmarkEnd w:id="1274"/>
    <w:bookmarkEnd w:id="1280"/>
    <w:p w14:paraId="20B13A94">
      <w:pPr>
        <w:spacing w:line="400" w:lineRule="exact"/>
        <w:ind w:firstLine="420" w:firstLineChars="200"/>
      </w:pPr>
      <w:r>
        <w:t>15.4.1保修责任</w:t>
      </w:r>
    </w:p>
    <w:p w14:paraId="5EDF2369">
      <w:pPr>
        <w:spacing w:line="400" w:lineRule="exact"/>
        <w:ind w:firstLine="420" w:firstLineChars="200"/>
      </w:pPr>
      <w: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5F32004">
      <w:pPr>
        <w:spacing w:line="400" w:lineRule="exact"/>
        <w:ind w:firstLine="420" w:firstLineChars="200"/>
      </w:pPr>
      <w:r>
        <w:t>发包人未经竣工验收擅自使用工程的，保修期自转移占有之日起算。</w:t>
      </w:r>
    </w:p>
    <w:p w14:paraId="3D720D98">
      <w:pPr>
        <w:spacing w:line="400" w:lineRule="exact"/>
        <w:ind w:firstLine="420" w:firstLineChars="200"/>
      </w:pPr>
      <w:r>
        <w:t>15.4.2 修复费用</w:t>
      </w:r>
    </w:p>
    <w:p w14:paraId="22E9A1EF">
      <w:pPr>
        <w:spacing w:line="400" w:lineRule="exact"/>
        <w:ind w:firstLine="420" w:firstLineChars="200"/>
      </w:pPr>
      <w:r>
        <w:t>保修期内，修复的费用按照以下约定处理：</w:t>
      </w:r>
    </w:p>
    <w:p w14:paraId="11048CC8">
      <w:pPr>
        <w:spacing w:line="400" w:lineRule="exact"/>
        <w:ind w:firstLine="420" w:firstLineChars="200"/>
      </w:pPr>
      <w:r>
        <w:t>（1）保修期内，因承包人原因造成工程的缺陷、损坏，承包人应负责修复，并承担修复的费用以及因工程的缺陷、损坏造成的人身伤害和财产损失；</w:t>
      </w:r>
    </w:p>
    <w:p w14:paraId="10746BF1">
      <w:pPr>
        <w:spacing w:line="400" w:lineRule="exact"/>
        <w:ind w:firstLine="420" w:firstLineChars="200"/>
      </w:pPr>
      <w:r>
        <w:t>（2）保修期内，因发包人使用不当造成工程的缺陷、损坏，可以委托承包人修复，但发包人应承担修复的费用，并支付承包人合理利润；</w:t>
      </w:r>
    </w:p>
    <w:p w14:paraId="6FAD85E5">
      <w:pPr>
        <w:spacing w:line="400" w:lineRule="exact"/>
        <w:ind w:firstLine="420" w:firstLineChars="200"/>
      </w:pPr>
      <w:r>
        <w:t>（3）因其他原因造成工程的缺陷、损坏，可以委托承包人修复，发包人应承担修复的费用，并支付承包人合理的利润，因工程的缺陷、损坏造成的人身伤害和财产损失由责任方承担。</w:t>
      </w:r>
    </w:p>
    <w:p w14:paraId="5E1A1950">
      <w:pPr>
        <w:spacing w:line="400" w:lineRule="exact"/>
        <w:ind w:firstLine="420" w:firstLineChars="200"/>
      </w:pPr>
      <w:r>
        <w:t>15.4.3 修复通知</w:t>
      </w:r>
    </w:p>
    <w:p w14:paraId="7C26F404">
      <w:pPr>
        <w:spacing w:line="400" w:lineRule="exact"/>
        <w:ind w:firstLine="420" w:firstLineChars="200"/>
      </w:pPr>
      <w: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787A588">
      <w:pPr>
        <w:spacing w:line="400" w:lineRule="exact"/>
        <w:ind w:firstLine="420" w:firstLineChars="200"/>
      </w:pPr>
      <w:r>
        <w:t>15.4.4 未能修复</w:t>
      </w:r>
    </w:p>
    <w:p w14:paraId="7EB5FDFA">
      <w:pPr>
        <w:spacing w:line="400" w:lineRule="exact"/>
        <w:ind w:firstLine="420" w:firstLineChars="200"/>
      </w:pPr>
      <w: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rPr>
        <w:t>但修复范围超出缺陷或损坏范围的，超出范围部分的修复费用由发包人承担。</w:t>
      </w:r>
    </w:p>
    <w:p w14:paraId="1B4EB93D">
      <w:pPr>
        <w:spacing w:line="400" w:lineRule="exact"/>
        <w:ind w:firstLine="420" w:firstLineChars="200"/>
      </w:pPr>
      <w:r>
        <w:t>15.4.5 承包人出入权</w:t>
      </w:r>
    </w:p>
    <w:p w14:paraId="75E57057">
      <w:pPr>
        <w:spacing w:line="400" w:lineRule="exact"/>
        <w:ind w:firstLine="420" w:firstLineChars="200"/>
      </w:pPr>
      <w: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A226D69">
      <w:pPr>
        <w:pStyle w:val="23"/>
        <w:ind w:firstLine="640" w:firstLineChars="200"/>
        <w:rPr>
          <w:rFonts w:ascii="黑体" w:hAnsi="宋体" w:cs="黑体"/>
          <w:kern w:val="0"/>
          <w:sz w:val="32"/>
          <w:lang w:bidi="ar"/>
        </w:rPr>
      </w:pPr>
      <w:bookmarkStart w:id="1281" w:name="_Toc256000258"/>
      <w:bookmarkStart w:id="1282" w:name="_Toc152264617"/>
      <w:bookmarkStart w:id="1283" w:name="_Toc351203603"/>
      <w:bookmarkStart w:id="1284" w:name="_Toc337558820"/>
      <w:r>
        <w:rPr>
          <w:rFonts w:hint="eastAsia" w:ascii="黑体" w:hAnsi="宋体" w:cs="黑体"/>
          <w:kern w:val="0"/>
          <w:sz w:val="32"/>
          <w:lang w:bidi="ar"/>
        </w:rPr>
        <w:t>16.违约</w:t>
      </w:r>
      <w:bookmarkEnd w:id="1281"/>
      <w:bookmarkEnd w:id="1282"/>
      <w:bookmarkEnd w:id="1283"/>
    </w:p>
    <w:bookmarkEnd w:id="1284"/>
    <w:p w14:paraId="1D55735D">
      <w:pPr>
        <w:pStyle w:val="25"/>
        <w:ind w:firstLine="482" w:firstLineChars="200"/>
        <w:rPr>
          <w:b/>
        </w:rPr>
      </w:pPr>
      <w:bookmarkStart w:id="1285" w:name="_Toc296346630"/>
      <w:bookmarkStart w:id="1286" w:name="_Toc296503129"/>
      <w:bookmarkStart w:id="1287" w:name="_Toc351203604"/>
      <w:bookmarkStart w:id="1288" w:name="_Toc152264618"/>
      <w:bookmarkStart w:id="1289" w:name="_Toc256000259"/>
      <w:bookmarkStart w:id="1290" w:name="_Toc337558821"/>
      <w:r>
        <w:rPr>
          <w:b/>
        </w:rPr>
        <w:t>16.1 发</w:t>
      </w:r>
      <w:bookmarkEnd w:id="1285"/>
      <w:bookmarkEnd w:id="1286"/>
      <w:r>
        <w:rPr>
          <w:b/>
        </w:rPr>
        <w:t>包人违约</w:t>
      </w:r>
      <w:bookmarkEnd w:id="1287"/>
      <w:bookmarkEnd w:id="1288"/>
      <w:bookmarkEnd w:id="1289"/>
    </w:p>
    <w:bookmarkEnd w:id="1290"/>
    <w:p w14:paraId="496BB15F">
      <w:pPr>
        <w:spacing w:line="400" w:lineRule="exact"/>
        <w:ind w:firstLine="420" w:firstLineChars="200"/>
      </w:pPr>
      <w:r>
        <w:t>16.1.1 发包人违约的情形</w:t>
      </w:r>
    </w:p>
    <w:p w14:paraId="55945832">
      <w:pPr>
        <w:spacing w:line="400" w:lineRule="exact"/>
        <w:ind w:firstLine="420" w:firstLineChars="200"/>
      </w:pPr>
      <w:r>
        <w:t>在合同履行过程中发生的下列情形，属于发包人违约：</w:t>
      </w:r>
    </w:p>
    <w:p w14:paraId="0F8DE00E">
      <w:pPr>
        <w:spacing w:line="400" w:lineRule="exact"/>
        <w:ind w:firstLine="420" w:firstLineChars="200"/>
      </w:pPr>
      <w:r>
        <w:t>（1）因发包人原因未能在计划开工日期前7天内下达开工通知的；</w:t>
      </w:r>
    </w:p>
    <w:p w14:paraId="4B11C0F2">
      <w:pPr>
        <w:spacing w:line="400" w:lineRule="exact"/>
        <w:ind w:firstLine="420" w:firstLineChars="200"/>
      </w:pPr>
      <w:r>
        <w:t>（2）因发包人原因未能按合同约定支付合同价款的；</w:t>
      </w:r>
    </w:p>
    <w:p w14:paraId="07D20685">
      <w:pPr>
        <w:spacing w:line="400" w:lineRule="exact"/>
        <w:ind w:firstLine="420" w:firstLineChars="200"/>
      </w:pPr>
      <w:r>
        <w:t>（3）发包人违反第10.1款</w:t>
      </w:r>
      <w:r>
        <w:rPr>
          <w:rFonts w:hint="eastAsia"/>
        </w:rPr>
        <w:t>〔</w:t>
      </w:r>
      <w:r>
        <w:t>变更的范围</w:t>
      </w:r>
      <w:r>
        <w:rPr>
          <w:rFonts w:hint="eastAsia"/>
        </w:rPr>
        <w:t>〕</w:t>
      </w:r>
      <w:r>
        <w:t>第（2）项约定，自行实施被取消的工作或转由他人实施的；</w:t>
      </w:r>
    </w:p>
    <w:p w14:paraId="70FFECB4">
      <w:pPr>
        <w:spacing w:line="400" w:lineRule="exact"/>
        <w:ind w:firstLine="420" w:firstLineChars="200"/>
      </w:pPr>
      <w:r>
        <w:t>（4）发包人提供的材料、工程设备的规格、数量或质量不符合合同约定，或因发包人原因导致交货日期延误或交货地点变更等情况的；</w:t>
      </w:r>
    </w:p>
    <w:p w14:paraId="5CB87E57">
      <w:pPr>
        <w:spacing w:line="400" w:lineRule="exact"/>
        <w:ind w:firstLine="420" w:firstLineChars="200"/>
      </w:pPr>
      <w:r>
        <w:t>（5）因发包人违反合同约定造成暂停施工的；</w:t>
      </w:r>
    </w:p>
    <w:p w14:paraId="7C0C8E42">
      <w:pPr>
        <w:spacing w:line="400" w:lineRule="exact"/>
        <w:ind w:firstLine="420" w:firstLineChars="200"/>
      </w:pPr>
      <w:r>
        <w:t>（6）发包人无正当理由没有在约定期限内发出复工指示，导致承包人无法复工的；</w:t>
      </w:r>
    </w:p>
    <w:p w14:paraId="237CB4DC">
      <w:pPr>
        <w:spacing w:line="400" w:lineRule="exact"/>
        <w:ind w:firstLine="420" w:firstLineChars="200"/>
      </w:pPr>
      <w:r>
        <w:t>（7）发包人明确表示或者以其行为表明不履行合同主要义务的；</w:t>
      </w:r>
    </w:p>
    <w:p w14:paraId="4924EA91">
      <w:pPr>
        <w:spacing w:line="400" w:lineRule="exact"/>
        <w:ind w:firstLine="420" w:firstLineChars="200"/>
      </w:pPr>
      <w:r>
        <w:t>（8）发包人未能按照合同约定履行其他义务的。</w:t>
      </w:r>
    </w:p>
    <w:p w14:paraId="3CD66F15">
      <w:pPr>
        <w:spacing w:line="400" w:lineRule="exact"/>
        <w:ind w:firstLine="420" w:firstLineChars="200"/>
      </w:pPr>
      <w: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525934D">
      <w:pPr>
        <w:spacing w:line="400" w:lineRule="exact"/>
        <w:ind w:firstLine="420" w:firstLineChars="200"/>
      </w:pPr>
      <w:r>
        <w:t>16.1.2 发包人违约的责任</w:t>
      </w:r>
    </w:p>
    <w:p w14:paraId="2F082ACE">
      <w:pPr>
        <w:spacing w:line="400" w:lineRule="exact"/>
        <w:ind w:firstLine="420" w:firstLineChars="200"/>
      </w:pPr>
      <w:r>
        <w:t>发包人应承担因其违约给承包人增加的费用和（或）延误的工期，并支付承包人合理的利润。此外，合同当事人可在专用合同条款中另行约定发包人违约责任的承担方式和计算方法。</w:t>
      </w:r>
    </w:p>
    <w:p w14:paraId="15F4BA12">
      <w:pPr>
        <w:spacing w:line="400" w:lineRule="exact"/>
        <w:ind w:firstLine="420" w:firstLineChars="200"/>
      </w:pPr>
      <w:r>
        <w:t>16.1.3 因发包人违约解除合同</w:t>
      </w:r>
    </w:p>
    <w:p w14:paraId="7177C337">
      <w:pPr>
        <w:spacing w:line="400" w:lineRule="exact"/>
        <w:ind w:firstLine="420" w:firstLineChars="200"/>
      </w:pPr>
      <w:r>
        <w:t>除专用合同条款另有约定外，承包人按第16.1.1项</w:t>
      </w:r>
      <w:r>
        <w:rPr>
          <w:rFonts w:hint="eastAsia"/>
        </w:rPr>
        <w:t>〔</w:t>
      </w:r>
      <w:r>
        <w:t>发包人违约的情形</w:t>
      </w:r>
      <w:r>
        <w:rPr>
          <w:rFonts w:hint="eastAsia"/>
        </w:rPr>
        <w:t>〕</w:t>
      </w:r>
      <w:r>
        <w:t>约定暂停施工满28天后</w:t>
      </w:r>
      <w:r>
        <w:rPr>
          <w:rFonts w:hint="eastAsia"/>
        </w:rPr>
        <w:t>，</w:t>
      </w:r>
      <w:r>
        <w:t>发包人仍不纠正其违约行为并致使合同目的不能实现的，</w:t>
      </w:r>
      <w:r>
        <w:rPr>
          <w:rFonts w:hint="eastAsia"/>
        </w:rPr>
        <w:t>或</w:t>
      </w:r>
      <w:r>
        <w:t>出现第16.1.1项</w:t>
      </w:r>
      <w:r>
        <w:rPr>
          <w:rFonts w:hint="eastAsia"/>
        </w:rPr>
        <w:t>〔</w:t>
      </w:r>
      <w:r>
        <w:t>发包人违约的情形</w:t>
      </w:r>
      <w:r>
        <w:rPr>
          <w:rFonts w:hint="eastAsia"/>
        </w:rPr>
        <w:t>〕</w:t>
      </w:r>
      <w:r>
        <w:t>第（7）目约定的违约情况，承包人有权解除合同，发包人应承担由此增加的费用，并支付承包人合理的利润。</w:t>
      </w:r>
    </w:p>
    <w:p w14:paraId="121DB6C2">
      <w:pPr>
        <w:spacing w:line="400" w:lineRule="exact"/>
        <w:ind w:firstLine="420" w:firstLineChars="200"/>
      </w:pPr>
      <w:r>
        <w:t>16.1.4 因发包人违约解除合同后的付款</w:t>
      </w:r>
    </w:p>
    <w:p w14:paraId="2BCE3779">
      <w:pPr>
        <w:spacing w:line="400" w:lineRule="exact"/>
        <w:ind w:firstLine="420" w:firstLineChars="200"/>
      </w:pPr>
      <w:r>
        <w:t>承包人按照本款约定解除合同的，发包人应在解除合同后28天内支付下列款项，并解除履约担保：</w:t>
      </w:r>
    </w:p>
    <w:p w14:paraId="7BAD49CD">
      <w:pPr>
        <w:spacing w:line="400" w:lineRule="exact"/>
        <w:ind w:firstLine="420" w:firstLineChars="200"/>
      </w:pPr>
      <w:r>
        <w:t>（1）合同解除前所完成工作的价款；</w:t>
      </w:r>
    </w:p>
    <w:p w14:paraId="48819609">
      <w:pPr>
        <w:spacing w:line="400" w:lineRule="exact"/>
        <w:ind w:firstLine="420" w:firstLineChars="200"/>
      </w:pPr>
      <w:r>
        <w:t>（2）承包人为工程施工订购并已付款的材料、工程设备和其他物品的价款；</w:t>
      </w:r>
    </w:p>
    <w:p w14:paraId="47B3B001">
      <w:pPr>
        <w:spacing w:line="400" w:lineRule="exact"/>
        <w:ind w:firstLine="420" w:firstLineChars="200"/>
      </w:pPr>
      <w:r>
        <w:t>（3）承包人撤离施工现场以及遣散承包人人员的款项；</w:t>
      </w:r>
    </w:p>
    <w:p w14:paraId="3A319F6B">
      <w:pPr>
        <w:spacing w:line="400" w:lineRule="exact"/>
        <w:ind w:firstLine="420" w:firstLineChars="200"/>
      </w:pPr>
      <w:r>
        <w:t>（4）按照合同约定在合同解除前应支付的违约金；</w:t>
      </w:r>
    </w:p>
    <w:p w14:paraId="0F67A2B8">
      <w:pPr>
        <w:spacing w:line="400" w:lineRule="exact"/>
        <w:ind w:firstLine="420" w:firstLineChars="200"/>
      </w:pPr>
      <w:r>
        <w:t>（5）按照合同约定应当支付给承包人的其他款项；</w:t>
      </w:r>
    </w:p>
    <w:p w14:paraId="08844742">
      <w:pPr>
        <w:spacing w:line="400" w:lineRule="exact"/>
        <w:ind w:firstLine="420" w:firstLineChars="200"/>
      </w:pPr>
      <w:r>
        <w:t>（6）按照合同约定应退还的质量保证金；</w:t>
      </w:r>
    </w:p>
    <w:p w14:paraId="62B3D539">
      <w:pPr>
        <w:spacing w:line="400" w:lineRule="exact"/>
        <w:ind w:firstLine="420" w:firstLineChars="200"/>
      </w:pPr>
      <w:r>
        <w:t>（7）因解除合同给承包人造成的损失。</w:t>
      </w:r>
    </w:p>
    <w:p w14:paraId="226F1AC7">
      <w:pPr>
        <w:spacing w:line="400" w:lineRule="exact"/>
        <w:ind w:firstLine="420" w:firstLineChars="200"/>
      </w:pPr>
      <w:r>
        <w:t>合同当事人未能就解除合同后的结清达成一致的，按照第20条</w:t>
      </w:r>
      <w:r>
        <w:rPr>
          <w:rFonts w:hint="eastAsia"/>
        </w:rPr>
        <w:t>〔</w:t>
      </w:r>
      <w:r>
        <w:t>争议解决</w:t>
      </w:r>
      <w:r>
        <w:rPr>
          <w:rFonts w:hint="eastAsia"/>
        </w:rPr>
        <w:t>〕</w:t>
      </w:r>
      <w:r>
        <w:t>的约定处理。</w:t>
      </w:r>
    </w:p>
    <w:p w14:paraId="3EE09ED1">
      <w:pPr>
        <w:spacing w:line="400" w:lineRule="exact"/>
        <w:ind w:firstLine="420" w:firstLineChars="200"/>
      </w:pPr>
      <w:r>
        <w:t>承包人应妥善做好已完工程和与工程有关的已购材料、工程设备的保护和移交工作，并将施工设备和人员撤出施工现场，发包人应为承包人撤出提供必要条件。</w:t>
      </w:r>
    </w:p>
    <w:p w14:paraId="480DE3AF">
      <w:pPr>
        <w:pStyle w:val="25"/>
        <w:ind w:firstLine="482" w:firstLineChars="200"/>
        <w:rPr>
          <w:b/>
        </w:rPr>
      </w:pPr>
      <w:bookmarkStart w:id="1291" w:name="_Toc152264619"/>
      <w:bookmarkStart w:id="1292" w:name="_Toc256000260"/>
      <w:bookmarkStart w:id="1293" w:name="_Toc351203605"/>
      <w:bookmarkStart w:id="1294" w:name="_Toc337558822"/>
      <w:bookmarkStart w:id="1295" w:name="_Toc296503131"/>
      <w:bookmarkStart w:id="1296" w:name="_Toc296346632"/>
      <w:r>
        <w:rPr>
          <w:b/>
        </w:rPr>
        <w:t>16.2 承包人违约</w:t>
      </w:r>
      <w:bookmarkEnd w:id="1291"/>
      <w:bookmarkEnd w:id="1292"/>
      <w:bookmarkEnd w:id="1293"/>
    </w:p>
    <w:bookmarkEnd w:id="1294"/>
    <w:bookmarkEnd w:id="1295"/>
    <w:bookmarkEnd w:id="1296"/>
    <w:p w14:paraId="619D2E7A">
      <w:pPr>
        <w:spacing w:line="400" w:lineRule="exact"/>
        <w:ind w:firstLine="420" w:firstLineChars="200"/>
      </w:pPr>
      <w:r>
        <w:t>16.2.1 承包人违约的情形</w:t>
      </w:r>
    </w:p>
    <w:p w14:paraId="1089374A">
      <w:pPr>
        <w:spacing w:line="400" w:lineRule="exact"/>
        <w:ind w:firstLine="420" w:firstLineChars="200"/>
      </w:pPr>
      <w:r>
        <w:t>在合同履行过程中发生的下列情形，属于承包人违约：</w:t>
      </w:r>
    </w:p>
    <w:p w14:paraId="45A9A2AB">
      <w:pPr>
        <w:spacing w:line="400" w:lineRule="exact"/>
        <w:ind w:firstLine="420" w:firstLineChars="200"/>
      </w:pPr>
      <w:r>
        <w:t>（1）承包人违反合同约定进行转包或违法分包的；</w:t>
      </w:r>
    </w:p>
    <w:p w14:paraId="7E28EAB7">
      <w:pPr>
        <w:spacing w:line="400" w:lineRule="exact"/>
        <w:ind w:firstLine="420" w:firstLineChars="200"/>
      </w:pPr>
      <w:r>
        <w:t>（2）承包人违反合同约定采购和使用不合格的材料和工程设备的；</w:t>
      </w:r>
    </w:p>
    <w:p w14:paraId="263B533F">
      <w:pPr>
        <w:spacing w:line="400" w:lineRule="exact"/>
        <w:ind w:firstLine="420" w:firstLineChars="200"/>
      </w:pPr>
      <w:r>
        <w:t xml:space="preserve">（3）因承包人原因导致工程质量不符合合同要求的； </w:t>
      </w:r>
    </w:p>
    <w:p w14:paraId="61BCF747">
      <w:pPr>
        <w:spacing w:line="400" w:lineRule="exact"/>
        <w:ind w:firstLine="420" w:firstLineChars="200"/>
      </w:pPr>
      <w:r>
        <w:t>（4）承包人违反第8.9款</w:t>
      </w:r>
      <w:r>
        <w:rPr>
          <w:rFonts w:hint="eastAsia"/>
        </w:rPr>
        <w:t>〔</w:t>
      </w:r>
      <w:r>
        <w:t>材料与设备专用</w:t>
      </w:r>
      <w:r>
        <w:rPr>
          <w:rFonts w:hint="eastAsia"/>
        </w:rPr>
        <w:t>要求〕</w:t>
      </w:r>
      <w:r>
        <w:t>的约定，未经批准，私自将已按照合同约定进入施工现场的材料或设备撤离施工现场的；</w:t>
      </w:r>
    </w:p>
    <w:p w14:paraId="17C91D6A">
      <w:pPr>
        <w:spacing w:line="400" w:lineRule="exact"/>
        <w:ind w:firstLine="420" w:firstLineChars="200"/>
      </w:pPr>
      <w:r>
        <w:t>（5）承包人未能按施工进度计划及时完成合同约定的工作，造成工期延误的；</w:t>
      </w:r>
    </w:p>
    <w:p w14:paraId="63D65566">
      <w:pPr>
        <w:spacing w:line="400" w:lineRule="exact"/>
        <w:ind w:firstLine="420" w:firstLineChars="200"/>
      </w:pPr>
      <w:r>
        <w:t>（6）承包人在缺陷责任期及保修期内，未能在合理期限对工程缺陷进行修复，或拒绝按发包人要求进行修复的；</w:t>
      </w:r>
    </w:p>
    <w:p w14:paraId="593779D8">
      <w:pPr>
        <w:spacing w:line="400" w:lineRule="exact"/>
        <w:ind w:firstLine="420" w:firstLineChars="200"/>
      </w:pPr>
      <w:r>
        <w:t>（7）承包人明确表示或者以其行为表明不履行合同主要义务的；</w:t>
      </w:r>
    </w:p>
    <w:p w14:paraId="2D009C34">
      <w:pPr>
        <w:spacing w:line="400" w:lineRule="exact"/>
        <w:ind w:firstLine="420" w:firstLineChars="200"/>
      </w:pPr>
      <w:r>
        <w:t>（8）承包人未能按照合同约定履行其他义务的。</w:t>
      </w:r>
    </w:p>
    <w:p w14:paraId="5610A438">
      <w:pPr>
        <w:spacing w:line="400" w:lineRule="exact"/>
        <w:ind w:firstLine="420" w:firstLineChars="200"/>
      </w:pPr>
      <w:r>
        <w:t>承包人发生除本项第（7）目约定以外的其他违约情况时，监理人可向承包人发出整改通知，要求其在指定的期限内改正。</w:t>
      </w:r>
    </w:p>
    <w:p w14:paraId="2F36D555">
      <w:pPr>
        <w:spacing w:line="400" w:lineRule="exact"/>
        <w:ind w:firstLine="420" w:firstLineChars="200"/>
      </w:pPr>
      <w:r>
        <w:t>16.2.2 承包人违约的责任</w:t>
      </w:r>
    </w:p>
    <w:p w14:paraId="4E7D8DD0">
      <w:pPr>
        <w:spacing w:line="400" w:lineRule="exact"/>
        <w:ind w:firstLine="420" w:firstLineChars="200"/>
      </w:pPr>
      <w:r>
        <w:t>承包人应承担因其违约行为而增加的费用</w:t>
      </w:r>
      <w:r>
        <w:rPr>
          <w:rFonts w:hint="eastAsia"/>
        </w:rPr>
        <w:t>和（或）延误的</w:t>
      </w:r>
      <w:r>
        <w:t>工期。此外，合同当事人可在专用合同条款中另行约定承包人违约责任的承担方式和计算方法。</w:t>
      </w:r>
    </w:p>
    <w:p w14:paraId="446E9921">
      <w:pPr>
        <w:spacing w:line="400" w:lineRule="exact"/>
        <w:ind w:firstLine="420" w:firstLineChars="200"/>
      </w:pPr>
      <w:r>
        <w:t>16.2.3 因承包人违约解除合同</w:t>
      </w:r>
    </w:p>
    <w:p w14:paraId="0D8F0943">
      <w:pPr>
        <w:spacing w:line="400" w:lineRule="exact"/>
        <w:ind w:firstLine="420" w:firstLineChars="200"/>
      </w:pPr>
      <w:r>
        <w:t>除专用合同条款另有约定外，出现第16.2.1项</w:t>
      </w:r>
      <w:r>
        <w:rPr>
          <w:rFonts w:hint="eastAsia"/>
        </w:rPr>
        <w:t>〔</w:t>
      </w:r>
      <w:r>
        <w:t>承包人违约的情形</w:t>
      </w:r>
      <w:r>
        <w:rPr>
          <w:rFonts w:hint="eastAsia"/>
        </w:rPr>
        <w:t>〕</w:t>
      </w:r>
      <w: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rPr>
        <w:t>合同当事人应在专用合同条款约定相应费用的承担方式。</w:t>
      </w:r>
      <w:r>
        <w:t>发包人</w:t>
      </w:r>
      <w:r>
        <w:rPr>
          <w:rFonts w:hint="eastAsia"/>
        </w:rPr>
        <w:t>继续使用的</w:t>
      </w:r>
      <w:r>
        <w:t>行为不免除或减轻承包人应承担的违约责任。</w:t>
      </w:r>
    </w:p>
    <w:p w14:paraId="479D1FCF">
      <w:pPr>
        <w:spacing w:line="400" w:lineRule="exact"/>
        <w:ind w:firstLine="420" w:firstLineChars="200"/>
      </w:pPr>
      <w:r>
        <w:t>16.2.4因承包人违约解除合同后的处理</w:t>
      </w:r>
    </w:p>
    <w:p w14:paraId="7B5122E9">
      <w:pPr>
        <w:spacing w:line="400" w:lineRule="exact"/>
        <w:ind w:firstLine="420" w:firstLineChars="200"/>
      </w:pPr>
      <w:r>
        <w:t>因承包人原因导致合同解除的，则合同当事人应在合同解除后28天内完成估价、付款和清算，并按以下约定执行：</w:t>
      </w:r>
    </w:p>
    <w:p w14:paraId="26A495CE">
      <w:pPr>
        <w:spacing w:line="400" w:lineRule="exact"/>
        <w:ind w:firstLine="420" w:firstLineChars="200"/>
      </w:pPr>
      <w:r>
        <w:t>（1）合同解除后，按第4.4款</w:t>
      </w:r>
      <w:r>
        <w:rPr>
          <w:rFonts w:hint="eastAsia"/>
        </w:rPr>
        <w:t>〔</w:t>
      </w:r>
      <w:r>
        <w:t>商定或确定</w:t>
      </w:r>
      <w:r>
        <w:rPr>
          <w:rFonts w:hint="eastAsia"/>
        </w:rPr>
        <w:t>〕</w:t>
      </w:r>
      <w:r>
        <w:t>商定或确定承包人实际完成工作对应的合同价款，以及承包人已提供的材料、工程设备、施工设备和临时工程等的价值；</w:t>
      </w:r>
    </w:p>
    <w:p w14:paraId="3136B57E">
      <w:pPr>
        <w:spacing w:line="400" w:lineRule="exact"/>
        <w:ind w:firstLine="420" w:firstLineChars="200"/>
      </w:pPr>
      <w:r>
        <w:t>（2）合同解除后，承包人应支付的违约金；</w:t>
      </w:r>
    </w:p>
    <w:p w14:paraId="0CC6465D">
      <w:pPr>
        <w:spacing w:line="400" w:lineRule="exact"/>
        <w:ind w:firstLine="420" w:firstLineChars="200"/>
      </w:pPr>
      <w:r>
        <w:t>（3）合同解除后，因解除合同给发包人造成的损失；</w:t>
      </w:r>
    </w:p>
    <w:p w14:paraId="0E71F23A">
      <w:pPr>
        <w:spacing w:line="400" w:lineRule="exact"/>
        <w:ind w:firstLine="420" w:firstLineChars="200"/>
      </w:pPr>
      <w:r>
        <w:t>（4）合同解除后，承包人应按照发包人要求和监理人的指示完成现场的清理和撤离；</w:t>
      </w:r>
    </w:p>
    <w:p w14:paraId="081B761A">
      <w:pPr>
        <w:spacing w:line="400" w:lineRule="exact"/>
        <w:ind w:firstLine="420" w:firstLineChars="200"/>
      </w:pPr>
      <w:r>
        <w:t>（5）发包人和承包人应在合同解除后进行清算，出具最终结清付款证书，结清全部款项。</w:t>
      </w:r>
    </w:p>
    <w:p w14:paraId="63068BC0">
      <w:pPr>
        <w:spacing w:line="400" w:lineRule="exact"/>
        <w:ind w:firstLine="420" w:firstLineChars="200"/>
      </w:pPr>
      <w:r>
        <w:rPr>
          <w:rFonts w:hint="eastAsia"/>
        </w:rPr>
        <w:t>因承包人违约解除合同的，</w:t>
      </w:r>
      <w:r>
        <w:t>发包人有权暂停对承包人的付款，查清各项付款和已扣款项。发包人和承包人未能就合同解除后的清算和款项支付达成一致的，按照第20条</w:t>
      </w:r>
      <w:r>
        <w:rPr>
          <w:rFonts w:hint="eastAsia"/>
        </w:rPr>
        <w:t>〔</w:t>
      </w:r>
      <w:r>
        <w:t>争议解决</w:t>
      </w:r>
      <w:r>
        <w:rPr>
          <w:rFonts w:hint="eastAsia"/>
        </w:rPr>
        <w:t>〕</w:t>
      </w:r>
      <w:r>
        <w:t>的约定处理。</w:t>
      </w:r>
    </w:p>
    <w:p w14:paraId="0457CF77">
      <w:pPr>
        <w:spacing w:line="400" w:lineRule="exact"/>
        <w:ind w:firstLine="420" w:firstLineChars="200"/>
      </w:pPr>
      <w:r>
        <w:t>16.2.5采购合同权益转让</w:t>
      </w:r>
    </w:p>
    <w:p w14:paraId="29836CA0">
      <w:pPr>
        <w:spacing w:line="400" w:lineRule="exact"/>
        <w:ind w:firstLine="420" w:firstLineChars="200"/>
      </w:pPr>
      <w: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F227C7A">
      <w:pPr>
        <w:pStyle w:val="25"/>
        <w:ind w:firstLine="482" w:firstLineChars="200"/>
        <w:rPr>
          <w:b/>
        </w:rPr>
      </w:pPr>
      <w:bookmarkStart w:id="1297" w:name="_Toc152264620"/>
      <w:bookmarkStart w:id="1298" w:name="_Toc256000261"/>
      <w:bookmarkStart w:id="1299" w:name="_Toc351203606"/>
      <w:r>
        <w:rPr>
          <w:b/>
        </w:rPr>
        <w:t>16.3 第三人造成的违约</w:t>
      </w:r>
      <w:bookmarkEnd w:id="1297"/>
      <w:bookmarkEnd w:id="1298"/>
      <w:bookmarkEnd w:id="1299"/>
    </w:p>
    <w:p w14:paraId="03FC0815">
      <w:pPr>
        <w:spacing w:line="400" w:lineRule="exact"/>
        <w:ind w:firstLine="420" w:firstLineChars="200"/>
      </w:pPr>
      <w:r>
        <w:t>在履行合同过程中，一方当事人因第三人的原因造成违约的，应当向对方当事人承担违约责任。一方当事人和第三人之间的纠纷，依照法律规定或者按照约定解决。</w:t>
      </w:r>
    </w:p>
    <w:p w14:paraId="3DBC4C30">
      <w:pPr>
        <w:pStyle w:val="23"/>
        <w:ind w:firstLine="640" w:firstLineChars="200"/>
        <w:rPr>
          <w:rFonts w:ascii="黑体" w:hAnsi="宋体" w:cs="黑体"/>
          <w:kern w:val="0"/>
          <w:sz w:val="32"/>
          <w:lang w:bidi="ar"/>
        </w:rPr>
      </w:pPr>
      <w:bookmarkStart w:id="1300" w:name="_Toc152264621"/>
      <w:bookmarkStart w:id="1301" w:name="_Toc351203607"/>
      <w:bookmarkStart w:id="1302" w:name="_Toc256000262"/>
      <w:bookmarkStart w:id="1303" w:name="_Toc296503116"/>
      <w:bookmarkStart w:id="1304" w:name="_Toc296346617"/>
      <w:bookmarkStart w:id="1305" w:name="_Toc337558823"/>
      <w:r>
        <w:rPr>
          <w:rFonts w:hint="eastAsia" w:ascii="黑体" w:hAnsi="宋体" w:cs="黑体"/>
          <w:kern w:val="0"/>
          <w:sz w:val="32"/>
          <w:lang w:bidi="ar"/>
        </w:rPr>
        <w:t>17.不可抗力</w:t>
      </w:r>
      <w:bookmarkEnd w:id="1300"/>
      <w:bookmarkEnd w:id="1301"/>
      <w:bookmarkEnd w:id="1302"/>
      <w:r>
        <w:rPr>
          <w:rFonts w:hint="eastAsia" w:ascii="黑体" w:hAnsi="宋体" w:cs="黑体"/>
          <w:kern w:val="0"/>
          <w:sz w:val="32"/>
          <w:lang w:bidi="ar"/>
        </w:rPr>
        <w:t xml:space="preserve"> </w:t>
      </w:r>
      <w:bookmarkEnd w:id="1303"/>
      <w:bookmarkEnd w:id="1304"/>
      <w:bookmarkEnd w:id="1305"/>
    </w:p>
    <w:p w14:paraId="02C0F27C">
      <w:pPr>
        <w:pStyle w:val="25"/>
        <w:ind w:firstLine="482" w:firstLineChars="200"/>
        <w:rPr>
          <w:b/>
        </w:rPr>
      </w:pPr>
      <w:bookmarkStart w:id="1306" w:name="_Toc256000263"/>
      <w:bookmarkStart w:id="1307" w:name="_Toc351203608"/>
      <w:bookmarkStart w:id="1308" w:name="_Toc152264622"/>
      <w:bookmarkStart w:id="1309" w:name="_Toc296503117"/>
      <w:bookmarkStart w:id="1310" w:name="_Toc296346618"/>
      <w:bookmarkStart w:id="1311" w:name="_Toc337558824"/>
      <w:r>
        <w:rPr>
          <w:b/>
        </w:rPr>
        <w:t>17.1 不可抗力的确认</w:t>
      </w:r>
      <w:bookmarkEnd w:id="1306"/>
      <w:bookmarkEnd w:id="1307"/>
      <w:bookmarkEnd w:id="1308"/>
    </w:p>
    <w:bookmarkEnd w:id="1309"/>
    <w:bookmarkEnd w:id="1310"/>
    <w:bookmarkEnd w:id="1311"/>
    <w:p w14:paraId="654B2FEF">
      <w:pPr>
        <w:spacing w:line="400" w:lineRule="exact"/>
        <w:ind w:firstLine="420" w:firstLineChars="200"/>
      </w:pPr>
      <w:r>
        <w:t>不可抗力是指合同当事人在签订合同时不可预见，在合同履行过程中不可避免且不能克服的自然灾害和社会性突发事件，如地震、海啸、瘟疫、骚乱、戒严、暴动、战争和专用合同条款中约定的其他情形。</w:t>
      </w:r>
    </w:p>
    <w:p w14:paraId="42C6BDA4">
      <w:pPr>
        <w:spacing w:line="400" w:lineRule="exact"/>
        <w:ind w:firstLine="420" w:firstLineChars="200"/>
      </w:pPr>
      <w: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rPr>
        <w:t>〔</w:t>
      </w:r>
      <w:r>
        <w:t>商定或确定</w:t>
      </w:r>
      <w:r>
        <w:rPr>
          <w:rFonts w:hint="eastAsia"/>
        </w:rPr>
        <w:t>〕</w:t>
      </w:r>
      <w:r>
        <w:t>的约定处理。发生争议时，按第20条</w:t>
      </w:r>
      <w:r>
        <w:rPr>
          <w:rFonts w:hint="eastAsia"/>
        </w:rPr>
        <w:t>〔</w:t>
      </w:r>
      <w:r>
        <w:t>争议解决</w:t>
      </w:r>
      <w:r>
        <w:rPr>
          <w:rFonts w:hint="eastAsia"/>
        </w:rPr>
        <w:t>〕</w:t>
      </w:r>
      <w:r>
        <w:t>的约定处理。</w:t>
      </w:r>
    </w:p>
    <w:p w14:paraId="5E0DE69C">
      <w:pPr>
        <w:pStyle w:val="25"/>
        <w:ind w:firstLine="482" w:firstLineChars="200"/>
        <w:rPr>
          <w:b/>
        </w:rPr>
      </w:pPr>
      <w:bookmarkStart w:id="1312" w:name="_Toc152264623"/>
      <w:bookmarkStart w:id="1313" w:name="_Toc351203609"/>
      <w:bookmarkStart w:id="1314" w:name="_Toc256000264"/>
      <w:bookmarkStart w:id="1315" w:name="_Toc296346619"/>
      <w:bookmarkStart w:id="1316" w:name="_Toc296503118"/>
      <w:bookmarkStart w:id="1317" w:name="_Toc337558825"/>
      <w:r>
        <w:rPr>
          <w:b/>
        </w:rPr>
        <w:t>17.2 不可抗力的通知</w:t>
      </w:r>
      <w:bookmarkEnd w:id="1312"/>
      <w:bookmarkEnd w:id="1313"/>
      <w:bookmarkEnd w:id="1314"/>
    </w:p>
    <w:bookmarkEnd w:id="1315"/>
    <w:bookmarkEnd w:id="1316"/>
    <w:bookmarkEnd w:id="1317"/>
    <w:p w14:paraId="08FBE633">
      <w:pPr>
        <w:spacing w:line="400" w:lineRule="exact"/>
        <w:ind w:firstLine="420" w:firstLineChars="200"/>
      </w:pPr>
      <w:r>
        <w:rPr>
          <w:rFonts w:hint="eastAsia"/>
        </w:rPr>
        <w:t>合同</w:t>
      </w:r>
      <w:r>
        <w:t>一方当事人遇到不可抗力事件，使其履行合同义务受到阻碍时，应立即通知合同另一方当事人和监理人，书面说明不可抗力和受阻碍的详细情况，并提供必要的证明。</w:t>
      </w:r>
    </w:p>
    <w:p w14:paraId="7F33489D">
      <w:pPr>
        <w:spacing w:line="400" w:lineRule="exact"/>
        <w:ind w:firstLine="420" w:firstLineChars="200"/>
      </w:pPr>
      <w:r>
        <w:t>不可抗力持续发生的，合同一方当事人应及时向合同另一方当事人和监理人提交中间报告，说明不可抗力和履行合同受阻的情况，并于不可抗力事件结束后28天内提交最终报告及有关资料。</w:t>
      </w:r>
    </w:p>
    <w:p w14:paraId="014A39BF">
      <w:pPr>
        <w:pStyle w:val="25"/>
        <w:ind w:firstLine="482" w:firstLineChars="200"/>
        <w:rPr>
          <w:b/>
        </w:rPr>
      </w:pPr>
      <w:bookmarkStart w:id="1318" w:name="_Toc351203610"/>
      <w:bookmarkStart w:id="1319" w:name="_Toc152264624"/>
      <w:bookmarkStart w:id="1320" w:name="_Toc256000265"/>
      <w:bookmarkStart w:id="1321" w:name="_Toc296503119"/>
      <w:bookmarkStart w:id="1322" w:name="_Toc296346620"/>
      <w:bookmarkStart w:id="1323" w:name="_Toc337558826"/>
      <w:r>
        <w:rPr>
          <w:b/>
        </w:rPr>
        <w:t>17.3 不可抗力后果的承担</w:t>
      </w:r>
      <w:bookmarkEnd w:id="1318"/>
      <w:bookmarkEnd w:id="1319"/>
      <w:bookmarkEnd w:id="1320"/>
    </w:p>
    <w:bookmarkEnd w:id="1321"/>
    <w:bookmarkEnd w:id="1322"/>
    <w:bookmarkEnd w:id="1323"/>
    <w:p w14:paraId="4EE6880F">
      <w:pPr>
        <w:spacing w:line="400" w:lineRule="exact"/>
        <w:ind w:firstLine="420" w:firstLineChars="200"/>
      </w:pPr>
      <w:r>
        <w:t xml:space="preserve">17.3.1 </w:t>
      </w:r>
      <w:r>
        <w:rPr>
          <w:rFonts w:hint="eastAsia"/>
        </w:rPr>
        <w:t>不可抗力引起的后果及造成的损失由合同当事人按照法律规定及合同约定各自承担。</w:t>
      </w:r>
      <w:r>
        <w:t>不可抗力发生前已完</w:t>
      </w:r>
      <w:r>
        <w:rPr>
          <w:rFonts w:hint="eastAsia"/>
        </w:rPr>
        <w:t>成的</w:t>
      </w:r>
      <w:r>
        <w:t>工程应当按照合同约定进行计量</w:t>
      </w:r>
      <w:r>
        <w:rPr>
          <w:rFonts w:hint="eastAsia"/>
        </w:rPr>
        <w:t>支付</w:t>
      </w:r>
      <w:r>
        <w:t>。</w:t>
      </w:r>
    </w:p>
    <w:p w14:paraId="78997382">
      <w:pPr>
        <w:spacing w:line="400" w:lineRule="exact"/>
        <w:ind w:firstLine="420" w:firstLineChars="200"/>
      </w:pPr>
      <w:r>
        <w:t>17.3.2 不可抗力导致的人员伤亡、财产损失、费用增加和（或）工期延误等后果，由合同当事人按以下原则承担：</w:t>
      </w:r>
    </w:p>
    <w:p w14:paraId="30DA4CF4">
      <w:pPr>
        <w:spacing w:line="400" w:lineRule="exact"/>
        <w:ind w:firstLine="420" w:firstLineChars="200"/>
      </w:pPr>
      <w:r>
        <w:t>（1）永久工程、已运至施工现场的材料和工程设备的损坏，以及因工程损坏造成的第三人人员伤亡和财产损失由发包人承担；</w:t>
      </w:r>
    </w:p>
    <w:p w14:paraId="1E3D2D4B">
      <w:pPr>
        <w:spacing w:line="400" w:lineRule="exact"/>
        <w:ind w:firstLine="420" w:firstLineChars="200"/>
      </w:pPr>
      <w:r>
        <w:t>（2）承包人施工设备的损坏由承包人承担；</w:t>
      </w:r>
    </w:p>
    <w:p w14:paraId="3D50C497">
      <w:pPr>
        <w:spacing w:line="400" w:lineRule="exact"/>
        <w:ind w:firstLine="420" w:firstLineChars="200"/>
      </w:pPr>
      <w:r>
        <w:t>（3）发包人和承包人承担各自人员伤亡和财产的损失；</w:t>
      </w:r>
    </w:p>
    <w:p w14:paraId="5F0227DE">
      <w:pPr>
        <w:spacing w:line="400" w:lineRule="exact"/>
        <w:ind w:firstLine="420" w:firstLineChars="200"/>
      </w:pPr>
      <w:r>
        <w:t>（4）因不可抗力影响承包人履行合同约定的义务，已经引起或将引起工期延误的，应当顺延工期，由此导致承包人停工的费用损失由发包人和承包人合理分担，停工期间必须支付的工人工资由发包人承担；</w:t>
      </w:r>
    </w:p>
    <w:p w14:paraId="12E08B90">
      <w:pPr>
        <w:spacing w:line="400" w:lineRule="exact"/>
        <w:ind w:firstLine="420" w:firstLineChars="200"/>
      </w:pPr>
      <w:r>
        <w:t>（5）因不可抗力引起或将引起工期延误，发包人要求赶工的，由此增加的赶工费用由发包人承担；</w:t>
      </w:r>
    </w:p>
    <w:p w14:paraId="27F4CF82">
      <w:pPr>
        <w:spacing w:line="400" w:lineRule="exact"/>
        <w:ind w:firstLine="420" w:firstLineChars="200"/>
      </w:pPr>
      <w:r>
        <w:t>（6）承包人在停工期间按照发包人要求照管、清理和修复工程的费用由发包人承担。</w:t>
      </w:r>
    </w:p>
    <w:p w14:paraId="7343ECA1">
      <w:pPr>
        <w:spacing w:line="400" w:lineRule="exact"/>
        <w:ind w:firstLine="420" w:firstLineChars="200"/>
      </w:pPr>
      <w:r>
        <w:t>不可抗力发生后，合同当事人均应采取措施尽量避免和减少损失的扩大，任何一方当事人没有采取有效措施导致损失扩大的，应对扩大的损失承担责任。</w:t>
      </w:r>
    </w:p>
    <w:p w14:paraId="47BE9A7E">
      <w:pPr>
        <w:spacing w:line="400" w:lineRule="exact"/>
        <w:ind w:firstLine="420" w:firstLineChars="200"/>
      </w:pPr>
      <w:r>
        <w:t>因合同一方迟延履行合同义务，在迟延履行期间遭遇不可抗力的，不免除其违约责任。</w:t>
      </w:r>
    </w:p>
    <w:p w14:paraId="3EDAFD37">
      <w:pPr>
        <w:pStyle w:val="25"/>
        <w:ind w:firstLine="482" w:firstLineChars="200"/>
      </w:pPr>
      <w:bookmarkStart w:id="1324" w:name="_Toc351203611"/>
      <w:bookmarkStart w:id="1325" w:name="_Toc152264625"/>
      <w:bookmarkStart w:id="1326" w:name="_Toc256000266"/>
      <w:bookmarkStart w:id="1327" w:name="_Toc337558827"/>
      <w:r>
        <w:rPr>
          <w:b/>
        </w:rPr>
        <w:t>17.4 因不可抗力解除合同</w:t>
      </w:r>
      <w:bookmarkEnd w:id="1324"/>
      <w:bookmarkEnd w:id="1325"/>
      <w:bookmarkEnd w:id="1326"/>
    </w:p>
    <w:bookmarkEnd w:id="1327"/>
    <w:p w14:paraId="6F79247A">
      <w:pPr>
        <w:spacing w:line="400" w:lineRule="exact"/>
        <w:ind w:firstLine="420" w:firstLineChars="200"/>
      </w:pPr>
      <w:r>
        <w:t>因不可抗力导致合同无法履行连续超过84天或累计超过140天的，发包人和承包人均有权解除合同。合同解除后，由双方当事人按照第4.4款</w:t>
      </w:r>
      <w:r>
        <w:rPr>
          <w:rFonts w:hint="eastAsia"/>
        </w:rPr>
        <w:t>〔</w:t>
      </w:r>
      <w:r>
        <w:t>商定或确定</w:t>
      </w:r>
      <w:r>
        <w:rPr>
          <w:rFonts w:hint="eastAsia"/>
        </w:rPr>
        <w:t>〕</w:t>
      </w:r>
      <w:r>
        <w:t>商定或确定发包人应支付的款项，该款项包括：</w:t>
      </w:r>
    </w:p>
    <w:p w14:paraId="4004F81A">
      <w:pPr>
        <w:spacing w:line="400" w:lineRule="exact"/>
        <w:ind w:firstLine="420" w:firstLineChars="200"/>
      </w:pPr>
      <w:r>
        <w:t>（1）合同解除前承包人已完成工作的价款；</w:t>
      </w:r>
    </w:p>
    <w:p w14:paraId="2C31CCEB">
      <w:pPr>
        <w:spacing w:line="400" w:lineRule="exact"/>
        <w:ind w:firstLine="420" w:firstLineChars="200"/>
      </w:pPr>
      <w:r>
        <w:t>（2）承包人为工程订购的并已交付给承包人，或承包人有责任接受交付的材料、工程设备和其他物品的价款；</w:t>
      </w:r>
    </w:p>
    <w:p w14:paraId="24AC2B41">
      <w:pPr>
        <w:spacing w:line="400" w:lineRule="exact"/>
        <w:ind w:firstLine="420" w:firstLineChars="200"/>
      </w:pPr>
      <w:r>
        <w:t>（3）发包人要求承包人退货或解除订货合同而产生的费用，或因不能退货或解除合同而产生的损失；</w:t>
      </w:r>
    </w:p>
    <w:p w14:paraId="786E653B">
      <w:pPr>
        <w:spacing w:line="400" w:lineRule="exact"/>
        <w:ind w:firstLine="420" w:firstLineChars="200"/>
      </w:pPr>
      <w:r>
        <w:t>（4）承包人撤离施工现场以及遣散承包人人员的费用；</w:t>
      </w:r>
    </w:p>
    <w:p w14:paraId="737EF422">
      <w:pPr>
        <w:spacing w:line="400" w:lineRule="exact"/>
        <w:ind w:firstLine="420" w:firstLineChars="200"/>
      </w:pPr>
      <w:r>
        <w:t>（5）按照合同约定在合同解除前应支付给承包人的其他款项；</w:t>
      </w:r>
    </w:p>
    <w:p w14:paraId="03E5770E">
      <w:pPr>
        <w:spacing w:line="400" w:lineRule="exact"/>
        <w:ind w:firstLine="420" w:firstLineChars="200"/>
      </w:pPr>
      <w:r>
        <w:t>（6）扣减承包人按照合同约定应向发包人支付的款项；</w:t>
      </w:r>
    </w:p>
    <w:p w14:paraId="33A624B1">
      <w:pPr>
        <w:spacing w:line="400" w:lineRule="exact"/>
        <w:ind w:firstLine="420" w:firstLineChars="200"/>
      </w:pPr>
      <w:r>
        <w:t>（7）双方商定或确定的其他款项。</w:t>
      </w:r>
    </w:p>
    <w:p w14:paraId="0A93E754">
      <w:pPr>
        <w:spacing w:line="400" w:lineRule="exact"/>
        <w:ind w:firstLine="420" w:firstLineChars="200"/>
      </w:pPr>
      <w:r>
        <w:t>除专用合同条款另有约定外，合同解除后，发包人应在商定或确定上述款项后28天内完成上述款项的支付。</w:t>
      </w:r>
    </w:p>
    <w:p w14:paraId="1B19BAD5">
      <w:pPr>
        <w:pStyle w:val="23"/>
        <w:ind w:firstLine="640" w:firstLineChars="200"/>
        <w:rPr>
          <w:rFonts w:ascii="黑体" w:hAnsi="宋体" w:cs="黑体"/>
          <w:kern w:val="0"/>
          <w:sz w:val="32"/>
          <w:lang w:bidi="ar"/>
        </w:rPr>
      </w:pPr>
      <w:bookmarkStart w:id="1328" w:name="_Toc152264626"/>
      <w:bookmarkStart w:id="1329" w:name="_Toc256000267"/>
      <w:bookmarkStart w:id="1330" w:name="_Toc351203612"/>
      <w:bookmarkStart w:id="1331" w:name="_Toc296346621"/>
      <w:bookmarkStart w:id="1332" w:name="_Toc337558828"/>
      <w:bookmarkStart w:id="1333" w:name="_Toc296503120"/>
      <w:r>
        <w:rPr>
          <w:rFonts w:hint="eastAsia" w:ascii="黑体" w:hAnsi="宋体" w:cs="黑体"/>
          <w:kern w:val="0"/>
          <w:sz w:val="32"/>
          <w:lang w:bidi="ar"/>
        </w:rPr>
        <w:t>18.保险</w:t>
      </w:r>
      <w:bookmarkEnd w:id="1328"/>
      <w:bookmarkEnd w:id="1329"/>
      <w:bookmarkEnd w:id="1330"/>
    </w:p>
    <w:bookmarkEnd w:id="1331"/>
    <w:bookmarkEnd w:id="1332"/>
    <w:bookmarkEnd w:id="1333"/>
    <w:p w14:paraId="41FBA4CB">
      <w:pPr>
        <w:pStyle w:val="25"/>
        <w:ind w:firstLine="482" w:firstLineChars="200"/>
        <w:rPr>
          <w:b/>
        </w:rPr>
      </w:pPr>
      <w:bookmarkStart w:id="1334" w:name="_Toc351203613"/>
      <w:bookmarkStart w:id="1335" w:name="_Toc152264627"/>
      <w:bookmarkStart w:id="1336" w:name="_Toc256000268"/>
      <w:bookmarkStart w:id="1337" w:name="_Toc296503121"/>
      <w:bookmarkStart w:id="1338" w:name="_Toc337558829"/>
      <w:bookmarkStart w:id="1339" w:name="_Toc296346622"/>
      <w:r>
        <w:rPr>
          <w:b/>
        </w:rPr>
        <w:t>18.1 工程保险</w:t>
      </w:r>
      <w:bookmarkEnd w:id="1334"/>
      <w:bookmarkEnd w:id="1335"/>
      <w:bookmarkEnd w:id="1336"/>
    </w:p>
    <w:bookmarkEnd w:id="1337"/>
    <w:bookmarkEnd w:id="1338"/>
    <w:bookmarkEnd w:id="1339"/>
    <w:p w14:paraId="5A0D2B87">
      <w:pPr>
        <w:spacing w:line="400" w:lineRule="exact"/>
        <w:ind w:firstLine="420" w:firstLineChars="200"/>
      </w:pPr>
      <w:r>
        <w:t>除专用合同条款另有约定外，发包人应投保建筑工程一切险或安装工程一切险；发包人委托承包人投保的，因投保产生的保险费和其他相关费用由发包人承担。</w:t>
      </w:r>
    </w:p>
    <w:p w14:paraId="72A53F33">
      <w:pPr>
        <w:pStyle w:val="25"/>
        <w:ind w:firstLine="482" w:firstLineChars="200"/>
        <w:rPr>
          <w:b/>
        </w:rPr>
      </w:pPr>
      <w:bookmarkStart w:id="1340" w:name="_Toc256000269"/>
      <w:bookmarkStart w:id="1341" w:name="_Toc351203614"/>
      <w:bookmarkStart w:id="1342" w:name="_Toc152264628"/>
      <w:bookmarkStart w:id="1343" w:name="_Toc337558830"/>
      <w:bookmarkStart w:id="1344" w:name="_Toc296346623"/>
      <w:bookmarkStart w:id="1345" w:name="_Toc296503122"/>
      <w:r>
        <w:rPr>
          <w:b/>
        </w:rPr>
        <w:t>18.2 工伤保险</w:t>
      </w:r>
      <w:bookmarkEnd w:id="1340"/>
      <w:bookmarkEnd w:id="1341"/>
      <w:bookmarkEnd w:id="1342"/>
    </w:p>
    <w:bookmarkEnd w:id="1343"/>
    <w:bookmarkEnd w:id="1344"/>
    <w:bookmarkEnd w:id="1345"/>
    <w:p w14:paraId="0FDE0FA5">
      <w:pPr>
        <w:spacing w:line="400" w:lineRule="exact"/>
        <w:ind w:firstLine="420" w:firstLineChars="200"/>
      </w:pPr>
      <w:r>
        <w:t>18.2.1 发包人应依照法律规定参加工伤保险，并为在施工现场的全部员工办理工伤保险，缴纳工伤保险费，并要求监理人及由发包人为履行合同聘请的第三方依法参加工伤保险。</w:t>
      </w:r>
    </w:p>
    <w:p w14:paraId="79274644">
      <w:pPr>
        <w:spacing w:line="400" w:lineRule="exact"/>
        <w:ind w:firstLine="420" w:firstLineChars="200"/>
      </w:pPr>
      <w:r>
        <w:t>18.2.2 承包人应依照法律规定参加工伤保险，并为其履行合同的全部员工办理工伤保险，缴纳工伤保险费，并要求分包人及由承包人为履行合同聘请的第三方依法参加工伤保险。</w:t>
      </w:r>
    </w:p>
    <w:p w14:paraId="183172F5">
      <w:pPr>
        <w:pStyle w:val="25"/>
        <w:ind w:firstLine="482" w:firstLineChars="200"/>
        <w:rPr>
          <w:b/>
        </w:rPr>
      </w:pPr>
      <w:bookmarkStart w:id="1346" w:name="_Toc351203615"/>
      <w:bookmarkStart w:id="1347" w:name="_Toc152264629"/>
      <w:bookmarkStart w:id="1348" w:name="_Toc256000270"/>
      <w:bookmarkStart w:id="1349" w:name="_Toc296346626"/>
      <w:bookmarkStart w:id="1350" w:name="_Toc337558831"/>
      <w:bookmarkStart w:id="1351" w:name="_Toc296503125"/>
      <w:r>
        <w:rPr>
          <w:b/>
        </w:rPr>
        <w:t>18.3 其他保险</w:t>
      </w:r>
      <w:bookmarkEnd w:id="1346"/>
      <w:bookmarkEnd w:id="1347"/>
      <w:bookmarkEnd w:id="1348"/>
    </w:p>
    <w:bookmarkEnd w:id="1349"/>
    <w:bookmarkEnd w:id="1350"/>
    <w:bookmarkEnd w:id="1351"/>
    <w:p w14:paraId="346F048B">
      <w:pPr>
        <w:spacing w:line="400" w:lineRule="exact"/>
        <w:ind w:firstLine="420" w:firstLineChars="200"/>
      </w:pPr>
      <w:r>
        <w:t>发包人和承包人可以为其施工现场的全部人员办理意外伤害保险并支付保险费，包括其员工及为履行合同聘请的第三方的人员，具体事项由合同当事人在专用合同条款约定。</w:t>
      </w:r>
    </w:p>
    <w:p w14:paraId="1B1E92C1">
      <w:pPr>
        <w:spacing w:line="400" w:lineRule="exact"/>
        <w:ind w:firstLine="420" w:firstLineChars="200"/>
      </w:pPr>
      <w:r>
        <w:t>除专用合同条款另有约定外，承包人应为其施工设备等办理财产保险。</w:t>
      </w:r>
    </w:p>
    <w:p w14:paraId="42615D8E">
      <w:pPr>
        <w:pStyle w:val="25"/>
        <w:ind w:firstLine="482" w:firstLineChars="200"/>
        <w:rPr>
          <w:b/>
        </w:rPr>
      </w:pPr>
      <w:bookmarkStart w:id="1352" w:name="_Toc256000271"/>
      <w:bookmarkStart w:id="1353" w:name="_Toc351203616"/>
      <w:bookmarkStart w:id="1354" w:name="_Toc152264630"/>
      <w:r>
        <w:rPr>
          <w:b/>
        </w:rPr>
        <w:t>18.4 持续保险</w:t>
      </w:r>
      <w:bookmarkEnd w:id="1352"/>
      <w:bookmarkEnd w:id="1353"/>
      <w:bookmarkEnd w:id="1354"/>
    </w:p>
    <w:p w14:paraId="4100C797">
      <w:pPr>
        <w:spacing w:line="400" w:lineRule="exact"/>
        <w:ind w:firstLine="420" w:firstLineChars="200"/>
      </w:pPr>
      <w:r>
        <w:t>合同当事人应与保险人保持联系，使保险人能够随时了解工程实施中的变动，并确保按保险合同条款要求持续保险。</w:t>
      </w:r>
    </w:p>
    <w:p w14:paraId="29CD1905">
      <w:pPr>
        <w:pStyle w:val="25"/>
        <w:ind w:firstLine="482" w:firstLineChars="200"/>
        <w:rPr>
          <w:b/>
        </w:rPr>
      </w:pPr>
      <w:bookmarkStart w:id="1355" w:name="_Toc152264631"/>
      <w:bookmarkStart w:id="1356" w:name="_Toc256000272"/>
      <w:bookmarkStart w:id="1357" w:name="_Toc351203617"/>
      <w:bookmarkStart w:id="1358" w:name="_Toc337558832"/>
      <w:bookmarkStart w:id="1359" w:name="_Toc296346627"/>
      <w:bookmarkStart w:id="1360" w:name="_Toc296503126"/>
      <w:r>
        <w:rPr>
          <w:b/>
        </w:rPr>
        <w:t>18.5 保险凭证</w:t>
      </w:r>
      <w:bookmarkEnd w:id="1355"/>
      <w:bookmarkEnd w:id="1356"/>
      <w:bookmarkEnd w:id="1357"/>
    </w:p>
    <w:bookmarkEnd w:id="1358"/>
    <w:bookmarkEnd w:id="1359"/>
    <w:bookmarkEnd w:id="1360"/>
    <w:p w14:paraId="5F26E1F7">
      <w:pPr>
        <w:spacing w:line="400" w:lineRule="exact"/>
        <w:ind w:firstLine="420" w:firstLineChars="200"/>
      </w:pPr>
      <w:r>
        <w:t>合同当事人应及时向另一方当事人提交其已投保的各项保险的凭证和保险单复印件。</w:t>
      </w:r>
    </w:p>
    <w:p w14:paraId="7B19B3B6">
      <w:pPr>
        <w:pStyle w:val="25"/>
        <w:ind w:firstLine="482" w:firstLineChars="200"/>
        <w:rPr>
          <w:b/>
        </w:rPr>
      </w:pPr>
      <w:bookmarkStart w:id="1361" w:name="_Toc256000273"/>
      <w:bookmarkStart w:id="1362" w:name="_Toc152264632"/>
      <w:bookmarkStart w:id="1363" w:name="_Toc351203618"/>
      <w:bookmarkStart w:id="1364" w:name="_Toc337558833"/>
      <w:bookmarkStart w:id="1365" w:name="_Toc296346628"/>
      <w:bookmarkStart w:id="1366" w:name="_Toc296503127"/>
      <w:r>
        <w:rPr>
          <w:b/>
        </w:rPr>
        <w:t>18.6 未按约定投保的补救</w:t>
      </w:r>
      <w:bookmarkEnd w:id="1361"/>
      <w:bookmarkEnd w:id="1362"/>
      <w:bookmarkEnd w:id="1363"/>
    </w:p>
    <w:bookmarkEnd w:id="1364"/>
    <w:bookmarkEnd w:id="1365"/>
    <w:bookmarkEnd w:id="1366"/>
    <w:p w14:paraId="23B300C8">
      <w:pPr>
        <w:spacing w:line="400" w:lineRule="exact"/>
        <w:ind w:firstLine="420" w:firstLineChars="200"/>
      </w:pPr>
      <w:r>
        <w:t>18.6.1发包人未按合同约定办理保险，或未能使保险持续有效的，则承包人可代为办理，所需费用由发包人承担。发包人未按合同约定办理保险，导致未能得到足额赔偿的，由发包人负责补足。</w:t>
      </w:r>
    </w:p>
    <w:p w14:paraId="3017A3F2">
      <w:pPr>
        <w:spacing w:line="400" w:lineRule="exact"/>
        <w:ind w:firstLine="420" w:firstLineChars="200"/>
      </w:pPr>
      <w:r>
        <w:t>18.6.2承包人未按合同约定办理保险，或未能使保险持续有效的，则发包人可代为办理，所需费用由承包人承担。承包人未按合同约定办理保险，导致未能得到足额赔偿的，由承包人负责补足。</w:t>
      </w:r>
    </w:p>
    <w:p w14:paraId="48A62BBA">
      <w:pPr>
        <w:pStyle w:val="25"/>
        <w:ind w:firstLine="482" w:firstLineChars="200"/>
        <w:rPr>
          <w:b/>
        </w:rPr>
      </w:pPr>
      <w:bookmarkStart w:id="1367" w:name="_Toc256000274"/>
      <w:bookmarkStart w:id="1368" w:name="_Toc152264633"/>
      <w:bookmarkStart w:id="1369" w:name="_Toc351203619"/>
      <w:bookmarkStart w:id="1370" w:name="_Toc337558834"/>
      <w:r>
        <w:rPr>
          <w:b/>
        </w:rPr>
        <w:t>18.7 通知义务</w:t>
      </w:r>
      <w:bookmarkEnd w:id="1367"/>
      <w:bookmarkEnd w:id="1368"/>
      <w:bookmarkEnd w:id="1369"/>
    </w:p>
    <w:bookmarkEnd w:id="1370"/>
    <w:p w14:paraId="6ED1386D">
      <w:pPr>
        <w:spacing w:line="400" w:lineRule="exact"/>
        <w:ind w:firstLine="420" w:firstLineChars="200"/>
      </w:pPr>
      <w:r>
        <w:t>除专用合同条款另有约定外，发包人变更除工伤保险之外的保险合同时，应事先征得承包人同意，并通知监理人；承包人变更除工伤保险之外的保险合同时，应事先征得发包人同意，并通知监理人。</w:t>
      </w:r>
    </w:p>
    <w:p w14:paraId="0A02BFD7">
      <w:pPr>
        <w:spacing w:line="400" w:lineRule="exact"/>
        <w:ind w:firstLine="420" w:firstLineChars="200"/>
      </w:pPr>
      <w:r>
        <w:t>保险事故发生时，投保人应按照保险合同规定的条件和期限及时向保险人报告。发包人和承包人应当在知道保险事故发生后及时通知对方。</w:t>
      </w:r>
    </w:p>
    <w:p w14:paraId="03D7ACE6">
      <w:pPr>
        <w:pStyle w:val="23"/>
        <w:ind w:firstLine="640" w:firstLineChars="200"/>
        <w:rPr>
          <w:rFonts w:ascii="黑体" w:hAnsi="宋体" w:cs="黑体"/>
          <w:kern w:val="0"/>
          <w:sz w:val="32"/>
          <w:lang w:bidi="ar"/>
        </w:rPr>
      </w:pPr>
      <w:bookmarkStart w:id="1371" w:name="_Toc256000275"/>
      <w:bookmarkStart w:id="1372" w:name="_Toc152264634"/>
      <w:bookmarkStart w:id="1373" w:name="_Toc351203620"/>
      <w:bookmarkStart w:id="1374" w:name="_Toc296503140"/>
      <w:bookmarkStart w:id="1375" w:name="_Toc296346641"/>
      <w:bookmarkStart w:id="1376" w:name="_Toc337558835"/>
      <w:r>
        <w:rPr>
          <w:rFonts w:hint="eastAsia" w:ascii="黑体" w:hAnsi="宋体" w:cs="黑体"/>
          <w:kern w:val="0"/>
          <w:sz w:val="32"/>
          <w:lang w:bidi="ar"/>
        </w:rPr>
        <w:t>19.索赔</w:t>
      </w:r>
      <w:bookmarkEnd w:id="1371"/>
      <w:bookmarkEnd w:id="1372"/>
      <w:bookmarkEnd w:id="1373"/>
    </w:p>
    <w:bookmarkEnd w:id="1374"/>
    <w:bookmarkEnd w:id="1375"/>
    <w:bookmarkEnd w:id="1376"/>
    <w:p w14:paraId="7CFEBC00">
      <w:pPr>
        <w:pStyle w:val="25"/>
        <w:ind w:firstLine="482" w:firstLineChars="200"/>
        <w:rPr>
          <w:b/>
        </w:rPr>
      </w:pPr>
      <w:bookmarkStart w:id="1377" w:name="_Toc351203621"/>
      <w:bookmarkStart w:id="1378" w:name="_Toc152264635"/>
      <w:bookmarkStart w:id="1379" w:name="_Toc256000276"/>
      <w:bookmarkStart w:id="1380" w:name="_Toc337558836"/>
      <w:bookmarkStart w:id="1381" w:name="_Toc296503141"/>
      <w:bookmarkStart w:id="1382" w:name="_Toc296346642"/>
      <w:r>
        <w:rPr>
          <w:b/>
        </w:rPr>
        <w:t>19.1承包人的索赔</w:t>
      </w:r>
      <w:bookmarkEnd w:id="1377"/>
      <w:bookmarkEnd w:id="1378"/>
      <w:bookmarkEnd w:id="1379"/>
    </w:p>
    <w:bookmarkEnd w:id="1380"/>
    <w:bookmarkEnd w:id="1381"/>
    <w:bookmarkEnd w:id="1382"/>
    <w:p w14:paraId="5D136213">
      <w:pPr>
        <w:spacing w:line="400" w:lineRule="exact"/>
        <w:ind w:firstLine="420" w:firstLineChars="200"/>
      </w:pPr>
      <w:r>
        <w:t>根据合同约定，承包人认为有权得到追加付款和（或）延长工期的，应按以下程序向</w:t>
      </w:r>
      <w:r>
        <w:rPr>
          <w:rFonts w:hint="eastAsia"/>
        </w:rPr>
        <w:t>发包</w:t>
      </w:r>
      <w:r>
        <w:t>人提出索赔：</w:t>
      </w:r>
    </w:p>
    <w:p w14:paraId="175FAA9D">
      <w:pPr>
        <w:spacing w:line="400" w:lineRule="exact"/>
        <w:ind w:firstLine="420" w:firstLineChars="200"/>
      </w:pPr>
      <w:r>
        <w:t>（1）承包人应在知道或应当知道索赔事件发生后28天内，向监理人递交索赔意向通知书，并说明发生索赔事件的事由；承包人未在前述28天内发出索赔意向通知书的，丧失要求追加付款和（或）延长工期的权利；</w:t>
      </w:r>
    </w:p>
    <w:p w14:paraId="50184133">
      <w:pPr>
        <w:spacing w:line="400" w:lineRule="exact"/>
        <w:ind w:firstLine="420" w:firstLineChars="200"/>
      </w:pPr>
      <w:r>
        <w:t>（2）承包人应在发出索赔意向通知书后28天内，向监理人正式递交索赔报告；索赔报告应详细说明索赔理由以及要求追加的付款金额和（或）延长的工期，并附必要的记录和证明材料；</w:t>
      </w:r>
    </w:p>
    <w:p w14:paraId="4908C9B2">
      <w:pPr>
        <w:spacing w:line="400" w:lineRule="exact"/>
        <w:ind w:firstLine="420" w:firstLineChars="200"/>
      </w:pPr>
      <w:r>
        <w:t>（3）索赔事件具有持续影响的，承包人应按合理时间间隔继续递交延续索赔通知，说明持续影响的实际情况和记录，列出累计的追加付款金额和（或）工期延长天数；</w:t>
      </w:r>
    </w:p>
    <w:p w14:paraId="094F812F">
      <w:pPr>
        <w:spacing w:line="400" w:lineRule="exact"/>
        <w:ind w:firstLine="420" w:firstLineChars="200"/>
      </w:pPr>
      <w:r>
        <w:t>（4）在索赔事件影响结束后28天内，承包人应向监理人递交最终索赔报告，说明最终要求索赔的追加付款金额和（或）延长的工期，并附必要的记录和证明材料。</w:t>
      </w:r>
    </w:p>
    <w:p w14:paraId="2F9F0E18">
      <w:pPr>
        <w:pStyle w:val="25"/>
        <w:ind w:firstLine="482" w:firstLineChars="200"/>
        <w:rPr>
          <w:b/>
        </w:rPr>
      </w:pPr>
      <w:bookmarkStart w:id="1383" w:name="_Toc256000277"/>
      <w:bookmarkStart w:id="1384" w:name="_Toc152264636"/>
      <w:bookmarkStart w:id="1385" w:name="_Toc351203622"/>
      <w:bookmarkStart w:id="1386" w:name="_Toc296346643"/>
      <w:bookmarkStart w:id="1387" w:name="_Toc337558837"/>
      <w:bookmarkStart w:id="1388" w:name="_Toc296503142"/>
      <w:r>
        <w:rPr>
          <w:b/>
        </w:rPr>
        <w:t>19.2 对承包人索赔的处理</w:t>
      </w:r>
      <w:bookmarkEnd w:id="1383"/>
      <w:bookmarkEnd w:id="1384"/>
      <w:bookmarkEnd w:id="1385"/>
    </w:p>
    <w:bookmarkEnd w:id="1386"/>
    <w:bookmarkEnd w:id="1387"/>
    <w:bookmarkEnd w:id="1388"/>
    <w:p w14:paraId="515BAE07">
      <w:pPr>
        <w:spacing w:line="400" w:lineRule="exact"/>
        <w:ind w:firstLine="420" w:firstLineChars="200"/>
      </w:pPr>
      <w:r>
        <w:t>对承包人索赔的处理如下：</w:t>
      </w:r>
    </w:p>
    <w:p w14:paraId="5473BF60">
      <w:pPr>
        <w:spacing w:line="400" w:lineRule="exact"/>
        <w:ind w:firstLine="420" w:firstLineChars="200"/>
      </w:pPr>
      <w:r>
        <w:t>（1）监理人应在收到索赔报告后14天内完成审查并报送发包人。监理人对索赔报告存在异议的，有权要求承包人提交全部原始记录副本；</w:t>
      </w:r>
    </w:p>
    <w:p w14:paraId="1A1D2A0A">
      <w:pPr>
        <w:spacing w:line="400" w:lineRule="exact"/>
        <w:ind w:firstLine="420" w:firstLineChars="200"/>
      </w:pPr>
      <w:r>
        <w:t>（2）发包人应在监理人收到索赔报告或有关索赔的进一步证明材料后的28天内，由监理人向承包人出具经发包人签认的索赔处理结果。发包人逾期答复的，则视为认可承包人的索赔要求；</w:t>
      </w:r>
    </w:p>
    <w:p w14:paraId="01CD1530">
      <w:pPr>
        <w:spacing w:line="400" w:lineRule="exact"/>
        <w:ind w:firstLine="420" w:firstLineChars="200"/>
      </w:pPr>
      <w:r>
        <w:t>（3）承包人接受索赔处理结果的，索赔款项在当期进度款中进行支付；承包人不接受索赔处理结果的，按照第20条</w:t>
      </w:r>
      <w:r>
        <w:rPr>
          <w:rFonts w:hint="eastAsia"/>
        </w:rPr>
        <w:t>〔</w:t>
      </w:r>
      <w:r>
        <w:t>争议解决</w:t>
      </w:r>
      <w:r>
        <w:rPr>
          <w:rFonts w:hint="eastAsia"/>
        </w:rPr>
        <w:t>〕</w:t>
      </w:r>
      <w:r>
        <w:t>约定处理。</w:t>
      </w:r>
    </w:p>
    <w:p w14:paraId="6216067C">
      <w:pPr>
        <w:pStyle w:val="25"/>
        <w:ind w:firstLine="482" w:firstLineChars="200"/>
        <w:rPr>
          <w:b/>
        </w:rPr>
      </w:pPr>
      <w:bookmarkStart w:id="1389" w:name="_Toc256000278"/>
      <w:bookmarkStart w:id="1390" w:name="_Toc351203623"/>
      <w:bookmarkStart w:id="1391" w:name="_Toc152264637"/>
      <w:bookmarkStart w:id="1392" w:name="_Toc296503143"/>
      <w:bookmarkStart w:id="1393" w:name="_Toc337558838"/>
      <w:bookmarkStart w:id="1394" w:name="_Toc296346644"/>
      <w:r>
        <w:rPr>
          <w:b/>
        </w:rPr>
        <w:t>19.3发包人的索赔</w:t>
      </w:r>
      <w:bookmarkEnd w:id="1389"/>
      <w:bookmarkEnd w:id="1390"/>
      <w:bookmarkEnd w:id="1391"/>
    </w:p>
    <w:bookmarkEnd w:id="1392"/>
    <w:bookmarkEnd w:id="1393"/>
    <w:bookmarkEnd w:id="1394"/>
    <w:p w14:paraId="76C19BD1">
      <w:pPr>
        <w:spacing w:line="400" w:lineRule="exact"/>
        <w:ind w:firstLine="420" w:firstLineChars="200"/>
      </w:pPr>
      <w:r>
        <w:t>根据合同约定，发包人认为有权得到赔付金额和（或）延长缺陷责任期的，监理人应向承包人发出通知并附有详细的证明。</w:t>
      </w:r>
    </w:p>
    <w:p w14:paraId="18B4E1E7">
      <w:pPr>
        <w:spacing w:line="400" w:lineRule="exact"/>
        <w:ind w:firstLine="420" w:firstLineChars="200"/>
      </w:pPr>
      <w: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A936972">
      <w:pPr>
        <w:pStyle w:val="25"/>
        <w:ind w:firstLine="482" w:firstLineChars="200"/>
        <w:rPr>
          <w:b/>
        </w:rPr>
      </w:pPr>
      <w:bookmarkStart w:id="1395" w:name="_Toc351203624"/>
      <w:bookmarkStart w:id="1396" w:name="_Toc152264638"/>
      <w:bookmarkStart w:id="1397" w:name="_Toc256000279"/>
      <w:bookmarkStart w:id="1398" w:name="_Toc296346645"/>
      <w:bookmarkStart w:id="1399" w:name="_Toc337558839"/>
      <w:bookmarkStart w:id="1400" w:name="_Toc296503144"/>
      <w:r>
        <w:rPr>
          <w:b/>
        </w:rPr>
        <w:t>19.4 对发包人索赔的处理</w:t>
      </w:r>
      <w:bookmarkEnd w:id="1395"/>
      <w:bookmarkEnd w:id="1396"/>
      <w:bookmarkEnd w:id="1397"/>
    </w:p>
    <w:bookmarkEnd w:id="1398"/>
    <w:bookmarkEnd w:id="1399"/>
    <w:bookmarkEnd w:id="1400"/>
    <w:p w14:paraId="3A8C6D6D">
      <w:pPr>
        <w:spacing w:line="400" w:lineRule="exact"/>
        <w:ind w:firstLine="420" w:firstLineChars="200"/>
      </w:pPr>
      <w:r>
        <w:t>对发包人索赔的处理如下：</w:t>
      </w:r>
    </w:p>
    <w:p w14:paraId="0982D856">
      <w:pPr>
        <w:spacing w:line="400" w:lineRule="exact"/>
        <w:ind w:firstLine="420" w:firstLineChars="200"/>
      </w:pPr>
      <w:r>
        <w:t>（1）承包人收到发包人提交的索赔报告后，应及时审查索赔报告的内容、查验发包人证明材料；</w:t>
      </w:r>
    </w:p>
    <w:p w14:paraId="3F1AFC45">
      <w:pPr>
        <w:spacing w:line="400" w:lineRule="exact"/>
        <w:ind w:firstLine="420" w:firstLineChars="200"/>
      </w:pPr>
      <w:r>
        <w:t>（2）承包人应在收到索赔报告或有关索赔的进一步证明材料后28天内，将索赔处理结果答复发包人。如果承包人未在上述期限内作出答复的，则视为对发包人索赔要求的认可；</w:t>
      </w:r>
    </w:p>
    <w:p w14:paraId="5081EF59">
      <w:pPr>
        <w:spacing w:line="400" w:lineRule="exact"/>
        <w:ind w:firstLine="420" w:firstLineChars="200"/>
      </w:pPr>
      <w:r>
        <w:t>（3）承包人接受索赔处理结果的，发包人可从应支付给承包人的合同价款中扣除赔付的金额或延长缺陷责任期；发包人不接受索赔处理结果的，按第20条</w:t>
      </w:r>
      <w:r>
        <w:rPr>
          <w:rFonts w:hint="eastAsia"/>
        </w:rPr>
        <w:t>〔</w:t>
      </w:r>
      <w:r>
        <w:t>争议解决</w:t>
      </w:r>
      <w:r>
        <w:rPr>
          <w:rFonts w:hint="eastAsia"/>
        </w:rPr>
        <w:t>〕</w:t>
      </w:r>
      <w:r>
        <w:t>约定处理。</w:t>
      </w:r>
    </w:p>
    <w:p w14:paraId="09DDA646">
      <w:pPr>
        <w:pStyle w:val="25"/>
        <w:ind w:firstLine="482" w:firstLineChars="200"/>
        <w:rPr>
          <w:b/>
        </w:rPr>
      </w:pPr>
      <w:bookmarkStart w:id="1401" w:name="_Toc351203625"/>
      <w:bookmarkStart w:id="1402" w:name="_Toc256000280"/>
      <w:bookmarkStart w:id="1403" w:name="_Toc152264639"/>
      <w:r>
        <w:rPr>
          <w:b/>
        </w:rPr>
        <w:t>19.5 提出索赔的期限</w:t>
      </w:r>
      <w:bookmarkEnd w:id="1401"/>
      <w:bookmarkEnd w:id="1402"/>
      <w:bookmarkEnd w:id="1403"/>
    </w:p>
    <w:p w14:paraId="7ED1B8CA">
      <w:pPr>
        <w:spacing w:line="400" w:lineRule="exact"/>
        <w:ind w:firstLine="420" w:firstLineChars="200"/>
      </w:pPr>
      <w:r>
        <w:t>（1）承包人按第14.2款</w:t>
      </w:r>
      <w:r>
        <w:rPr>
          <w:rFonts w:hint="eastAsia"/>
        </w:rPr>
        <w:t>〔</w:t>
      </w:r>
      <w:r>
        <w:t>竣工结算审核</w:t>
      </w:r>
      <w:r>
        <w:rPr>
          <w:rFonts w:hint="eastAsia"/>
        </w:rPr>
        <w:t>〕</w:t>
      </w:r>
      <w:r>
        <w:t>约定接收竣工付款证书后，应被视为已无权再提出在工程接收证书颁发前所发生的任何索赔。</w:t>
      </w:r>
    </w:p>
    <w:p w14:paraId="750FE4F7">
      <w:pPr>
        <w:spacing w:line="400" w:lineRule="exact"/>
        <w:ind w:firstLine="420" w:firstLineChars="200"/>
      </w:pPr>
      <w:r>
        <w:t>（2）承包人按第14.4款</w:t>
      </w:r>
      <w:r>
        <w:rPr>
          <w:rFonts w:hint="eastAsia"/>
        </w:rPr>
        <w:t>〔</w:t>
      </w:r>
      <w:r>
        <w:t>最终结清</w:t>
      </w:r>
      <w:r>
        <w:rPr>
          <w:rFonts w:hint="eastAsia"/>
        </w:rPr>
        <w:t>〕</w:t>
      </w:r>
      <w:r>
        <w:t>提交的最终结清申请单中，只限于提出工程接收证书颁发后发生的索赔。提出索赔的期限自接受最终结清证书时终止。</w:t>
      </w:r>
    </w:p>
    <w:p w14:paraId="45E1BA86">
      <w:pPr>
        <w:pStyle w:val="23"/>
        <w:ind w:firstLine="640" w:firstLineChars="200"/>
        <w:rPr>
          <w:rFonts w:ascii="黑体" w:hAnsi="宋体" w:cs="黑体"/>
          <w:kern w:val="0"/>
          <w:sz w:val="32"/>
          <w:lang w:bidi="ar"/>
        </w:rPr>
      </w:pPr>
      <w:bookmarkStart w:id="1404" w:name="_Toc152264640"/>
      <w:bookmarkStart w:id="1405" w:name="_Toc256000281"/>
      <w:bookmarkStart w:id="1406" w:name="_Toc351203626"/>
      <w:r>
        <w:rPr>
          <w:rFonts w:hint="eastAsia" w:ascii="黑体" w:hAnsi="宋体" w:cs="黑体"/>
          <w:kern w:val="0"/>
          <w:sz w:val="32"/>
          <w:lang w:bidi="ar"/>
        </w:rPr>
        <w:t>20</w:t>
      </w:r>
      <w:bookmarkStart w:id="1407" w:name="_Toc296503146"/>
      <w:bookmarkStart w:id="1408" w:name="_Toc296346647"/>
      <w:bookmarkStart w:id="1409" w:name="_Toc337558840"/>
      <w:r>
        <w:rPr>
          <w:rFonts w:hint="eastAsia" w:ascii="黑体" w:hAnsi="宋体" w:cs="黑体"/>
          <w:kern w:val="0"/>
          <w:sz w:val="32"/>
          <w:lang w:bidi="ar"/>
        </w:rPr>
        <w:t>.争议解决</w:t>
      </w:r>
      <w:bookmarkEnd w:id="1404"/>
      <w:bookmarkEnd w:id="1405"/>
      <w:bookmarkEnd w:id="1406"/>
    </w:p>
    <w:bookmarkEnd w:id="1407"/>
    <w:bookmarkEnd w:id="1408"/>
    <w:bookmarkEnd w:id="1409"/>
    <w:p w14:paraId="72A25B57">
      <w:pPr>
        <w:pStyle w:val="25"/>
        <w:ind w:firstLine="482" w:firstLineChars="200"/>
        <w:rPr>
          <w:b/>
        </w:rPr>
      </w:pPr>
      <w:bookmarkStart w:id="1410" w:name="_Toc351203627"/>
      <w:bookmarkStart w:id="1411" w:name="_Toc152264641"/>
      <w:bookmarkStart w:id="1412" w:name="_Toc256000282"/>
      <w:bookmarkStart w:id="1413" w:name="_Toc296503147"/>
      <w:bookmarkStart w:id="1414" w:name="_Toc296346648"/>
      <w:bookmarkStart w:id="1415" w:name="_Toc337558841"/>
      <w:r>
        <w:rPr>
          <w:b/>
        </w:rPr>
        <w:t>20.1和解</w:t>
      </w:r>
      <w:bookmarkEnd w:id="1410"/>
      <w:bookmarkEnd w:id="1411"/>
      <w:bookmarkEnd w:id="1412"/>
    </w:p>
    <w:bookmarkEnd w:id="1413"/>
    <w:bookmarkEnd w:id="1414"/>
    <w:bookmarkEnd w:id="1415"/>
    <w:p w14:paraId="118564B1">
      <w:pPr>
        <w:spacing w:line="400" w:lineRule="exact"/>
        <w:ind w:firstLine="420" w:firstLineChars="200"/>
      </w:pPr>
      <w:r>
        <w:t>合同当事人可以就争议自行和解，自行和解达成协议的经双方签字并盖章后作为合同补充文件，双方均应遵照执行。</w:t>
      </w:r>
    </w:p>
    <w:p w14:paraId="78429A2E">
      <w:pPr>
        <w:pStyle w:val="25"/>
        <w:ind w:firstLine="482" w:firstLineChars="200"/>
        <w:rPr>
          <w:b/>
        </w:rPr>
      </w:pPr>
      <w:bookmarkStart w:id="1416" w:name="_Toc256000283"/>
      <w:bookmarkStart w:id="1417" w:name="_Toc152264642"/>
      <w:bookmarkStart w:id="1418" w:name="_Toc351203628"/>
      <w:r>
        <w:rPr>
          <w:b/>
        </w:rPr>
        <w:t>20</w:t>
      </w:r>
      <w:bookmarkStart w:id="1419" w:name="_Toc296346649"/>
      <w:bookmarkStart w:id="1420" w:name="_Toc337558842"/>
      <w:bookmarkStart w:id="1421" w:name="_Toc296503148"/>
      <w:r>
        <w:rPr>
          <w:b/>
        </w:rPr>
        <w:t>.2调解</w:t>
      </w:r>
      <w:bookmarkEnd w:id="1416"/>
      <w:bookmarkEnd w:id="1417"/>
      <w:bookmarkEnd w:id="1418"/>
    </w:p>
    <w:bookmarkEnd w:id="1419"/>
    <w:bookmarkEnd w:id="1420"/>
    <w:bookmarkEnd w:id="1421"/>
    <w:p w14:paraId="04C5C908">
      <w:pPr>
        <w:spacing w:line="400" w:lineRule="exact"/>
        <w:ind w:firstLine="420" w:firstLineChars="200"/>
      </w:pPr>
      <w:r>
        <w:t>合同当事人可以就争议请求建设行政主管部门</w:t>
      </w:r>
      <w:r>
        <w:rPr>
          <w:rFonts w:hint="eastAsia"/>
        </w:rPr>
        <w:t>、行业协会</w:t>
      </w:r>
      <w:r>
        <w:t>或</w:t>
      </w:r>
      <w:r>
        <w:rPr>
          <w:rFonts w:hint="eastAsia"/>
        </w:rPr>
        <w:t>其他</w:t>
      </w:r>
      <w:r>
        <w:t>第三方进行调解，调解达成协议的，经双方签字并盖章后作为合同补充文件，双方均应遵照执行。</w:t>
      </w:r>
    </w:p>
    <w:p w14:paraId="02699C25">
      <w:pPr>
        <w:pStyle w:val="25"/>
        <w:ind w:firstLine="482" w:firstLineChars="200"/>
        <w:rPr>
          <w:b/>
        </w:rPr>
      </w:pPr>
      <w:bookmarkStart w:id="1422" w:name="_Toc152264643"/>
      <w:bookmarkStart w:id="1423" w:name="_Toc351203629"/>
      <w:bookmarkStart w:id="1424" w:name="_Toc256000284"/>
      <w:bookmarkStart w:id="1425" w:name="_Toc337558843"/>
      <w:bookmarkStart w:id="1426" w:name="_Toc296346650"/>
      <w:bookmarkStart w:id="1427" w:name="_Toc296503149"/>
      <w:r>
        <w:rPr>
          <w:b/>
        </w:rPr>
        <w:t>20.3争议评审</w:t>
      </w:r>
      <w:bookmarkEnd w:id="1422"/>
      <w:bookmarkEnd w:id="1423"/>
      <w:bookmarkEnd w:id="1424"/>
    </w:p>
    <w:bookmarkEnd w:id="1425"/>
    <w:bookmarkEnd w:id="1426"/>
    <w:bookmarkEnd w:id="1427"/>
    <w:p w14:paraId="2198A46B">
      <w:pPr>
        <w:spacing w:line="400" w:lineRule="exact"/>
        <w:ind w:firstLine="420" w:firstLineChars="200"/>
      </w:pPr>
      <w:r>
        <w:t>合同当事人在专用合同条款中约定采取争议评审方式解决争议</w:t>
      </w:r>
      <w:r>
        <w:rPr>
          <w:rFonts w:hint="eastAsia"/>
        </w:rPr>
        <w:t>以及评审规则，并</w:t>
      </w:r>
      <w:r>
        <w:t xml:space="preserve">按下列约定执行： </w:t>
      </w:r>
    </w:p>
    <w:p w14:paraId="044F99E8">
      <w:pPr>
        <w:spacing w:line="400" w:lineRule="exact"/>
        <w:ind w:firstLine="420" w:firstLineChars="200"/>
      </w:pPr>
      <w:r>
        <w:t>20.3.1 争议评审小组的确定</w:t>
      </w:r>
    </w:p>
    <w:p w14:paraId="6427A606">
      <w:pPr>
        <w:spacing w:line="400" w:lineRule="exact"/>
        <w:ind w:firstLine="420" w:firstLineChars="200"/>
      </w:pPr>
      <w:r>
        <w:t>合同当事人可以共同选择一名或三名争议评审员，组成争议评审小组。除专用合同条款另有约定外，合同当事人应当自合同签订后28天内，或者争议发生后14天内，选定争议评审员。</w:t>
      </w:r>
    </w:p>
    <w:p w14:paraId="19465351">
      <w:pPr>
        <w:spacing w:line="400" w:lineRule="exact"/>
        <w:ind w:firstLine="420" w:firstLineChars="200"/>
      </w:pPr>
      <w: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rPr>
        <w:t>评审</w:t>
      </w:r>
      <w:r>
        <w:t xml:space="preserve">机构指定第三名首席争议评审员。 </w:t>
      </w:r>
    </w:p>
    <w:p w14:paraId="02DF2594">
      <w:pPr>
        <w:spacing w:line="400" w:lineRule="exact"/>
        <w:ind w:firstLine="420" w:firstLineChars="200"/>
      </w:pPr>
      <w:r>
        <w:t>除专用合同条款另有约定外，评审员报酬由发包人和承包人各承担一半。</w:t>
      </w:r>
    </w:p>
    <w:p w14:paraId="36C046B6">
      <w:pPr>
        <w:spacing w:line="400" w:lineRule="exact"/>
        <w:ind w:firstLine="420" w:firstLineChars="200"/>
      </w:pPr>
      <w:r>
        <w:t>20.3.2 争议评审小组的决定</w:t>
      </w:r>
    </w:p>
    <w:p w14:paraId="375003C3">
      <w:pPr>
        <w:spacing w:line="400" w:lineRule="exact"/>
        <w:ind w:firstLine="420" w:firstLineChars="200"/>
      </w:pPr>
      <w: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6D489E1">
      <w:pPr>
        <w:spacing w:line="400" w:lineRule="exact"/>
        <w:ind w:firstLine="420" w:firstLineChars="200"/>
      </w:pPr>
      <w:r>
        <w:t>20.3.3 争议评审小组决定的效力</w:t>
      </w:r>
    </w:p>
    <w:p w14:paraId="7B8AA1FE">
      <w:pPr>
        <w:spacing w:line="400" w:lineRule="exact"/>
        <w:ind w:firstLine="420" w:firstLineChars="200"/>
      </w:pPr>
      <w:r>
        <w:t>争议评审小组作出的书面决定经合同当事人签字确认后，对双方具有约束力，双方应遵照执行。</w:t>
      </w:r>
    </w:p>
    <w:p w14:paraId="0A62C8AA">
      <w:pPr>
        <w:spacing w:line="400" w:lineRule="exact"/>
        <w:ind w:firstLine="420" w:firstLineChars="200"/>
      </w:pPr>
      <w:r>
        <w:t>任何一方当事人不接受争议评审小组决定</w:t>
      </w:r>
      <w:r>
        <w:rPr>
          <w:rFonts w:hint="eastAsia"/>
        </w:rPr>
        <w:t>或不履行争议评审小组决定的</w:t>
      </w:r>
      <w:r>
        <w:t>，双方可选择采用其他争议解决方式。</w:t>
      </w:r>
    </w:p>
    <w:p w14:paraId="25B16AA1">
      <w:pPr>
        <w:pStyle w:val="25"/>
        <w:ind w:firstLine="482" w:firstLineChars="200"/>
        <w:rPr>
          <w:b/>
        </w:rPr>
      </w:pPr>
      <w:bookmarkStart w:id="1428" w:name="_Toc351203630"/>
      <w:bookmarkStart w:id="1429" w:name="_Toc256000285"/>
      <w:bookmarkStart w:id="1430" w:name="_Toc152264644"/>
      <w:bookmarkStart w:id="1431" w:name="_Toc296346651"/>
      <w:bookmarkStart w:id="1432" w:name="_Toc296503150"/>
      <w:bookmarkStart w:id="1433" w:name="_Toc337558844"/>
      <w:r>
        <w:rPr>
          <w:b/>
        </w:rPr>
        <w:t>20.4仲裁或诉讼</w:t>
      </w:r>
      <w:bookmarkEnd w:id="1428"/>
      <w:bookmarkEnd w:id="1429"/>
      <w:bookmarkEnd w:id="1430"/>
    </w:p>
    <w:bookmarkEnd w:id="1431"/>
    <w:bookmarkEnd w:id="1432"/>
    <w:bookmarkEnd w:id="1433"/>
    <w:p w14:paraId="1A725A4B">
      <w:pPr>
        <w:spacing w:line="400" w:lineRule="exact"/>
        <w:ind w:firstLine="420" w:firstLineChars="200"/>
      </w:pPr>
      <w:r>
        <w:t>因合同及合同有关事项产生的争议，合同当事人可以在专用合同条款中约定以下一种方式解决争议：</w:t>
      </w:r>
    </w:p>
    <w:p w14:paraId="11888054">
      <w:pPr>
        <w:spacing w:line="400" w:lineRule="exact"/>
        <w:ind w:firstLine="420" w:firstLineChars="200"/>
      </w:pPr>
      <w:r>
        <w:t>（1）向约定的仲裁委员会申请仲裁；</w:t>
      </w:r>
    </w:p>
    <w:p w14:paraId="788CBEEA">
      <w:pPr>
        <w:spacing w:line="400" w:lineRule="exact"/>
        <w:ind w:firstLine="420" w:firstLineChars="200"/>
      </w:pPr>
      <w:r>
        <w:t>（2）向有管辖权的人民法院起诉。</w:t>
      </w:r>
    </w:p>
    <w:p w14:paraId="64D382D4">
      <w:pPr>
        <w:pStyle w:val="25"/>
        <w:ind w:firstLine="482" w:firstLineChars="200"/>
        <w:rPr>
          <w:b/>
        </w:rPr>
      </w:pPr>
      <w:bookmarkStart w:id="1434" w:name="_Toc256000286"/>
      <w:bookmarkStart w:id="1435" w:name="_Toc152264645"/>
      <w:bookmarkStart w:id="1436" w:name="_Toc351203631"/>
      <w:bookmarkStart w:id="1437" w:name="_Toc337558845"/>
      <w:bookmarkStart w:id="1438" w:name="_Toc296346653"/>
      <w:bookmarkStart w:id="1439" w:name="_Toc296503152"/>
      <w:r>
        <w:rPr>
          <w:b/>
        </w:rPr>
        <w:t>20.5争议解决条款效力</w:t>
      </w:r>
      <w:bookmarkEnd w:id="1434"/>
      <w:bookmarkEnd w:id="1435"/>
      <w:bookmarkEnd w:id="1436"/>
    </w:p>
    <w:bookmarkEnd w:id="1437"/>
    <w:bookmarkEnd w:id="1438"/>
    <w:bookmarkEnd w:id="1439"/>
    <w:p w14:paraId="160D4344">
      <w:pPr>
        <w:spacing w:line="400" w:lineRule="exact"/>
        <w:ind w:firstLine="420" w:firstLineChars="200"/>
      </w:pPr>
      <w:r>
        <w:t xml:space="preserve">合同有关争议解决的条款独立存在，合同的变更、解除、终止、无效或者被撤销均不影响其效力。 </w:t>
      </w:r>
      <w:bookmarkEnd w:id="737"/>
    </w:p>
    <w:p w14:paraId="08D29046">
      <w:r>
        <w:br w:type="page"/>
      </w:r>
    </w:p>
    <w:p w14:paraId="473FD977">
      <w:pPr>
        <w:spacing w:line="400" w:lineRule="exact"/>
      </w:pPr>
    </w:p>
    <w:p w14:paraId="5D217EF0">
      <w:pPr>
        <w:spacing w:line="400" w:lineRule="exact"/>
        <w:ind w:firstLine="420" w:firstLineChars="200"/>
      </w:pPr>
    </w:p>
    <w:p w14:paraId="312EE731">
      <w:pPr>
        <w:spacing w:line="400" w:lineRule="exact"/>
        <w:ind w:firstLine="420" w:firstLineChars="200"/>
      </w:pPr>
    </w:p>
    <w:p w14:paraId="5E4BD36F">
      <w:pPr>
        <w:spacing w:line="400" w:lineRule="exact"/>
        <w:ind w:firstLine="420" w:firstLineChars="200"/>
      </w:pPr>
    </w:p>
    <w:p w14:paraId="5AA8CABB">
      <w:pPr>
        <w:spacing w:line="400" w:lineRule="exact"/>
        <w:ind w:firstLine="420" w:firstLineChars="200"/>
      </w:pPr>
    </w:p>
    <w:p w14:paraId="148E894C">
      <w:pPr>
        <w:spacing w:line="400" w:lineRule="exact"/>
        <w:ind w:firstLine="420" w:firstLineChars="200"/>
      </w:pPr>
    </w:p>
    <w:p w14:paraId="24FE02F3">
      <w:pPr>
        <w:spacing w:line="400" w:lineRule="exact"/>
        <w:ind w:firstLine="420" w:firstLineChars="200"/>
      </w:pPr>
    </w:p>
    <w:p w14:paraId="323193D8">
      <w:pPr>
        <w:spacing w:line="400" w:lineRule="exact"/>
        <w:ind w:firstLine="420" w:firstLineChars="200"/>
      </w:pPr>
    </w:p>
    <w:p w14:paraId="3A7935CC">
      <w:pPr>
        <w:spacing w:line="400" w:lineRule="exact"/>
        <w:ind w:firstLine="420" w:firstLineChars="200"/>
      </w:pPr>
    </w:p>
    <w:p w14:paraId="28050591">
      <w:pPr>
        <w:spacing w:line="400" w:lineRule="exact"/>
        <w:ind w:firstLine="420" w:firstLineChars="200"/>
      </w:pPr>
    </w:p>
    <w:p w14:paraId="49052C7F">
      <w:pPr>
        <w:pStyle w:val="23"/>
        <w:jc w:val="center"/>
        <w:rPr>
          <w:rFonts w:hint="eastAsia"/>
        </w:rPr>
      </w:pPr>
      <w:bookmarkStart w:id="1440" w:name="_Toc351203632"/>
      <w:bookmarkStart w:id="1441" w:name="_Toc256000287"/>
      <w:bookmarkStart w:id="1442" w:name="_Toc152264646"/>
      <w:r>
        <w:t xml:space="preserve">第三部分 </w:t>
      </w:r>
      <w:r>
        <w:rPr>
          <w:rFonts w:hint="eastAsia"/>
        </w:rPr>
        <w:t>专用合同条款</w:t>
      </w:r>
      <w:bookmarkEnd w:id="1440"/>
      <w:bookmarkEnd w:id="1441"/>
      <w:bookmarkEnd w:id="1442"/>
    </w:p>
    <w:p w14:paraId="20E81E4B">
      <w:pPr>
        <w:rPr>
          <w:rFonts w:hint="eastAsia"/>
        </w:rPr>
      </w:pPr>
      <w:r>
        <w:rPr>
          <w:rFonts w:hint="eastAsia"/>
        </w:rPr>
        <w:br w:type="page"/>
      </w:r>
    </w:p>
    <w:p w14:paraId="787E1609">
      <w:pPr>
        <w:spacing w:line="400" w:lineRule="exact"/>
        <w:jc w:val="center"/>
        <w:rPr>
          <w:rFonts w:ascii="黑体" w:eastAsia="黑体"/>
          <w:sz w:val="28"/>
          <w:szCs w:val="28"/>
        </w:rPr>
      </w:pPr>
      <w:r>
        <w:rPr>
          <w:rFonts w:hint="eastAsia" w:ascii="黑体" w:eastAsia="黑体"/>
          <w:sz w:val="28"/>
          <w:szCs w:val="28"/>
        </w:rPr>
        <w:t>专用合同条款</w:t>
      </w:r>
    </w:p>
    <w:p w14:paraId="17E12626">
      <w:pPr>
        <w:spacing w:line="400" w:lineRule="exact"/>
        <w:ind w:firstLine="420" w:firstLineChars="200"/>
      </w:pPr>
    </w:p>
    <w:p w14:paraId="1104FBAE">
      <w:pPr>
        <w:pStyle w:val="23"/>
        <w:spacing w:before="0" w:line="360" w:lineRule="auto"/>
        <w:ind w:firstLine="562" w:firstLineChars="200"/>
        <w:rPr>
          <w:b/>
        </w:rPr>
      </w:pPr>
      <w:bookmarkStart w:id="1443" w:name="_Toc256000288"/>
      <w:bookmarkStart w:id="1444" w:name="_Toc351203633"/>
      <w:bookmarkStart w:id="1445" w:name="_Toc152264647"/>
      <w:r>
        <w:rPr>
          <w:b/>
        </w:rPr>
        <w:t>1</w:t>
      </w:r>
      <w:bookmarkStart w:id="1446" w:name="_Toc296503156"/>
      <w:bookmarkStart w:id="1447" w:name="_Toc296891196"/>
      <w:bookmarkStart w:id="1448" w:name="_Toc297048342"/>
      <w:bookmarkStart w:id="1449" w:name="_Toc296944495"/>
      <w:bookmarkStart w:id="1450" w:name="_Toc296346657"/>
      <w:bookmarkStart w:id="1451" w:name="_Toc296890984"/>
      <w:bookmarkStart w:id="1452" w:name="_Toc296347155"/>
      <w:bookmarkStart w:id="1453" w:name="_Toc297120456"/>
      <w:bookmarkStart w:id="1454" w:name="_Toc292559361"/>
      <w:bookmarkStart w:id="1455" w:name="_Toc292559866"/>
      <w:r>
        <w:rPr>
          <w:b/>
        </w:rPr>
        <w:t>. 一般约定</w:t>
      </w:r>
      <w:bookmarkEnd w:id="1443"/>
      <w:bookmarkEnd w:id="1444"/>
      <w:bookmarkEnd w:id="1445"/>
    </w:p>
    <w:bookmarkEnd w:id="1446"/>
    <w:bookmarkEnd w:id="1447"/>
    <w:bookmarkEnd w:id="1448"/>
    <w:bookmarkEnd w:id="1449"/>
    <w:bookmarkEnd w:id="1450"/>
    <w:bookmarkEnd w:id="1451"/>
    <w:bookmarkEnd w:id="1452"/>
    <w:bookmarkEnd w:id="1453"/>
    <w:bookmarkEnd w:id="1454"/>
    <w:bookmarkEnd w:id="1455"/>
    <w:p w14:paraId="35E9106D">
      <w:pPr>
        <w:pStyle w:val="25"/>
        <w:spacing w:line="360" w:lineRule="auto"/>
        <w:ind w:firstLine="482" w:firstLineChars="200"/>
        <w:rPr>
          <w:b/>
        </w:rPr>
      </w:pPr>
      <w:bookmarkStart w:id="1456" w:name="_Toc152264648"/>
      <w:bookmarkStart w:id="1457" w:name="_Toc256000289"/>
      <w:r>
        <w:rPr>
          <w:b/>
        </w:rPr>
        <w:t>1.1 词语定义</w:t>
      </w:r>
      <w:bookmarkEnd w:id="1456"/>
      <w:bookmarkEnd w:id="1457"/>
    </w:p>
    <w:p w14:paraId="73699585">
      <w:pPr>
        <w:spacing w:line="360" w:lineRule="auto"/>
        <w:ind w:firstLine="420" w:firstLineChars="200"/>
      </w:pPr>
      <w:r>
        <w:t>1.1.1合同</w:t>
      </w:r>
    </w:p>
    <w:p w14:paraId="4616D6DF">
      <w:pPr>
        <w:spacing w:line="360" w:lineRule="auto"/>
        <w:ind w:firstLine="420" w:firstLineChars="200"/>
        <w:rPr>
          <w:u w:val="single"/>
        </w:rPr>
      </w:pPr>
      <w:r>
        <w:t>1.1.1.10其他合同文件包括：</w:t>
      </w:r>
      <w:r>
        <w:rPr>
          <w:u w:val="single"/>
        </w:rPr>
        <w:t xml:space="preserve">                </w:t>
      </w:r>
      <w:r>
        <w:rPr>
          <w:rFonts w:hint="eastAsia"/>
          <w:u w:val="single"/>
        </w:rPr>
        <w:t xml:space="preserve">                      </w:t>
      </w:r>
      <w:r>
        <w:rPr>
          <w:u w:val="single"/>
        </w:rPr>
        <w:t xml:space="preserve">         </w:t>
      </w:r>
    </w:p>
    <w:p w14:paraId="7287BAC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7238D49">
      <w:pPr>
        <w:spacing w:line="360" w:lineRule="auto"/>
        <w:ind w:firstLine="420" w:firstLineChars="200"/>
      </w:pPr>
      <w:r>
        <w:t>1.1.2 合同当事人及其他相关方</w:t>
      </w:r>
    </w:p>
    <w:p w14:paraId="1105E919">
      <w:pPr>
        <w:spacing w:line="360" w:lineRule="auto"/>
        <w:ind w:firstLine="420" w:firstLineChars="200"/>
      </w:pPr>
      <w:r>
        <w:t>1.1.2.4监理人：</w:t>
      </w:r>
    </w:p>
    <w:p w14:paraId="366EEEC2">
      <w:pPr>
        <w:spacing w:line="360" w:lineRule="auto"/>
        <w:ind w:firstLine="420" w:firstLineChars="200"/>
      </w:pPr>
      <w:r>
        <w:t>名    称：</w:t>
      </w:r>
      <w:r>
        <w:rPr>
          <w:u w:val="single"/>
        </w:rPr>
        <w:t xml:space="preserve">                </w:t>
      </w:r>
      <w:r>
        <w:rPr>
          <w:rFonts w:hint="eastAsia"/>
          <w:u w:val="single"/>
        </w:rPr>
        <w:t xml:space="preserve">                      </w:t>
      </w:r>
      <w:r>
        <w:rPr>
          <w:u w:val="single"/>
        </w:rPr>
        <w:t xml:space="preserve">           </w:t>
      </w:r>
      <w:r>
        <w:t>；</w:t>
      </w:r>
    </w:p>
    <w:p w14:paraId="054C36F5">
      <w:pPr>
        <w:spacing w:line="360" w:lineRule="auto"/>
        <w:ind w:firstLine="420" w:firstLineChars="200"/>
      </w:pPr>
      <w:r>
        <w:t>资质类别和等级：</w:t>
      </w:r>
      <w:r>
        <w:rPr>
          <w:u w:val="single"/>
        </w:rPr>
        <w:t xml:space="preserve">                </w:t>
      </w:r>
      <w:r>
        <w:rPr>
          <w:rFonts w:hint="eastAsia"/>
          <w:u w:val="single"/>
        </w:rPr>
        <w:t xml:space="preserve">                      </w:t>
      </w:r>
      <w:r>
        <w:rPr>
          <w:u w:val="single"/>
        </w:rPr>
        <w:t xml:space="preserve">         </w:t>
      </w:r>
      <w:r>
        <w:t>；</w:t>
      </w:r>
    </w:p>
    <w:p w14:paraId="40B7D079">
      <w:pPr>
        <w:spacing w:line="360" w:lineRule="auto"/>
        <w:ind w:firstLine="420" w:firstLineChars="200"/>
      </w:pPr>
      <w:r>
        <w:t>联系电话：</w:t>
      </w:r>
      <w:r>
        <w:rPr>
          <w:u w:val="single"/>
        </w:rPr>
        <w:t xml:space="preserve">                </w:t>
      </w:r>
      <w:r>
        <w:rPr>
          <w:rFonts w:hint="eastAsia"/>
          <w:u w:val="single"/>
        </w:rPr>
        <w:t xml:space="preserve">                      </w:t>
      </w:r>
      <w:r>
        <w:rPr>
          <w:u w:val="single"/>
        </w:rPr>
        <w:t xml:space="preserve">         </w:t>
      </w:r>
      <w:r>
        <w:t>；</w:t>
      </w:r>
    </w:p>
    <w:p w14:paraId="62360E35">
      <w:pPr>
        <w:spacing w:line="360" w:lineRule="auto"/>
        <w:ind w:firstLine="420" w:firstLineChars="200"/>
      </w:pPr>
      <w:r>
        <w:t>电子信箱：</w:t>
      </w:r>
      <w:r>
        <w:rPr>
          <w:u w:val="single"/>
        </w:rPr>
        <w:t xml:space="preserve">                </w:t>
      </w:r>
      <w:r>
        <w:rPr>
          <w:rFonts w:hint="eastAsia"/>
          <w:u w:val="single"/>
        </w:rPr>
        <w:t xml:space="preserve">                      </w:t>
      </w:r>
      <w:r>
        <w:rPr>
          <w:u w:val="single"/>
        </w:rPr>
        <w:t xml:space="preserve">         </w:t>
      </w:r>
      <w:r>
        <w:t>；</w:t>
      </w:r>
    </w:p>
    <w:p w14:paraId="60696659">
      <w:pPr>
        <w:spacing w:line="360" w:lineRule="auto"/>
        <w:ind w:firstLine="420" w:firstLineChars="200"/>
      </w:pPr>
      <w:r>
        <w:t>通信地址：</w:t>
      </w:r>
      <w:r>
        <w:rPr>
          <w:u w:val="single"/>
        </w:rPr>
        <w:t xml:space="preserve">                </w:t>
      </w:r>
      <w:r>
        <w:rPr>
          <w:rFonts w:hint="eastAsia"/>
          <w:u w:val="single"/>
        </w:rPr>
        <w:t xml:space="preserve">                      </w:t>
      </w:r>
      <w:r>
        <w:rPr>
          <w:u w:val="single"/>
        </w:rPr>
        <w:t xml:space="preserve">         </w:t>
      </w:r>
      <w:r>
        <w:t>。</w:t>
      </w:r>
    </w:p>
    <w:p w14:paraId="4E5C15BE">
      <w:pPr>
        <w:spacing w:line="360" w:lineRule="auto"/>
        <w:ind w:firstLine="420" w:firstLineChars="200"/>
      </w:pPr>
      <w:r>
        <w:t>1.1.2.5 设计人：</w:t>
      </w:r>
    </w:p>
    <w:p w14:paraId="08B6D87E">
      <w:pPr>
        <w:spacing w:line="360" w:lineRule="auto"/>
        <w:ind w:firstLine="420" w:firstLineChars="200"/>
      </w:pPr>
      <w:r>
        <w:t>名    称：</w:t>
      </w:r>
      <w:r>
        <w:rPr>
          <w:u w:val="single"/>
        </w:rPr>
        <w:t xml:space="preserve">                </w:t>
      </w:r>
      <w:r>
        <w:rPr>
          <w:rFonts w:hint="eastAsia"/>
          <w:u w:val="single"/>
        </w:rPr>
        <w:t xml:space="preserve">                      </w:t>
      </w:r>
      <w:r>
        <w:rPr>
          <w:u w:val="single"/>
        </w:rPr>
        <w:t xml:space="preserve">         </w:t>
      </w:r>
      <w:r>
        <w:t>；</w:t>
      </w:r>
    </w:p>
    <w:p w14:paraId="3EE42670">
      <w:pPr>
        <w:spacing w:line="360" w:lineRule="auto"/>
        <w:ind w:firstLine="420" w:firstLineChars="200"/>
      </w:pPr>
      <w:r>
        <w:t>资质类别和等级：</w:t>
      </w:r>
      <w:r>
        <w:rPr>
          <w:u w:val="single"/>
        </w:rPr>
        <w:t xml:space="preserve">                </w:t>
      </w:r>
      <w:r>
        <w:rPr>
          <w:rFonts w:hint="eastAsia"/>
          <w:u w:val="single"/>
        </w:rPr>
        <w:t xml:space="preserve">                      </w:t>
      </w:r>
      <w:r>
        <w:rPr>
          <w:u w:val="single"/>
        </w:rPr>
        <w:t xml:space="preserve">         </w:t>
      </w:r>
      <w:r>
        <w:t>；</w:t>
      </w:r>
    </w:p>
    <w:p w14:paraId="5AF5FF46">
      <w:pPr>
        <w:spacing w:line="360" w:lineRule="auto"/>
        <w:ind w:firstLine="420" w:firstLineChars="200"/>
      </w:pPr>
      <w:r>
        <w:t>联系电话：</w:t>
      </w:r>
      <w:r>
        <w:rPr>
          <w:u w:val="single"/>
        </w:rPr>
        <w:t xml:space="preserve">                </w:t>
      </w:r>
      <w:r>
        <w:rPr>
          <w:rFonts w:hint="eastAsia"/>
          <w:u w:val="single"/>
        </w:rPr>
        <w:t xml:space="preserve">                      </w:t>
      </w:r>
      <w:r>
        <w:rPr>
          <w:u w:val="single"/>
        </w:rPr>
        <w:t xml:space="preserve">         </w:t>
      </w:r>
    </w:p>
    <w:p w14:paraId="21C48F4D">
      <w:pPr>
        <w:spacing w:line="360" w:lineRule="auto"/>
        <w:ind w:firstLine="420" w:firstLineChars="200"/>
      </w:pPr>
      <w:r>
        <w:t>电子信箱：</w:t>
      </w:r>
      <w:r>
        <w:rPr>
          <w:u w:val="single"/>
        </w:rPr>
        <w:t xml:space="preserve">                </w:t>
      </w:r>
      <w:r>
        <w:rPr>
          <w:rFonts w:hint="eastAsia"/>
          <w:u w:val="single"/>
        </w:rPr>
        <w:t xml:space="preserve">                      </w:t>
      </w:r>
      <w:r>
        <w:rPr>
          <w:u w:val="single"/>
        </w:rPr>
        <w:t xml:space="preserve">         </w:t>
      </w:r>
      <w:r>
        <w:t>；</w:t>
      </w:r>
    </w:p>
    <w:p w14:paraId="4DEC9A60">
      <w:pPr>
        <w:spacing w:line="360" w:lineRule="auto"/>
        <w:ind w:firstLine="420" w:firstLineChars="200"/>
      </w:pPr>
      <w:r>
        <w:t>通信地址：</w:t>
      </w:r>
      <w:r>
        <w:rPr>
          <w:u w:val="single"/>
        </w:rPr>
        <w:t xml:space="preserve">                </w:t>
      </w:r>
      <w:r>
        <w:rPr>
          <w:rFonts w:hint="eastAsia"/>
          <w:u w:val="single"/>
        </w:rPr>
        <w:t xml:space="preserve">                      </w:t>
      </w:r>
      <w:r>
        <w:rPr>
          <w:u w:val="single"/>
        </w:rPr>
        <w:t xml:space="preserve">         </w:t>
      </w:r>
      <w:r>
        <w:t>。</w:t>
      </w:r>
    </w:p>
    <w:p w14:paraId="02B7E530">
      <w:pPr>
        <w:spacing w:line="360" w:lineRule="auto"/>
        <w:ind w:firstLine="420" w:firstLineChars="200"/>
      </w:pPr>
      <w:r>
        <w:t>1.1.3 工程和设备</w:t>
      </w:r>
    </w:p>
    <w:p w14:paraId="0D778D63">
      <w:pPr>
        <w:spacing w:line="360" w:lineRule="auto"/>
        <w:ind w:firstLine="420" w:firstLineChars="200"/>
        <w:rPr>
          <w:u w:val="single"/>
        </w:rPr>
      </w:pPr>
      <w:r>
        <w:t>1.1.3.7 作为施工现场组成部分的其他场所包括：</w:t>
      </w:r>
      <w:r>
        <w:rPr>
          <w:rFonts w:hint="eastAsia"/>
          <w:u w:val="single"/>
        </w:rPr>
        <w:t xml:space="preserve">                                </w:t>
      </w:r>
    </w:p>
    <w:p w14:paraId="161C162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57E6E6A">
      <w:pPr>
        <w:spacing w:line="360" w:lineRule="auto"/>
        <w:ind w:firstLine="420" w:firstLineChars="200"/>
      </w:pPr>
      <w:r>
        <w:t>1.1.3.9 永久占地包括：</w:t>
      </w:r>
      <w:r>
        <w:rPr>
          <w:u w:val="single"/>
        </w:rPr>
        <w:t xml:space="preserve">                 </w:t>
      </w:r>
      <w:r>
        <w:rPr>
          <w:rFonts w:hint="eastAsia"/>
          <w:u w:val="single"/>
        </w:rPr>
        <w:t xml:space="preserve">                      </w:t>
      </w:r>
      <w:r>
        <w:rPr>
          <w:u w:val="single"/>
        </w:rPr>
        <w:t xml:space="preserve">  </w:t>
      </w:r>
      <w:r>
        <w:t>。</w:t>
      </w:r>
    </w:p>
    <w:p w14:paraId="7BAA409B">
      <w:pPr>
        <w:spacing w:line="360" w:lineRule="auto"/>
        <w:ind w:firstLine="420" w:firstLineChars="200"/>
      </w:pPr>
      <w:r>
        <w:t>1.1.3.10 临时占地包括：</w:t>
      </w:r>
      <w:r>
        <w:rPr>
          <w:u w:val="single"/>
        </w:rPr>
        <w:t xml:space="preserve">                   </w:t>
      </w:r>
      <w:r>
        <w:rPr>
          <w:rFonts w:hint="eastAsia"/>
          <w:u w:val="single"/>
        </w:rPr>
        <w:t xml:space="preserve">                     </w:t>
      </w:r>
      <w:r>
        <w:t>。</w:t>
      </w:r>
    </w:p>
    <w:p w14:paraId="1B36EDF1">
      <w:pPr>
        <w:pStyle w:val="25"/>
        <w:spacing w:line="360" w:lineRule="auto"/>
        <w:ind w:firstLine="482" w:firstLineChars="200"/>
        <w:rPr>
          <w:b/>
        </w:rPr>
      </w:pPr>
      <w:bookmarkStart w:id="1458" w:name="_Toc152264649"/>
      <w:bookmarkStart w:id="1459" w:name="_Toc256000290"/>
      <w:r>
        <w:rPr>
          <w:b/>
        </w:rPr>
        <w:t>1.3法律</w:t>
      </w:r>
      <w:bookmarkEnd w:id="1458"/>
      <w:bookmarkEnd w:id="1459"/>
      <w:r>
        <w:rPr>
          <w:b/>
        </w:rPr>
        <w:t xml:space="preserve"> </w:t>
      </w:r>
    </w:p>
    <w:p w14:paraId="532425BA">
      <w:pPr>
        <w:spacing w:line="360" w:lineRule="auto"/>
        <w:ind w:firstLine="420" w:firstLineChars="200"/>
        <w:rPr>
          <w:u w:val="single"/>
        </w:rPr>
      </w:pPr>
      <w:r>
        <w:t>适用于合同的其他规范性文件：</w:t>
      </w:r>
      <w:r>
        <w:rPr>
          <w:rFonts w:hint="eastAsia"/>
          <w:u w:val="single"/>
        </w:rPr>
        <w:t xml:space="preserve">                                                    </w:t>
      </w:r>
    </w:p>
    <w:p w14:paraId="51B888F5">
      <w:pPr>
        <w:spacing w:line="360" w:lineRule="auto"/>
        <w:ind w:firstLine="420" w:firstLineChars="200"/>
      </w:pPr>
      <w:r>
        <w:rPr>
          <w:u w:val="single"/>
        </w:rPr>
        <w:t xml:space="preserve">                </w:t>
      </w:r>
      <w:r>
        <w:rPr>
          <w:rFonts w:hint="eastAsia"/>
          <w:u w:val="single"/>
        </w:rPr>
        <w:t xml:space="preserve">                      </w:t>
      </w:r>
      <w:r>
        <w:rPr>
          <w:u w:val="single"/>
        </w:rPr>
        <w:t xml:space="preserve">           </w:t>
      </w:r>
      <w:r>
        <w:t>。</w:t>
      </w:r>
    </w:p>
    <w:p w14:paraId="306971BE">
      <w:pPr>
        <w:pStyle w:val="25"/>
        <w:spacing w:line="360" w:lineRule="auto"/>
        <w:ind w:firstLine="482" w:firstLineChars="200"/>
        <w:rPr>
          <w:b/>
        </w:rPr>
      </w:pPr>
      <w:bookmarkStart w:id="1460" w:name="_Toc152264650"/>
      <w:bookmarkStart w:id="1461" w:name="_Toc256000291"/>
      <w:r>
        <w:rPr>
          <w:b/>
        </w:rPr>
        <w:t>1.4 标准和规范</w:t>
      </w:r>
      <w:bookmarkEnd w:id="1460"/>
      <w:bookmarkEnd w:id="1461"/>
    </w:p>
    <w:p w14:paraId="7B5423D6">
      <w:pPr>
        <w:spacing w:line="360" w:lineRule="auto"/>
        <w:ind w:firstLine="420" w:firstLineChars="200"/>
        <w:rPr>
          <w:u w:val="single"/>
        </w:rPr>
      </w:pPr>
      <w:r>
        <w:t>1.4.1适用于工程的标准规范包括：</w:t>
      </w:r>
      <w:r>
        <w:rPr>
          <w:rFonts w:hint="eastAsia"/>
          <w:u w:val="single"/>
        </w:rPr>
        <w:t xml:space="preserve">                                                 </w:t>
      </w:r>
    </w:p>
    <w:p w14:paraId="01778AE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6AE5FF59">
      <w:pPr>
        <w:spacing w:line="360" w:lineRule="auto"/>
        <w:ind w:firstLine="420" w:firstLineChars="200"/>
        <w:rPr>
          <w:u w:val="single"/>
        </w:rPr>
      </w:pPr>
      <w:r>
        <w:t>1.4.2 发包人提供国外标准、规范的名称：</w:t>
      </w:r>
      <w:r>
        <w:rPr>
          <w:rFonts w:hint="eastAsia"/>
          <w:u w:val="single"/>
        </w:rPr>
        <w:t xml:space="preserve">                                          </w:t>
      </w:r>
    </w:p>
    <w:p w14:paraId="2C4332EF">
      <w:pPr>
        <w:spacing w:line="360" w:lineRule="auto"/>
        <w:ind w:firstLine="420" w:firstLineChars="200"/>
      </w:pPr>
      <w:r>
        <w:rPr>
          <w:u w:val="single"/>
        </w:rPr>
        <w:t xml:space="preserve">                </w:t>
      </w:r>
      <w:r>
        <w:rPr>
          <w:rFonts w:hint="eastAsia"/>
          <w:u w:val="single"/>
        </w:rPr>
        <w:t xml:space="preserve">                      </w:t>
      </w:r>
      <w:r>
        <w:rPr>
          <w:u w:val="single"/>
        </w:rPr>
        <w:t xml:space="preserve">                     </w:t>
      </w:r>
      <w:r>
        <w:t>。</w:t>
      </w:r>
    </w:p>
    <w:p w14:paraId="2EFCCE27">
      <w:pPr>
        <w:spacing w:line="360" w:lineRule="auto"/>
        <w:ind w:firstLine="420" w:firstLineChars="200"/>
      </w:pPr>
    </w:p>
    <w:p w14:paraId="4FE8B6BD">
      <w:pPr>
        <w:spacing w:line="360" w:lineRule="auto"/>
        <w:ind w:firstLine="420" w:firstLineChars="200"/>
      </w:pPr>
      <w:r>
        <w:t>发包人提供国外标准、规范的份数：</w:t>
      </w:r>
      <w:r>
        <w:rPr>
          <w:u w:val="single"/>
        </w:rPr>
        <w:t xml:space="preserve">     </w:t>
      </w:r>
      <w:r>
        <w:rPr>
          <w:rFonts w:hint="eastAsia"/>
          <w:u w:val="single"/>
        </w:rPr>
        <w:t xml:space="preserve">               </w:t>
      </w:r>
      <w:r>
        <w:t>；</w:t>
      </w:r>
    </w:p>
    <w:p w14:paraId="413F54AB">
      <w:pPr>
        <w:spacing w:line="360" w:lineRule="auto"/>
        <w:ind w:firstLine="420" w:firstLineChars="200"/>
      </w:pPr>
      <w:r>
        <w:t>发包人提供国外标准、规范的名称：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78807AB2">
      <w:pPr>
        <w:spacing w:line="360" w:lineRule="auto"/>
        <w:ind w:firstLine="420" w:firstLineChars="200"/>
      </w:pPr>
      <w:r>
        <w:t>1.4.3发包人对工程的技术标准和功能要求的特殊要求：</w:t>
      </w:r>
    </w:p>
    <w:p w14:paraId="7FDEFAB9">
      <w:pPr>
        <w:spacing w:line="360" w:lineRule="auto"/>
        <w:ind w:firstLine="420" w:firstLineChars="200"/>
      </w:pPr>
      <w:bookmarkStart w:id="1462" w:name="_Hlk150433389"/>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u w:val="single"/>
        </w:rPr>
        <w:t xml:space="preserve">   </w:t>
      </w:r>
      <w:r>
        <w:t>。</w:t>
      </w:r>
    </w:p>
    <w:bookmarkEnd w:id="1462"/>
    <w:p w14:paraId="77D168E2">
      <w:pPr>
        <w:pStyle w:val="25"/>
        <w:spacing w:line="360" w:lineRule="auto"/>
        <w:ind w:firstLine="482" w:firstLineChars="200"/>
        <w:rPr>
          <w:b/>
        </w:rPr>
      </w:pPr>
      <w:bookmarkStart w:id="1463" w:name="_Toc256000292"/>
      <w:bookmarkStart w:id="1464" w:name="_Toc152264651"/>
      <w:r>
        <w:rPr>
          <w:b/>
        </w:rPr>
        <w:t>1.5 合同文件的优先顺序</w:t>
      </w:r>
      <w:bookmarkEnd w:id="1463"/>
      <w:bookmarkEnd w:id="1464"/>
    </w:p>
    <w:p w14:paraId="7AB085CE">
      <w:pPr>
        <w:spacing w:line="360" w:lineRule="auto"/>
        <w:ind w:firstLine="420" w:firstLineChars="200"/>
      </w:pPr>
      <w:r>
        <w:t>合同文件组成及优先顺序为：</w:t>
      </w:r>
    </w:p>
    <w:p w14:paraId="0D97464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ED019C1">
      <w:pPr>
        <w:pStyle w:val="25"/>
        <w:spacing w:line="360" w:lineRule="auto"/>
        <w:ind w:firstLine="482" w:firstLineChars="200"/>
        <w:rPr>
          <w:b/>
        </w:rPr>
      </w:pPr>
      <w:bookmarkStart w:id="1465" w:name="_Toc256000293"/>
      <w:bookmarkStart w:id="1466" w:name="_Toc152264652"/>
      <w:r>
        <w:rPr>
          <w:b/>
        </w:rPr>
        <w:t>1.6 图纸和承包人文件</w:t>
      </w:r>
      <w:bookmarkEnd w:id="1465"/>
      <w:bookmarkEnd w:id="1466"/>
      <w:r>
        <w:rPr>
          <w:b/>
        </w:rPr>
        <w:tab/>
      </w:r>
    </w:p>
    <w:p w14:paraId="6EDEB987">
      <w:pPr>
        <w:spacing w:line="360" w:lineRule="auto"/>
        <w:ind w:firstLine="420" w:firstLineChars="200"/>
      </w:pPr>
      <w:r>
        <w:t>1.6.1 图纸的提供</w:t>
      </w:r>
    </w:p>
    <w:p w14:paraId="6AFF4AFB">
      <w:pPr>
        <w:spacing w:line="360" w:lineRule="auto"/>
        <w:ind w:firstLine="420" w:firstLineChars="200"/>
      </w:pPr>
      <w:r>
        <w:t>发包人向承包人提供图纸的期限：</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5BEBB2B9">
      <w:pPr>
        <w:spacing w:line="360" w:lineRule="auto"/>
        <w:ind w:firstLine="420" w:firstLineChars="200"/>
      </w:pPr>
      <w:r>
        <w:t>发包人向承包人提供图纸的数量：</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2CDF770">
      <w:pPr>
        <w:spacing w:line="360" w:lineRule="auto"/>
        <w:ind w:firstLine="420" w:firstLineChars="200"/>
      </w:pPr>
      <w:r>
        <w:t>发包人向承包人提供图纸的内容：</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547AE463">
      <w:pPr>
        <w:spacing w:line="360" w:lineRule="auto"/>
        <w:ind w:firstLine="420" w:firstLineChars="200"/>
      </w:pPr>
      <w:r>
        <w:t>1.6.4 承包人文件</w:t>
      </w:r>
    </w:p>
    <w:p w14:paraId="5653626D">
      <w:pPr>
        <w:spacing w:line="360" w:lineRule="auto"/>
        <w:ind w:firstLine="420" w:firstLineChars="200"/>
        <w:rPr>
          <w:u w:val="single"/>
        </w:rPr>
      </w:pPr>
      <w:r>
        <w:t>需要由承包人提供的文件，包括：</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6076BB6">
      <w:pPr>
        <w:spacing w:line="360" w:lineRule="auto"/>
        <w:ind w:firstLine="420" w:firstLineChars="200"/>
      </w:pPr>
      <w:r>
        <w:t>承包人提供的文件的期限为：</w:t>
      </w:r>
      <w:r>
        <w:rPr>
          <w:rFonts w:hint="eastAsia"/>
          <w:u w:val="single"/>
          <w:lang w:val="en-US" w:eastAsia="zh-CN"/>
        </w:rPr>
        <w:t xml:space="preserve">                                     </w:t>
      </w:r>
      <w:r>
        <w:t>；</w:t>
      </w:r>
    </w:p>
    <w:p w14:paraId="2A8CD234">
      <w:pPr>
        <w:spacing w:line="360" w:lineRule="auto"/>
        <w:ind w:firstLine="420" w:firstLineChars="200"/>
      </w:pPr>
      <w:r>
        <w:t>承包人提供的文件的数量为：</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none"/>
        </w:rPr>
        <w:t xml:space="preserve"> ；</w:t>
      </w:r>
    </w:p>
    <w:p w14:paraId="27E807A3">
      <w:pPr>
        <w:spacing w:line="360" w:lineRule="auto"/>
        <w:ind w:firstLine="420" w:firstLineChars="200"/>
      </w:pPr>
      <w:r>
        <w:t>承包人提供的文件的形式为：</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none"/>
        </w:rPr>
        <w:t>；</w:t>
      </w:r>
    </w:p>
    <w:p w14:paraId="6544C284">
      <w:pPr>
        <w:spacing w:line="360" w:lineRule="auto"/>
        <w:ind w:firstLine="420" w:firstLineChars="200"/>
      </w:pPr>
      <w:r>
        <w:t>发包人</w:t>
      </w:r>
      <w:r>
        <w:rPr>
          <w:rFonts w:hint="eastAsia"/>
        </w:rPr>
        <w:t>审批</w:t>
      </w:r>
      <w:r>
        <w:t>承包人文件的期限：</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7988D3F5">
      <w:pPr>
        <w:spacing w:line="360" w:lineRule="auto"/>
        <w:ind w:firstLine="420" w:firstLineChars="200"/>
      </w:pPr>
      <w:r>
        <w:t>1.6.5 现场图纸准备</w:t>
      </w:r>
    </w:p>
    <w:p w14:paraId="3FFEBC03">
      <w:pPr>
        <w:spacing w:line="360" w:lineRule="auto"/>
        <w:ind w:firstLine="420" w:firstLineChars="200"/>
      </w:pPr>
      <w:r>
        <w:t>关于现场图纸准备的约定：</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5A4E47DA">
      <w:pPr>
        <w:pStyle w:val="25"/>
        <w:spacing w:line="360" w:lineRule="auto"/>
        <w:ind w:firstLine="482" w:firstLineChars="200"/>
        <w:rPr>
          <w:b/>
        </w:rPr>
      </w:pPr>
      <w:bookmarkStart w:id="1467" w:name="_Toc256000294"/>
      <w:bookmarkStart w:id="1468" w:name="_Toc152264653"/>
      <w:r>
        <w:rPr>
          <w:b/>
        </w:rPr>
        <w:t>1.7 联络</w:t>
      </w:r>
      <w:bookmarkEnd w:id="1467"/>
      <w:bookmarkEnd w:id="1468"/>
    </w:p>
    <w:p w14:paraId="7ADF578A">
      <w:pPr>
        <w:spacing w:line="360" w:lineRule="auto"/>
        <w:ind w:firstLine="420" w:firstLineChars="200"/>
      </w:pPr>
      <w:r>
        <w:t>1.7.1发包人和承包人应当在</w:t>
      </w:r>
      <w:r>
        <w:rPr>
          <w:rFonts w:hint="eastAsia"/>
          <w:u w:val="single"/>
        </w:rPr>
        <w:t xml:space="preserve"> </w:t>
      </w:r>
      <w:r>
        <w:rPr>
          <w:u w:val="single"/>
        </w:rPr>
        <w:t xml:space="preserve">   </w:t>
      </w:r>
      <w:r>
        <w:t>天内将与合同有关的通知、批准、证明、证书、指示、指令、要求、请求、同意、意见、确定和决定等书面函件送达对方当事人</w:t>
      </w:r>
      <w:r>
        <w:rPr>
          <w:rFonts w:hint="eastAsia"/>
        </w:rPr>
        <w:t>。</w:t>
      </w:r>
    </w:p>
    <w:p w14:paraId="6297842A">
      <w:pPr>
        <w:spacing w:line="360" w:lineRule="auto"/>
        <w:ind w:firstLine="420" w:firstLineChars="200"/>
      </w:pPr>
      <w:r>
        <w:t>1.7.2 发包人接收文件的地点：</w:t>
      </w:r>
      <w:r>
        <w:rPr>
          <w:rFonts w:hint="eastAsia"/>
          <w:u w:val="single"/>
          <w:lang w:val="en-US" w:eastAsia="zh-CN"/>
        </w:rPr>
        <w:t xml:space="preserve">                              </w:t>
      </w:r>
      <w:r>
        <w:t>；</w:t>
      </w:r>
    </w:p>
    <w:p w14:paraId="4CF0F41D">
      <w:pPr>
        <w:spacing w:line="360" w:lineRule="auto"/>
        <w:ind w:firstLine="420" w:firstLineChars="200"/>
      </w:pPr>
      <w:r>
        <w:t>发包人指定的接收人为：</w:t>
      </w:r>
      <w:r>
        <w:rPr>
          <w:rFonts w:hint="eastAsia"/>
          <w:u w:val="single"/>
          <w:lang w:val="en-US" w:eastAsia="zh-CN"/>
        </w:rPr>
        <w:t xml:space="preserve">                                       </w:t>
      </w:r>
      <w:r>
        <w:t>。</w:t>
      </w:r>
    </w:p>
    <w:p w14:paraId="22525049">
      <w:pPr>
        <w:spacing w:line="360" w:lineRule="auto"/>
        <w:ind w:firstLine="420" w:firstLineChars="200"/>
      </w:pPr>
      <w:r>
        <w:t>承包人接收文件的地点：</w:t>
      </w:r>
      <w:r>
        <w:rPr>
          <w:rFonts w:hint="eastAsia"/>
          <w:u w:val="single"/>
          <w:lang w:val="en-US" w:eastAsia="zh-CN"/>
        </w:rPr>
        <w:t xml:space="preserve">                                       </w:t>
      </w:r>
      <w:r>
        <w:t>；</w:t>
      </w:r>
    </w:p>
    <w:p w14:paraId="1D2A60B4">
      <w:pPr>
        <w:spacing w:line="360" w:lineRule="auto"/>
        <w:ind w:firstLine="420" w:firstLineChars="200"/>
      </w:pPr>
      <w:r>
        <w:t>承包人指定的接收人为：</w:t>
      </w:r>
      <w:r>
        <w:rPr>
          <w:rFonts w:hint="eastAsia"/>
          <w:u w:val="single"/>
          <w:lang w:val="en-US" w:eastAsia="zh-CN"/>
        </w:rPr>
        <w:t xml:space="preserve">                                       </w:t>
      </w:r>
      <w:r>
        <w:t>。</w:t>
      </w:r>
    </w:p>
    <w:p w14:paraId="27273842">
      <w:pPr>
        <w:spacing w:line="360" w:lineRule="auto"/>
        <w:ind w:firstLine="420" w:firstLineChars="200"/>
      </w:pPr>
      <w:r>
        <w:t>监理人接收文件的地点：</w:t>
      </w:r>
      <w:r>
        <w:rPr>
          <w:rFonts w:hint="eastAsia"/>
          <w:u w:val="single"/>
          <w:lang w:val="en-US" w:eastAsia="zh-CN"/>
        </w:rPr>
        <w:t xml:space="preserve">                                       </w:t>
      </w:r>
      <w:r>
        <w:t>；</w:t>
      </w:r>
    </w:p>
    <w:p w14:paraId="23FBD992">
      <w:pPr>
        <w:spacing w:line="360" w:lineRule="auto"/>
        <w:ind w:firstLine="420" w:firstLineChars="200"/>
      </w:pPr>
      <w:r>
        <w:t>监理人指定的接收人为：</w:t>
      </w:r>
      <w:r>
        <w:rPr>
          <w:rFonts w:hint="eastAsia"/>
          <w:u w:val="single"/>
          <w:lang w:val="en-US" w:eastAsia="zh-CN"/>
        </w:rPr>
        <w:t xml:space="preserve">                                       </w:t>
      </w:r>
      <w:r>
        <w:t>。</w:t>
      </w:r>
    </w:p>
    <w:p w14:paraId="034BE881">
      <w:pPr>
        <w:pStyle w:val="25"/>
        <w:spacing w:line="360" w:lineRule="auto"/>
        <w:ind w:firstLine="482" w:firstLineChars="200"/>
        <w:rPr>
          <w:b/>
        </w:rPr>
      </w:pPr>
      <w:bookmarkStart w:id="1469" w:name="_Toc152264654"/>
      <w:bookmarkStart w:id="1470" w:name="_Toc256000295"/>
      <w:r>
        <w:rPr>
          <w:b/>
        </w:rPr>
        <w:t>1.10 交通运输</w:t>
      </w:r>
      <w:bookmarkEnd w:id="1469"/>
      <w:bookmarkEnd w:id="1470"/>
    </w:p>
    <w:p w14:paraId="2162BE22">
      <w:pPr>
        <w:spacing w:line="360" w:lineRule="auto"/>
        <w:ind w:firstLine="420" w:firstLineChars="200"/>
      </w:pPr>
      <w:r>
        <w:t>1</w:t>
      </w:r>
      <w:bookmarkStart w:id="1471" w:name="_Toc300934943"/>
      <w:bookmarkStart w:id="1472" w:name="_Toc318581155"/>
      <w:bookmarkStart w:id="1473" w:name="_Toc312677986"/>
      <w:bookmarkStart w:id="1474" w:name="_Toc304295521"/>
      <w:bookmarkStart w:id="1475" w:name="_Toc303539100"/>
      <w:r>
        <w:t>.10.1 出入现场的权利</w:t>
      </w:r>
    </w:p>
    <w:p w14:paraId="5163F7E1">
      <w:pPr>
        <w:spacing w:line="360" w:lineRule="auto"/>
        <w:ind w:firstLine="420" w:firstLineChars="200"/>
      </w:pPr>
      <w:r>
        <w:t>关于出入现场的权利的约定：</w:t>
      </w:r>
    </w:p>
    <w:p w14:paraId="57E108ED">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p>
    <w:p w14:paraId="61C179EE">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w:t>
      </w:r>
    </w:p>
    <w:bookmarkEnd w:id="1471"/>
    <w:bookmarkEnd w:id="1472"/>
    <w:bookmarkEnd w:id="1473"/>
    <w:bookmarkEnd w:id="1474"/>
    <w:bookmarkEnd w:id="1475"/>
    <w:p w14:paraId="33BCA70F">
      <w:pPr>
        <w:spacing w:line="360" w:lineRule="auto"/>
        <w:ind w:firstLine="420" w:firstLineChars="200"/>
      </w:pPr>
      <w:r>
        <w:t>1</w:t>
      </w:r>
      <w:bookmarkStart w:id="1476" w:name="_Toc300934944"/>
      <w:bookmarkStart w:id="1477" w:name="_Toc312677987"/>
      <w:bookmarkStart w:id="1478" w:name="_Toc318581156"/>
      <w:bookmarkStart w:id="1479" w:name="_Toc304295522"/>
      <w:bookmarkStart w:id="1480" w:name="_Toc303539101"/>
      <w:r>
        <w:t>.10.3 场内交通</w:t>
      </w:r>
    </w:p>
    <w:p w14:paraId="70DF9490">
      <w:pPr>
        <w:spacing w:line="360" w:lineRule="auto"/>
        <w:ind w:firstLine="420" w:firstLineChars="200"/>
      </w:pPr>
      <w:r>
        <w:t>关于场外交通和场内交通的边界的约定：</w:t>
      </w:r>
    </w:p>
    <w:p w14:paraId="0F9DC9F5">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p>
    <w:p w14:paraId="37A54BB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11F8300">
      <w:pPr>
        <w:spacing w:line="360" w:lineRule="auto"/>
        <w:ind w:firstLine="420" w:firstLineChars="200"/>
      </w:pPr>
      <w:r>
        <w:t>关于发包人向承包人免费提供满足工程施工需要的场内道路和交通设施的约定：</w:t>
      </w:r>
    </w:p>
    <w:p w14:paraId="2838E3DA">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p>
    <w:p w14:paraId="0CA5B7C7">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 xml:space="preserve">。 </w:t>
      </w:r>
      <w:bookmarkEnd w:id="1476"/>
      <w:bookmarkEnd w:id="1477"/>
      <w:bookmarkEnd w:id="1478"/>
      <w:bookmarkEnd w:id="1479"/>
      <w:bookmarkEnd w:id="1480"/>
      <w:bookmarkStart w:id="1481" w:name="_Toc318581157"/>
    </w:p>
    <w:p w14:paraId="6F745A56">
      <w:pPr>
        <w:spacing w:line="360" w:lineRule="auto"/>
        <w:ind w:firstLine="420" w:firstLineChars="200"/>
      </w:pPr>
      <w:r>
        <w:t>1.10.4超大件和超重件的运输</w:t>
      </w:r>
    </w:p>
    <w:p w14:paraId="12AF75C8">
      <w:pPr>
        <w:spacing w:line="360" w:lineRule="auto"/>
        <w:ind w:firstLine="420" w:firstLineChars="200"/>
      </w:pPr>
      <w:r>
        <w:t>运输超大件或超重件所需的道路和桥梁临时加固改造费用和其他有关费用由</w:t>
      </w:r>
      <w:r>
        <w:rPr>
          <w:u w:val="single"/>
        </w:rPr>
        <w:t xml:space="preserve">    </w:t>
      </w:r>
      <w:r>
        <w:t>承担。</w:t>
      </w:r>
    </w:p>
    <w:bookmarkEnd w:id="1481"/>
    <w:p w14:paraId="03A3BCC8">
      <w:pPr>
        <w:pStyle w:val="25"/>
        <w:spacing w:line="360" w:lineRule="auto"/>
        <w:ind w:firstLine="482" w:firstLineChars="200"/>
      </w:pPr>
      <w:bookmarkStart w:id="1482" w:name="_Toc152264655"/>
      <w:bookmarkStart w:id="1483" w:name="_Toc256000296"/>
      <w:r>
        <w:rPr>
          <w:b/>
        </w:rPr>
        <w:t>1.11 知识产权</w:t>
      </w:r>
      <w:bookmarkEnd w:id="1482"/>
      <w:bookmarkEnd w:id="1483"/>
    </w:p>
    <w:p w14:paraId="39CC1937">
      <w:pPr>
        <w:spacing w:line="360" w:lineRule="auto"/>
        <w:ind w:firstLine="420" w:firstLineChars="200"/>
      </w:pPr>
      <w:r>
        <w:t>1.11.1关于发包人提供给承包人的图纸、发包人为实施工程自行编制或委托编制的技术规范以及反映发包人关于合同要求或其他类似性质的文件的著作权的归属：</w:t>
      </w:r>
    </w:p>
    <w:p w14:paraId="74EF927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81BE669">
      <w:pPr>
        <w:spacing w:line="360" w:lineRule="auto"/>
        <w:ind w:firstLine="420" w:firstLineChars="200"/>
      </w:pPr>
      <w:r>
        <w:t>关于发包人提供的上述文件的使用限制的要求：</w:t>
      </w:r>
    </w:p>
    <w:p w14:paraId="1D7C4B69">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 xml:space="preserve">。 </w:t>
      </w:r>
      <w:r>
        <w:rPr/>
        <w:br w:type="textWrapping" w:clear="all"/>
      </w:r>
      <w:r>
        <w:t>1.11.2 关于承包人为实施工程所编制文件的著作权的归属：</w:t>
      </w:r>
    </w:p>
    <w:p w14:paraId="075C9C58">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361B586">
      <w:pPr>
        <w:spacing w:line="360" w:lineRule="auto"/>
        <w:ind w:firstLine="420" w:firstLineChars="200"/>
      </w:pPr>
      <w:r>
        <w:t>关于承包人提供的上述文件的使用限制的要求：</w:t>
      </w:r>
    </w:p>
    <w:p w14:paraId="24B25A7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A811B12">
      <w:pPr>
        <w:spacing w:line="360" w:lineRule="auto"/>
        <w:ind w:firstLine="420" w:firstLineChars="200"/>
      </w:pPr>
      <w:r>
        <w:t>1.11.4 承包人在施工过程中所采用的专利、专有技术、技术秘密的使用费的承担方式：</w:t>
      </w:r>
    </w:p>
    <w:p w14:paraId="5226466E">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34232A4">
      <w:pPr>
        <w:pStyle w:val="25"/>
        <w:spacing w:line="360" w:lineRule="auto"/>
        <w:ind w:firstLine="482" w:firstLineChars="200"/>
        <w:rPr>
          <w:b/>
        </w:rPr>
      </w:pPr>
      <w:bookmarkStart w:id="1484" w:name="_Toc152264656"/>
      <w:bookmarkStart w:id="1485" w:name="_Toc256000297"/>
      <w:r>
        <w:rPr>
          <w:b/>
        </w:rPr>
        <w:t>1.13工程量清单错误的修正</w:t>
      </w:r>
      <w:bookmarkEnd w:id="1484"/>
      <w:bookmarkEnd w:id="1485"/>
    </w:p>
    <w:p w14:paraId="0D35820F">
      <w:pPr>
        <w:spacing w:line="360" w:lineRule="auto"/>
        <w:ind w:firstLine="420" w:firstLineChars="200"/>
      </w:pPr>
      <w:r>
        <w:rPr>
          <w:rFonts w:hint="eastAsia"/>
        </w:rPr>
        <w:t>出现工程量清单错误时，是否调整合同价格：</w:t>
      </w:r>
    </w:p>
    <w:p w14:paraId="64E92592">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677D65D">
      <w:pPr>
        <w:spacing w:line="360" w:lineRule="auto"/>
        <w:ind w:firstLine="420" w:firstLineChars="200"/>
      </w:pPr>
      <w:r>
        <w:t>允许调整合同价格的工程量偏差范围：</w:t>
      </w:r>
    </w:p>
    <w:p w14:paraId="3F7D3BEF">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14:paraId="71014C5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 xml:space="preserve"> 。</w:t>
      </w:r>
    </w:p>
    <w:p w14:paraId="00151218">
      <w:pPr>
        <w:pStyle w:val="23"/>
        <w:spacing w:before="0" w:line="360" w:lineRule="auto"/>
        <w:ind w:firstLine="562" w:firstLineChars="200"/>
        <w:rPr>
          <w:b/>
        </w:rPr>
      </w:pPr>
      <w:bookmarkStart w:id="1486" w:name="_Toc256000298"/>
      <w:bookmarkStart w:id="1487" w:name="_Toc351203634"/>
      <w:bookmarkStart w:id="1488" w:name="_Toc152264657"/>
      <w:r>
        <w:rPr>
          <w:b/>
        </w:rPr>
        <w:t>2</w:t>
      </w:r>
      <w:bookmarkStart w:id="1489" w:name="_Toc297048343"/>
      <w:bookmarkStart w:id="1490" w:name="_Toc296347156"/>
      <w:bookmarkStart w:id="1491" w:name="_Toc297120457"/>
      <w:bookmarkStart w:id="1492" w:name="_Toc292559362"/>
      <w:bookmarkStart w:id="1493" w:name="_Toc296346658"/>
      <w:bookmarkStart w:id="1494" w:name="_Toc296503157"/>
      <w:bookmarkStart w:id="1495" w:name="_Toc296890985"/>
      <w:bookmarkStart w:id="1496" w:name="_Toc292559867"/>
      <w:bookmarkStart w:id="1497" w:name="_Toc296944496"/>
      <w:bookmarkStart w:id="1498" w:name="_Toc296891197"/>
      <w:r>
        <w:rPr>
          <w:b/>
        </w:rPr>
        <w:t>. 发包人</w:t>
      </w:r>
      <w:bookmarkEnd w:id="1486"/>
      <w:bookmarkEnd w:id="1487"/>
      <w:bookmarkEnd w:id="1488"/>
    </w:p>
    <w:bookmarkEnd w:id="1489"/>
    <w:bookmarkEnd w:id="1490"/>
    <w:bookmarkEnd w:id="1491"/>
    <w:bookmarkEnd w:id="1492"/>
    <w:bookmarkEnd w:id="1493"/>
    <w:bookmarkEnd w:id="1494"/>
    <w:bookmarkEnd w:id="1495"/>
    <w:bookmarkEnd w:id="1496"/>
    <w:bookmarkEnd w:id="1497"/>
    <w:bookmarkEnd w:id="1498"/>
    <w:p w14:paraId="34E9ADD7">
      <w:pPr>
        <w:pStyle w:val="25"/>
        <w:spacing w:line="360" w:lineRule="auto"/>
        <w:ind w:firstLine="482" w:firstLineChars="200"/>
        <w:rPr>
          <w:b/>
        </w:rPr>
      </w:pPr>
      <w:bookmarkStart w:id="1499" w:name="_Toc256000299"/>
      <w:bookmarkStart w:id="1500" w:name="_Toc152264658"/>
      <w:r>
        <w:rPr>
          <w:b/>
        </w:rPr>
        <w:t>2.2 发包人代表</w:t>
      </w:r>
      <w:bookmarkEnd w:id="1499"/>
      <w:bookmarkEnd w:id="1500"/>
    </w:p>
    <w:p w14:paraId="38649450">
      <w:pPr>
        <w:spacing w:line="360" w:lineRule="auto"/>
        <w:ind w:firstLine="420" w:firstLineChars="200"/>
      </w:pPr>
      <w:r>
        <w:t>发包人代表：</w:t>
      </w:r>
    </w:p>
    <w:p w14:paraId="04120766">
      <w:pPr>
        <w:spacing w:line="360" w:lineRule="auto"/>
        <w:ind w:firstLine="420" w:firstLineChars="200"/>
      </w:pPr>
      <w:r>
        <w:t>姓    名：</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E6911EA">
      <w:pPr>
        <w:spacing w:line="360" w:lineRule="auto"/>
        <w:ind w:firstLine="420" w:firstLineChars="200"/>
      </w:pPr>
      <w:r>
        <w:t>身份证号：</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7927732">
      <w:pPr>
        <w:spacing w:line="360" w:lineRule="auto"/>
        <w:ind w:firstLine="420" w:firstLineChars="200"/>
      </w:pPr>
      <w:r>
        <w:t>职    务：</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603DA25">
      <w:pPr>
        <w:spacing w:line="360" w:lineRule="auto"/>
        <w:ind w:firstLine="420" w:firstLineChars="200"/>
      </w:pPr>
      <w:r>
        <w:t>联系电话：</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76FFB74">
      <w:pPr>
        <w:spacing w:line="360" w:lineRule="auto"/>
        <w:ind w:firstLine="420" w:firstLineChars="200"/>
      </w:pPr>
      <w:r>
        <w:t>电子信箱：</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891E7C6">
      <w:pPr>
        <w:spacing w:line="360" w:lineRule="auto"/>
        <w:ind w:firstLine="420" w:firstLineChars="200"/>
      </w:pPr>
      <w:r>
        <w:t>通信地址：</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19A9984">
      <w:pPr>
        <w:spacing w:line="360" w:lineRule="auto"/>
        <w:ind w:firstLine="420" w:firstLineChars="200"/>
      </w:pPr>
      <w:r>
        <w:t>发包人对发包人代表的授权范围如下：</w:t>
      </w:r>
    </w:p>
    <w:p w14:paraId="008519D3">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4F000BA3">
      <w:pPr>
        <w:pStyle w:val="25"/>
        <w:spacing w:line="360" w:lineRule="auto"/>
        <w:ind w:firstLine="482" w:firstLineChars="200"/>
        <w:rPr>
          <w:b/>
        </w:rPr>
      </w:pPr>
      <w:bookmarkStart w:id="1501" w:name="_Toc256000300"/>
      <w:bookmarkStart w:id="1502" w:name="_Toc152264659"/>
      <w:r>
        <w:rPr>
          <w:b/>
        </w:rPr>
        <w:t>2.4 施工现场、施工条件和基础资料的提供</w:t>
      </w:r>
      <w:bookmarkEnd w:id="1501"/>
      <w:bookmarkEnd w:id="1502"/>
    </w:p>
    <w:p w14:paraId="1333F87F">
      <w:pPr>
        <w:spacing w:line="360" w:lineRule="auto"/>
        <w:ind w:firstLine="420" w:firstLineChars="200"/>
      </w:pPr>
      <w:r>
        <w:t>2.4.1 提供施工现场</w:t>
      </w:r>
    </w:p>
    <w:p w14:paraId="19264058">
      <w:pPr>
        <w:spacing w:line="360" w:lineRule="auto"/>
        <w:ind w:firstLine="420" w:firstLineChars="200"/>
      </w:pPr>
      <w:r>
        <w:t>关于发包人移交施工现场的期限要求：</w:t>
      </w:r>
    </w:p>
    <w:p w14:paraId="196D854E">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247E9F0E">
      <w:pPr>
        <w:spacing w:line="360" w:lineRule="auto"/>
        <w:ind w:firstLine="420" w:firstLineChars="200"/>
      </w:pPr>
      <w:r>
        <w:t>2.4.2 提供施工条件</w:t>
      </w:r>
    </w:p>
    <w:p w14:paraId="4F37B8CE">
      <w:pPr>
        <w:spacing w:line="360" w:lineRule="auto"/>
        <w:ind w:firstLine="420" w:firstLineChars="200"/>
      </w:pPr>
      <w:r>
        <w:t>关于发包人应负责提供施工</w:t>
      </w:r>
      <w:r>
        <w:rPr>
          <w:rFonts w:hint="eastAsia"/>
        </w:rPr>
        <w:t>所需要的条件，</w:t>
      </w:r>
      <w:r>
        <w:t>包括：</w:t>
      </w:r>
      <w:r>
        <w:rPr>
          <w:u w:val="single"/>
        </w:rPr>
        <w:t xml:space="preserve">            </w:t>
      </w:r>
      <w:r>
        <w:rPr>
          <w:rFonts w:hint="eastAsia"/>
          <w:u w:val="single"/>
        </w:rPr>
        <w:t xml:space="preserve"> </w:t>
      </w:r>
      <w:r>
        <w:rPr>
          <w:u w:val="single"/>
        </w:rPr>
        <w:t xml:space="preserve">                          </w:t>
      </w:r>
      <w:bookmarkStart w:id="1503" w:name="_Toc150507576"/>
      <w:r>
        <w:rPr>
          <w:rFonts w:hint="eastAsia"/>
        </w:rPr>
        <w:t>。</w:t>
      </w:r>
      <w:bookmarkEnd w:id="1503"/>
    </w:p>
    <w:p w14:paraId="6B9773DB">
      <w:pPr>
        <w:pStyle w:val="25"/>
        <w:spacing w:line="360" w:lineRule="auto"/>
        <w:ind w:firstLine="482" w:firstLineChars="200"/>
        <w:rPr>
          <w:b/>
        </w:rPr>
      </w:pPr>
      <w:bookmarkStart w:id="1504" w:name="_Toc256000301"/>
      <w:bookmarkStart w:id="1505" w:name="_Toc152264660"/>
      <w:r>
        <w:rPr>
          <w:b/>
        </w:rPr>
        <w:t>2.5 资金来源证明及支付担保</w:t>
      </w:r>
      <w:bookmarkEnd w:id="1504"/>
      <w:bookmarkEnd w:id="1505"/>
    </w:p>
    <w:p w14:paraId="314D58C8">
      <w:pPr>
        <w:spacing w:line="360" w:lineRule="auto"/>
        <w:ind w:firstLine="420" w:firstLineChars="200"/>
      </w:pPr>
      <w:r>
        <w:t>发包人提供资金来源证明的期限要求：</w:t>
      </w:r>
      <w:r>
        <w:rPr>
          <w:u w:val="single"/>
        </w:rPr>
        <w:t xml:space="preserve">    </w:t>
      </w:r>
      <w:r>
        <w:rPr>
          <w:rFonts w:hint="eastAsia"/>
          <w:u w:val="single"/>
        </w:rPr>
        <w:t xml:space="preserve">  </w:t>
      </w:r>
      <w:r>
        <w:rPr>
          <w:u w:val="single"/>
        </w:rPr>
        <w:t xml:space="preserve">           </w:t>
      </w:r>
      <w:r>
        <w:t>。</w:t>
      </w:r>
    </w:p>
    <w:p w14:paraId="35EC52C8">
      <w:pPr>
        <w:spacing w:line="360" w:lineRule="auto"/>
        <w:ind w:firstLine="420" w:firstLineChars="200"/>
      </w:pPr>
      <w:r>
        <w:t>发包人是否提供支付担保：</w:t>
      </w:r>
      <w:r>
        <w:rPr>
          <w:u w:val="single"/>
        </w:rPr>
        <w:t xml:space="preserve">                                     </w:t>
      </w:r>
      <w:r>
        <w:t>。</w:t>
      </w:r>
    </w:p>
    <w:p w14:paraId="79399ED1">
      <w:pPr>
        <w:spacing w:line="360" w:lineRule="auto"/>
        <w:ind w:firstLine="420" w:firstLineChars="200"/>
      </w:pPr>
      <w:r>
        <w:t>发包人提供支付担保的形式：</w:t>
      </w:r>
      <w:r>
        <w:rPr>
          <w:u w:val="single"/>
        </w:rPr>
        <w:t xml:space="preserve">                                  </w:t>
      </w:r>
      <w:r>
        <w:t>。</w:t>
      </w:r>
    </w:p>
    <w:p w14:paraId="1600D781">
      <w:pPr>
        <w:pStyle w:val="23"/>
        <w:spacing w:before="0" w:line="360" w:lineRule="auto"/>
        <w:ind w:firstLine="562" w:firstLineChars="200"/>
        <w:rPr>
          <w:b/>
        </w:rPr>
      </w:pPr>
      <w:bookmarkStart w:id="1506" w:name="_Toc351203635"/>
      <w:bookmarkStart w:id="1507" w:name="_Toc152264661"/>
      <w:bookmarkStart w:id="1508" w:name="_Toc256000302"/>
      <w:r>
        <w:rPr>
          <w:b/>
        </w:rPr>
        <w:t>3</w:t>
      </w:r>
      <w:bookmarkStart w:id="1509" w:name="_Toc292559363"/>
      <w:bookmarkStart w:id="1510" w:name="_Toc296944497"/>
      <w:bookmarkStart w:id="1511" w:name="_Toc296346659"/>
      <w:bookmarkStart w:id="1512" w:name="_Toc292559868"/>
      <w:bookmarkStart w:id="1513" w:name="_Toc296891198"/>
      <w:bookmarkStart w:id="1514" w:name="_Toc296503158"/>
      <w:bookmarkStart w:id="1515" w:name="_Toc297048344"/>
      <w:bookmarkStart w:id="1516" w:name="_Toc296890986"/>
      <w:bookmarkStart w:id="1517" w:name="_Toc296347157"/>
      <w:bookmarkStart w:id="1518" w:name="_Toc297120458"/>
      <w:r>
        <w:rPr>
          <w:b/>
        </w:rPr>
        <w:t>. 承包人</w:t>
      </w:r>
      <w:bookmarkEnd w:id="1506"/>
      <w:bookmarkEnd w:id="1507"/>
      <w:bookmarkEnd w:id="1508"/>
    </w:p>
    <w:bookmarkEnd w:id="1509"/>
    <w:bookmarkEnd w:id="1510"/>
    <w:bookmarkEnd w:id="1511"/>
    <w:bookmarkEnd w:id="1512"/>
    <w:bookmarkEnd w:id="1513"/>
    <w:bookmarkEnd w:id="1514"/>
    <w:bookmarkEnd w:id="1515"/>
    <w:bookmarkEnd w:id="1516"/>
    <w:bookmarkEnd w:id="1517"/>
    <w:bookmarkEnd w:id="1518"/>
    <w:p w14:paraId="59E75F0F">
      <w:pPr>
        <w:pStyle w:val="25"/>
        <w:spacing w:line="360" w:lineRule="auto"/>
        <w:ind w:firstLine="482" w:firstLineChars="200"/>
        <w:rPr>
          <w:b/>
        </w:rPr>
      </w:pPr>
      <w:bookmarkStart w:id="1519" w:name="_Toc256000303"/>
      <w:bookmarkStart w:id="1520" w:name="_Toc152264662"/>
      <w:r>
        <w:rPr>
          <w:b/>
        </w:rPr>
        <w:t>3.1 承包人的一般义务</w:t>
      </w:r>
      <w:bookmarkEnd w:id="1519"/>
      <w:bookmarkEnd w:id="1520"/>
    </w:p>
    <w:p w14:paraId="4EFF07FE">
      <w:pPr>
        <w:spacing w:line="360" w:lineRule="auto"/>
        <w:ind w:firstLine="420" w:firstLineChars="200"/>
      </w:pPr>
      <w:r>
        <w:t>（</w:t>
      </w:r>
      <w:r>
        <w:rPr>
          <w:rFonts w:hint="eastAsia"/>
        </w:rPr>
        <w:t>9</w:t>
      </w:r>
      <w:r>
        <w:t>）承包人提交的竣工资料的内容：</w:t>
      </w:r>
    </w:p>
    <w:p w14:paraId="6DA3406E">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1FE08E7A">
      <w:pPr>
        <w:spacing w:line="360" w:lineRule="auto"/>
        <w:ind w:firstLine="420" w:firstLineChars="200"/>
      </w:pPr>
      <w:r>
        <w:rPr>
          <w:rFonts w:hint="eastAsia"/>
          <w:u w:val="single"/>
        </w:rPr>
        <w:t xml:space="preserve">                                                            </w:t>
      </w:r>
      <w:r>
        <w:t>。</w:t>
      </w:r>
    </w:p>
    <w:p w14:paraId="20FF6E0D">
      <w:pPr>
        <w:spacing w:line="360" w:lineRule="auto"/>
        <w:ind w:firstLine="420" w:firstLineChars="200"/>
      </w:pPr>
      <w:r>
        <w:t>承包人需要提交的竣工资料套数：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1589865">
      <w:pPr>
        <w:spacing w:line="360" w:lineRule="auto"/>
        <w:ind w:firstLine="420" w:firstLineChars="200"/>
      </w:pPr>
      <w:r>
        <w:t>承包人提交的竣工资料的费用承担：</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1A95AE2">
      <w:pPr>
        <w:spacing w:line="360" w:lineRule="auto"/>
        <w:ind w:firstLine="420" w:firstLineChars="200"/>
      </w:pPr>
      <w:r>
        <w:t>承包人提交的竣工资料移交时间：</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CA88DD7">
      <w:pPr>
        <w:spacing w:line="360" w:lineRule="auto"/>
        <w:ind w:firstLine="420" w:firstLineChars="200"/>
      </w:pPr>
      <w:r>
        <w:t>承包人提交的竣工资料形式要求：</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B3ACD49">
      <w:pPr>
        <w:spacing w:line="360" w:lineRule="auto"/>
        <w:ind w:firstLine="420" w:firstLineChars="200"/>
      </w:pPr>
      <w:r>
        <w:t>（</w:t>
      </w:r>
      <w:r>
        <w:rPr>
          <w:rFonts w:hint="eastAsia"/>
        </w:rPr>
        <w:t>10</w:t>
      </w:r>
      <w:r>
        <w:t>）承包人应履行的其他义务：</w:t>
      </w:r>
    </w:p>
    <w:p w14:paraId="0C792D52">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63C68ACA">
      <w:pPr>
        <w:spacing w:line="360" w:lineRule="auto"/>
        <w:ind w:firstLine="420" w:firstLineChars="200"/>
      </w:pPr>
      <w:r>
        <w:rPr>
          <w:rFonts w:hint="eastAsia"/>
          <w:u w:val="single"/>
        </w:rPr>
        <w:t xml:space="preserve">                                                                 </w:t>
      </w:r>
      <w:r>
        <w:t>。</w:t>
      </w:r>
    </w:p>
    <w:p w14:paraId="5EBFB56D">
      <w:pPr>
        <w:pStyle w:val="25"/>
        <w:spacing w:line="360" w:lineRule="auto"/>
        <w:ind w:firstLine="482" w:firstLineChars="200"/>
        <w:rPr>
          <w:b/>
        </w:rPr>
      </w:pPr>
      <w:bookmarkStart w:id="1521" w:name="_Toc256000304"/>
      <w:bookmarkStart w:id="1522" w:name="_Toc152264663"/>
      <w:r>
        <w:rPr>
          <w:b/>
        </w:rPr>
        <w:t>3.2 项目经理</w:t>
      </w:r>
      <w:bookmarkEnd w:id="1521"/>
      <w:bookmarkEnd w:id="1522"/>
    </w:p>
    <w:p w14:paraId="4C964475">
      <w:pPr>
        <w:spacing w:line="360" w:lineRule="auto"/>
        <w:ind w:firstLine="420" w:firstLineChars="200"/>
      </w:pPr>
      <w:r>
        <w:t>3.2.1 项目经理：</w:t>
      </w:r>
    </w:p>
    <w:p w14:paraId="5F066BC6">
      <w:pPr>
        <w:spacing w:line="360" w:lineRule="auto"/>
        <w:ind w:firstLine="420" w:firstLineChars="200"/>
      </w:pPr>
      <w:r>
        <w:t>姓    名：</w:t>
      </w:r>
      <w:r>
        <w:rPr>
          <w:u w:val="single"/>
        </w:rPr>
        <w:t xml:space="preserve">                                                      </w:t>
      </w:r>
      <w:r>
        <w:t>；</w:t>
      </w:r>
    </w:p>
    <w:p w14:paraId="3822BD30">
      <w:pPr>
        <w:spacing w:line="360" w:lineRule="auto"/>
        <w:ind w:firstLine="420" w:firstLineChars="200"/>
      </w:pPr>
      <w:r>
        <w:t>身份证号：</w:t>
      </w:r>
      <w:r>
        <w:rPr>
          <w:u w:val="single"/>
        </w:rPr>
        <w:t xml:space="preserve">                                                      </w:t>
      </w:r>
      <w:r>
        <w:t>；</w:t>
      </w:r>
    </w:p>
    <w:p w14:paraId="065ADE5E">
      <w:pPr>
        <w:spacing w:line="360" w:lineRule="auto"/>
        <w:ind w:firstLine="420" w:firstLineChars="200"/>
      </w:pPr>
      <w:r>
        <w:t>建造师执业资格等级：</w:t>
      </w:r>
      <w:r>
        <w:rPr>
          <w:u w:val="single"/>
        </w:rPr>
        <w:t xml:space="preserve">                                                </w:t>
      </w:r>
      <w:r>
        <w:t>；</w:t>
      </w:r>
    </w:p>
    <w:p w14:paraId="5B14F091">
      <w:pPr>
        <w:spacing w:line="360" w:lineRule="auto"/>
        <w:ind w:firstLine="420" w:firstLineChars="200"/>
      </w:pPr>
      <w:r>
        <w:t>建造师注册证书号：</w:t>
      </w:r>
      <w:r>
        <w:rPr>
          <w:u w:val="single"/>
        </w:rPr>
        <w:t xml:space="preserve">                                             </w:t>
      </w:r>
      <w:r>
        <w:rPr>
          <w:rFonts w:hint="eastAsia"/>
          <w:u w:val="single"/>
          <w:lang w:val="en-US" w:eastAsia="zh-CN"/>
        </w:rPr>
        <w:t xml:space="preserve">   </w:t>
      </w:r>
      <w:r>
        <w:rPr>
          <w:u w:val="single"/>
        </w:rPr>
        <w:t xml:space="preserve">  </w:t>
      </w:r>
      <w:r>
        <w:t>；</w:t>
      </w:r>
    </w:p>
    <w:p w14:paraId="237C830B">
      <w:pPr>
        <w:spacing w:line="360" w:lineRule="auto"/>
        <w:ind w:firstLine="420" w:firstLineChars="200"/>
      </w:pPr>
      <w:r>
        <w:t>建造师执业印章号：</w:t>
      </w:r>
      <w:r>
        <w:rPr>
          <w:u w:val="single"/>
        </w:rPr>
        <w:t xml:space="preserve">                                                  </w:t>
      </w:r>
      <w:r>
        <w:t>；</w:t>
      </w:r>
    </w:p>
    <w:p w14:paraId="4751B18D">
      <w:pPr>
        <w:spacing w:line="360" w:lineRule="auto"/>
        <w:ind w:firstLine="420" w:firstLineChars="200"/>
      </w:pPr>
      <w:r>
        <w:t>安全生产考核合格证书号：</w:t>
      </w:r>
      <w:r>
        <w:rPr>
          <w:u w:val="single"/>
        </w:rPr>
        <w:t xml:space="preserve">                     </w:t>
      </w:r>
      <w:r>
        <w:rPr>
          <w:rFonts w:hint="eastAsia"/>
          <w:u w:val="single"/>
          <w:lang w:val="en-US" w:eastAsia="zh-CN"/>
        </w:rPr>
        <w:t xml:space="preserve">                      </w:t>
      </w:r>
      <w:r>
        <w:t>；</w:t>
      </w:r>
    </w:p>
    <w:p w14:paraId="4595CD76">
      <w:pPr>
        <w:spacing w:line="360" w:lineRule="auto"/>
        <w:ind w:firstLine="420" w:firstLineChars="200"/>
      </w:pPr>
      <w:r>
        <w:t>联系电话：</w:t>
      </w:r>
      <w:r>
        <w:rPr>
          <w:u w:val="single"/>
        </w:rPr>
        <w:t xml:space="preserve">                                                      </w:t>
      </w:r>
      <w:r>
        <w:t>；</w:t>
      </w:r>
    </w:p>
    <w:p w14:paraId="29103079">
      <w:pPr>
        <w:spacing w:line="360" w:lineRule="auto"/>
        <w:ind w:firstLine="420" w:firstLineChars="200"/>
      </w:pPr>
      <w:r>
        <w:t>电子信箱：</w:t>
      </w:r>
      <w:r>
        <w:rPr>
          <w:u w:val="single"/>
        </w:rPr>
        <w:t xml:space="preserve">                                                      </w:t>
      </w:r>
      <w:r>
        <w:t>；</w:t>
      </w:r>
    </w:p>
    <w:p w14:paraId="0AD32670">
      <w:pPr>
        <w:spacing w:line="360" w:lineRule="auto"/>
        <w:ind w:firstLine="420" w:firstLineChars="200"/>
      </w:pPr>
      <w:r>
        <w:t>通信地址：</w:t>
      </w:r>
      <w:r>
        <w:rPr>
          <w:u w:val="single"/>
        </w:rPr>
        <w:t xml:space="preserve">                                                      </w:t>
      </w:r>
      <w:r>
        <w:t>；</w:t>
      </w:r>
    </w:p>
    <w:p w14:paraId="6CC4E267">
      <w:pPr>
        <w:spacing w:line="360" w:lineRule="auto"/>
        <w:ind w:firstLine="420" w:firstLineChars="200"/>
      </w:pPr>
      <w:r>
        <w:t>承包人对项目经理的授权范围如下：</w:t>
      </w:r>
    </w:p>
    <w:p w14:paraId="28B4EF93">
      <w:pPr>
        <w:spacing w:line="360" w:lineRule="auto"/>
        <w:ind w:firstLine="420" w:firstLineChars="200"/>
      </w:pPr>
      <w:r>
        <w:rPr>
          <w:u w:val="single"/>
        </w:rPr>
        <w:t xml:space="preserve">                                                                 </w:t>
      </w:r>
      <w:r>
        <w:t>；</w:t>
      </w:r>
    </w:p>
    <w:p w14:paraId="756BF988">
      <w:pPr>
        <w:spacing w:line="360" w:lineRule="auto"/>
        <w:ind w:firstLine="420" w:firstLineChars="200"/>
      </w:pPr>
      <w:r>
        <w:t>关于项目经理每月在施工现场的时间要求：</w:t>
      </w:r>
    </w:p>
    <w:p w14:paraId="33BCD6E2">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2B086ADD">
      <w:pPr>
        <w:spacing w:line="360" w:lineRule="auto"/>
        <w:ind w:firstLine="420" w:firstLineChars="200"/>
      </w:pPr>
      <w:r>
        <w:rPr>
          <w:rFonts w:hint="eastAsia"/>
          <w:u w:val="single"/>
        </w:rPr>
        <w:t xml:space="preserve">   </w:t>
      </w:r>
      <w:r>
        <w:rPr>
          <w:u w:val="single"/>
        </w:rPr>
        <w:t xml:space="preserve">                                   </w:t>
      </w:r>
      <w:r>
        <w:rPr>
          <w:rFonts w:hint="eastAsia"/>
          <w:u w:val="single"/>
        </w:rPr>
        <w:t xml:space="preserve">                    </w:t>
      </w:r>
      <w:r>
        <w:t>。</w:t>
      </w:r>
    </w:p>
    <w:p w14:paraId="5E2BECDA">
      <w:pPr>
        <w:spacing w:line="360" w:lineRule="auto"/>
        <w:ind w:firstLine="420" w:firstLineChars="200"/>
      </w:pPr>
      <w:r>
        <w:t>承包人未提交劳动合同，以及没有为项目经理缴纳社会保险证明的违约责任：</w:t>
      </w:r>
    </w:p>
    <w:p w14:paraId="2F039418">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064B80EA">
      <w:pPr>
        <w:spacing w:line="360" w:lineRule="auto"/>
        <w:ind w:firstLine="420" w:firstLineChars="200"/>
      </w:pPr>
      <w:r>
        <w:rPr>
          <w:rFonts w:hint="eastAsia"/>
          <w:u w:val="single"/>
        </w:rPr>
        <w:t xml:space="preserve"> </w:t>
      </w:r>
      <w:r>
        <w:rPr>
          <w:u w:val="single"/>
        </w:rPr>
        <w:t xml:space="preserve">                                                    </w:t>
      </w:r>
      <w:r>
        <w:rPr>
          <w:rFonts w:hint="eastAsia"/>
          <w:u w:val="single"/>
        </w:rPr>
        <w:t xml:space="preserve">      </w:t>
      </w:r>
      <w:r>
        <w:t>。</w:t>
      </w:r>
    </w:p>
    <w:p w14:paraId="4BE695B0">
      <w:pPr>
        <w:spacing w:line="360" w:lineRule="auto"/>
        <w:ind w:firstLine="420" w:firstLineChars="200"/>
      </w:pPr>
      <w:r>
        <w:t>项目经理未经批准，擅自离开施工现场的违约责任：</w:t>
      </w:r>
    </w:p>
    <w:p w14:paraId="0BBD37AC">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7C7D967C">
      <w:pPr>
        <w:spacing w:line="360" w:lineRule="auto"/>
        <w:ind w:firstLine="420" w:firstLineChars="200"/>
      </w:pPr>
      <w:r>
        <w:rPr>
          <w:rFonts w:hint="eastAsia"/>
          <w:u w:val="single"/>
        </w:rPr>
        <w:t xml:space="preserve">   </w:t>
      </w:r>
      <w:r>
        <w:rPr>
          <w:u w:val="single"/>
        </w:rPr>
        <w:t xml:space="preserve">                              </w:t>
      </w:r>
      <w:r>
        <w:rPr>
          <w:rFonts w:hint="eastAsia"/>
          <w:u w:val="single"/>
        </w:rPr>
        <w:t xml:space="preserve">                           </w:t>
      </w:r>
      <w:r>
        <w:t>。</w:t>
      </w:r>
    </w:p>
    <w:p w14:paraId="077C27AD">
      <w:pPr>
        <w:spacing w:line="360" w:lineRule="auto"/>
        <w:ind w:firstLine="420" w:firstLineChars="200"/>
      </w:pPr>
      <w:r>
        <w:t>3.2.3 承包人擅自更换项目经理的违约责任：</w:t>
      </w:r>
    </w:p>
    <w:p w14:paraId="062E4B70">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54282454">
      <w:pPr>
        <w:spacing w:line="360" w:lineRule="auto"/>
        <w:ind w:firstLine="420" w:firstLineChars="200"/>
      </w:pPr>
      <w:r>
        <w:rPr>
          <w:rFonts w:hint="eastAsia"/>
          <w:u w:val="single"/>
        </w:rPr>
        <w:t xml:space="preserve">                                                        </w:t>
      </w:r>
      <w:r>
        <w:rPr>
          <w:u w:val="single"/>
        </w:rPr>
        <w:t xml:space="preserve">   </w:t>
      </w:r>
      <w:r>
        <w:t>。</w:t>
      </w:r>
    </w:p>
    <w:p w14:paraId="019D854D">
      <w:pPr>
        <w:spacing w:line="360" w:lineRule="auto"/>
        <w:ind w:firstLine="420" w:firstLineChars="200"/>
      </w:pPr>
      <w:r>
        <w:t xml:space="preserve">3.2.4 承包人无正当理由拒绝更换项目经理的违约责任： </w:t>
      </w:r>
    </w:p>
    <w:p w14:paraId="562826BA">
      <w:pPr>
        <w:spacing w:line="360" w:lineRule="auto"/>
        <w:ind w:firstLine="420" w:firstLineChars="200"/>
        <w:rPr>
          <w:u w:val="single"/>
        </w:rPr>
      </w:pPr>
      <w:r>
        <w:rPr>
          <w:u w:val="single"/>
        </w:rPr>
        <w:t xml:space="preserve">  </w:t>
      </w:r>
      <w:r>
        <w:rPr>
          <w:rFonts w:hint="eastAsia"/>
          <w:u w:val="single"/>
        </w:rPr>
        <w:t xml:space="preserve">                                                         </w:t>
      </w:r>
      <w:r>
        <w:rPr>
          <w:u w:val="single"/>
        </w:rPr>
        <w:t xml:space="preserve">                                                   </w:t>
      </w:r>
    </w:p>
    <w:p w14:paraId="7A188676">
      <w:pPr>
        <w:spacing w:line="360" w:lineRule="auto"/>
        <w:ind w:firstLine="420" w:firstLineChars="200"/>
      </w:pPr>
      <w:r>
        <w:rPr>
          <w:rFonts w:hint="eastAsia"/>
          <w:u w:val="single"/>
        </w:rPr>
        <w:t xml:space="preserve">                                                               </w:t>
      </w:r>
      <w:r>
        <w:t>。</w:t>
      </w:r>
    </w:p>
    <w:p w14:paraId="3C30C179">
      <w:pPr>
        <w:pStyle w:val="25"/>
        <w:spacing w:line="360" w:lineRule="auto"/>
        <w:ind w:firstLine="482" w:firstLineChars="200"/>
        <w:rPr>
          <w:b/>
        </w:rPr>
      </w:pPr>
      <w:bookmarkStart w:id="1523" w:name="_Toc256000305"/>
      <w:bookmarkStart w:id="1524" w:name="_Toc152264664"/>
      <w:r>
        <w:rPr>
          <w:b/>
        </w:rPr>
        <w:t>3.3 承包人人员</w:t>
      </w:r>
      <w:bookmarkEnd w:id="1523"/>
      <w:bookmarkEnd w:id="1524"/>
    </w:p>
    <w:p w14:paraId="7F8F5D41">
      <w:pPr>
        <w:spacing w:line="360" w:lineRule="auto"/>
        <w:ind w:firstLine="420" w:firstLineChars="200"/>
      </w:pPr>
      <w:r>
        <w:t>3.3.1 承包人提交项目管理机构及施工现场管理人员安排报告的期限：</w:t>
      </w:r>
    </w:p>
    <w:p w14:paraId="6EB582A9">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18962C1">
      <w:pPr>
        <w:spacing w:line="360" w:lineRule="auto"/>
        <w:ind w:firstLine="420" w:firstLineChars="200"/>
      </w:pPr>
      <w:r>
        <w:t>3.3.3 承包人无正当理由拒绝撤换主要施工管理人员的违约责任：</w:t>
      </w:r>
    </w:p>
    <w:p w14:paraId="2FFD0D9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DDBB810">
      <w:pPr>
        <w:spacing w:line="360" w:lineRule="auto"/>
        <w:ind w:firstLine="420" w:firstLineChars="200"/>
      </w:pPr>
      <w:r>
        <w:t>3.3.4 承包人主要施工管理人员离开施工现场的批准要求：</w:t>
      </w:r>
    </w:p>
    <w:p w14:paraId="0C7E88F6">
      <w:pPr>
        <w:spacing w:line="360" w:lineRule="auto"/>
        <w:ind w:firstLine="420" w:firstLineChars="200"/>
      </w:pPr>
      <w:r>
        <w:rPr>
          <w:u w:val="single"/>
        </w:rPr>
        <w:t xml:space="preserve">  </w:t>
      </w:r>
      <w:r>
        <w:rPr>
          <w:rFonts w:hint="eastAsia"/>
          <w:u w:val="single"/>
        </w:rPr>
        <w:t xml:space="preserve">                                                               </w:t>
      </w:r>
      <w:r>
        <w:t>。</w:t>
      </w:r>
    </w:p>
    <w:p w14:paraId="50DF2937">
      <w:pPr>
        <w:spacing w:line="360" w:lineRule="auto"/>
        <w:ind w:firstLine="420" w:firstLineChars="200"/>
      </w:pPr>
      <w:r>
        <w:t>3.3.5承包人擅自更换主要施工管理人员的违约责任：</w:t>
      </w:r>
    </w:p>
    <w:p w14:paraId="268443D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2722927D">
      <w:pPr>
        <w:spacing w:line="360" w:lineRule="auto"/>
        <w:ind w:firstLine="420" w:firstLineChars="200"/>
      </w:pPr>
      <w:r>
        <w:t>承包人主要施工管理人员擅自离开施工现场的违约责任：</w:t>
      </w:r>
    </w:p>
    <w:p w14:paraId="71F9EEA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906F50D">
      <w:pPr>
        <w:pStyle w:val="25"/>
        <w:spacing w:line="360" w:lineRule="auto"/>
        <w:ind w:firstLine="482" w:firstLineChars="200"/>
        <w:rPr>
          <w:b/>
        </w:rPr>
      </w:pPr>
      <w:bookmarkStart w:id="1525" w:name="_Toc152264665"/>
      <w:bookmarkStart w:id="1526" w:name="_Toc256000306"/>
      <w:r>
        <w:rPr>
          <w:b/>
        </w:rPr>
        <w:t>3</w:t>
      </w:r>
      <w:bookmarkStart w:id="1527" w:name="_Toc296944498"/>
      <w:bookmarkStart w:id="1528" w:name="_Toc296347158"/>
      <w:bookmarkStart w:id="1529" w:name="_Toc312677988"/>
      <w:bookmarkStart w:id="1530" w:name="_Toc296891199"/>
      <w:bookmarkStart w:id="1531" w:name="_Toc297216151"/>
      <w:bookmarkStart w:id="1532" w:name="_Toc292559869"/>
      <w:bookmarkStart w:id="1533" w:name="_Toc304295523"/>
      <w:bookmarkStart w:id="1534" w:name="_Toc297048345"/>
      <w:bookmarkStart w:id="1535" w:name="_Toc296890987"/>
      <w:bookmarkStart w:id="1536" w:name="_Toc296503159"/>
      <w:bookmarkStart w:id="1537" w:name="_Toc297120459"/>
      <w:bookmarkStart w:id="1538" w:name="_Toc300934945"/>
      <w:bookmarkStart w:id="1539" w:name="_Toc303539102"/>
      <w:bookmarkStart w:id="1540" w:name="_Toc292559364"/>
      <w:bookmarkStart w:id="1541" w:name="_Toc296346660"/>
      <w:bookmarkStart w:id="1542" w:name="_Toc297123492"/>
      <w:r>
        <w:rPr>
          <w:b/>
        </w:rPr>
        <w:t>.5 分包</w:t>
      </w:r>
      <w:bookmarkEnd w:id="1525"/>
      <w:bookmarkEnd w:id="1526"/>
    </w:p>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14:paraId="5D7AEC98">
      <w:pPr>
        <w:spacing w:line="360" w:lineRule="auto"/>
        <w:ind w:firstLine="420" w:firstLineChars="200"/>
      </w:pPr>
      <w:r>
        <w:t>3</w:t>
      </w:r>
      <w:bookmarkStart w:id="1543" w:name="_Toc292559870"/>
      <w:bookmarkStart w:id="1544" w:name="_Toc312677989"/>
      <w:bookmarkStart w:id="1545" w:name="_Toc303539103"/>
      <w:bookmarkStart w:id="1546" w:name="_Toc297120460"/>
      <w:bookmarkStart w:id="1547" w:name="_Toc300934946"/>
      <w:bookmarkStart w:id="1548" w:name="_Toc296346661"/>
      <w:bookmarkStart w:id="1549" w:name="_Toc296890988"/>
      <w:bookmarkStart w:id="1550" w:name="_Toc292559365"/>
      <w:bookmarkStart w:id="1551" w:name="_Toc296891200"/>
      <w:bookmarkStart w:id="1552" w:name="_Toc297123493"/>
      <w:bookmarkStart w:id="1553" w:name="_Toc318581158"/>
      <w:bookmarkStart w:id="1554" w:name="_Toc296944499"/>
      <w:bookmarkStart w:id="1555" w:name="_Toc296347159"/>
      <w:bookmarkStart w:id="1556" w:name="_Toc297048346"/>
      <w:bookmarkStart w:id="1557" w:name="_Toc297216152"/>
      <w:bookmarkStart w:id="1558" w:name="_Toc296503160"/>
      <w:bookmarkStart w:id="1559" w:name="_Toc304295524"/>
      <w:r>
        <w:t>.5.1 分包的一般约定</w:t>
      </w:r>
    </w:p>
    <w:p w14:paraId="228718C1">
      <w:pPr>
        <w:spacing w:line="360" w:lineRule="auto"/>
        <w:ind w:firstLine="420" w:firstLineChars="200"/>
      </w:pPr>
      <w:r>
        <w:t>禁止分包的工程包括：</w:t>
      </w:r>
    </w:p>
    <w:p w14:paraId="51F7F4DD">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69FFFC3">
      <w:pPr>
        <w:spacing w:line="360" w:lineRule="auto"/>
        <w:ind w:firstLine="420" w:firstLineChars="200"/>
      </w:pPr>
      <w:r>
        <w:t>主体结构、关键性工作的范围：</w:t>
      </w:r>
    </w:p>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14:paraId="3025116A">
      <w:pPr>
        <w:spacing w:line="360" w:lineRule="auto"/>
        <w:ind w:firstLine="420" w:firstLineChars="200"/>
        <w:rPr>
          <w:u w:val="single"/>
        </w:rPr>
      </w:pPr>
      <w:r>
        <w:rPr>
          <w:rFonts w:hint="eastAsia"/>
        </w:rPr>
        <w:t xml:space="preserve"> </w:t>
      </w:r>
      <w:r>
        <w:rPr>
          <w:rFonts w:hint="eastAsia"/>
          <w:u w:val="single"/>
        </w:rPr>
        <w:t xml:space="preserve">                                                                              </w:t>
      </w:r>
    </w:p>
    <w:p w14:paraId="5810A33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EFBA713">
      <w:pPr>
        <w:spacing w:line="360" w:lineRule="auto"/>
        <w:ind w:firstLine="420" w:firstLineChars="200"/>
      </w:pPr>
      <w:r>
        <w:t xml:space="preserve"> 3</w:t>
      </w:r>
      <w:bookmarkStart w:id="1560" w:name="_Toc312677990"/>
      <w:bookmarkStart w:id="1561" w:name="_Toc318581159"/>
      <w:r>
        <w:t>.5.2分包的确定</w:t>
      </w:r>
    </w:p>
    <w:p w14:paraId="26F884D2">
      <w:pPr>
        <w:spacing w:line="360" w:lineRule="auto"/>
        <w:ind w:firstLine="420" w:firstLineChars="200"/>
      </w:pPr>
      <w:r>
        <w:t>允许分包的专业工程包括：</w:t>
      </w:r>
    </w:p>
    <w:p w14:paraId="375D182C">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3C66825">
      <w:pPr>
        <w:spacing w:line="360" w:lineRule="auto"/>
        <w:ind w:firstLine="420" w:firstLineChars="200"/>
      </w:pPr>
      <w:r>
        <w:t>其他关于分包的约定：</w:t>
      </w:r>
    </w:p>
    <w:p w14:paraId="0F0CE38B">
      <w:pPr>
        <w:spacing w:line="360" w:lineRule="auto"/>
        <w:ind w:firstLine="420" w:firstLineChars="200"/>
        <w:rPr>
          <w:u w:val="single"/>
        </w:rPr>
      </w:pPr>
      <w:r>
        <w:rPr>
          <w:rFonts w:hint="eastAsia"/>
          <w:u w:val="single"/>
        </w:rPr>
        <w:t xml:space="preserve">                                                                              </w:t>
      </w:r>
    </w:p>
    <w:p w14:paraId="4660415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lang w:val="en-US" w:eastAsia="zh-CN"/>
        </w:rPr>
        <w:t xml:space="preserve">  </w:t>
      </w:r>
      <w:r>
        <w:t>。</w:t>
      </w:r>
    </w:p>
    <w:p w14:paraId="13F29B5F">
      <w:pPr>
        <w:spacing w:line="360" w:lineRule="auto"/>
        <w:ind w:firstLine="420" w:firstLineChars="200"/>
      </w:pPr>
      <w:r>
        <w:t>3.5.4 分包合同价款</w:t>
      </w:r>
    </w:p>
    <w:p w14:paraId="086E9C9C">
      <w:pPr>
        <w:spacing w:line="360" w:lineRule="auto"/>
        <w:ind w:firstLine="420" w:firstLineChars="200"/>
      </w:pPr>
      <w:r>
        <w:t>关于分包合同价款支付的约定：</w:t>
      </w:r>
    </w:p>
    <w:bookmarkEnd w:id="1560"/>
    <w:bookmarkEnd w:id="1561"/>
    <w:p w14:paraId="0B7DD78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DD37CEC">
      <w:pPr>
        <w:pStyle w:val="25"/>
        <w:spacing w:line="360" w:lineRule="auto"/>
        <w:ind w:firstLine="482" w:firstLineChars="200"/>
        <w:rPr>
          <w:b/>
        </w:rPr>
      </w:pPr>
      <w:bookmarkStart w:id="1562" w:name="_Toc152264666"/>
      <w:bookmarkStart w:id="1563" w:name="_Toc256000307"/>
      <w:r>
        <w:rPr>
          <w:b/>
        </w:rPr>
        <w:t>3.6 工程照管与成品、半成品保护</w:t>
      </w:r>
      <w:bookmarkEnd w:id="1562"/>
      <w:bookmarkEnd w:id="1563"/>
    </w:p>
    <w:p w14:paraId="202FC879">
      <w:pPr>
        <w:spacing w:line="360" w:lineRule="auto"/>
        <w:ind w:firstLine="420" w:firstLineChars="200"/>
      </w:pPr>
      <w:r>
        <w:t>承包人负责照管工程及工程相关的材料、工程设备的起始时间：</w:t>
      </w:r>
    </w:p>
    <w:p w14:paraId="3254B26E">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6E7AF84">
      <w:pPr>
        <w:pStyle w:val="25"/>
        <w:spacing w:line="360" w:lineRule="auto"/>
        <w:ind w:firstLine="482" w:firstLineChars="200"/>
        <w:rPr>
          <w:b/>
        </w:rPr>
      </w:pPr>
      <w:bookmarkStart w:id="1564" w:name="_Toc256000308"/>
      <w:bookmarkStart w:id="1565" w:name="_Toc152264667"/>
      <w:r>
        <w:rPr>
          <w:b/>
        </w:rPr>
        <w:t>3.7 履约担保</w:t>
      </w:r>
      <w:bookmarkEnd w:id="1564"/>
      <w:bookmarkEnd w:id="1565"/>
    </w:p>
    <w:p w14:paraId="21810227">
      <w:pPr>
        <w:spacing w:line="360" w:lineRule="auto"/>
        <w:ind w:firstLine="420" w:firstLineChars="200"/>
      </w:pPr>
      <w:r>
        <w:rPr>
          <w:rFonts w:hint="eastAsia"/>
        </w:rPr>
        <w:t>承包人是否提供履约担保：</w:t>
      </w:r>
    </w:p>
    <w:p w14:paraId="190A95B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CE08881">
      <w:pPr>
        <w:spacing w:line="360" w:lineRule="auto"/>
        <w:ind w:firstLine="420" w:firstLineChars="200"/>
      </w:pPr>
      <w:r>
        <w:t>承包人提供履约担保的形式</w:t>
      </w:r>
      <w:r>
        <w:rPr>
          <w:rFonts w:hint="eastAsia"/>
        </w:rPr>
        <w:t>、金额及期限的</w:t>
      </w:r>
      <w:r>
        <w:t xml:space="preserve">：              </w:t>
      </w:r>
    </w:p>
    <w:p w14:paraId="2C63FCD7">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6BCD1DD">
      <w:pPr>
        <w:pStyle w:val="23"/>
        <w:spacing w:before="0" w:line="360" w:lineRule="auto"/>
        <w:ind w:firstLine="562" w:firstLineChars="200"/>
        <w:rPr>
          <w:b/>
        </w:rPr>
      </w:pPr>
      <w:bookmarkStart w:id="1566" w:name="_Toc152264668"/>
      <w:bookmarkStart w:id="1567" w:name="_Toc351203636"/>
      <w:bookmarkStart w:id="1568" w:name="_Toc256000309"/>
      <w:r>
        <w:rPr>
          <w:b/>
        </w:rPr>
        <w:t>4</w:t>
      </w:r>
      <w:bookmarkStart w:id="1569" w:name="_Toc296944501"/>
      <w:bookmarkStart w:id="1570" w:name="_Toc297048348"/>
      <w:bookmarkStart w:id="1571" w:name="_Toc292559366"/>
      <w:bookmarkStart w:id="1572" w:name="_Toc296347161"/>
      <w:bookmarkStart w:id="1573" w:name="_Toc297120462"/>
      <w:bookmarkStart w:id="1574" w:name="_Toc296346663"/>
      <w:bookmarkStart w:id="1575" w:name="_Toc296503162"/>
      <w:bookmarkStart w:id="1576" w:name="_Toc296890990"/>
      <w:bookmarkStart w:id="1577" w:name="_Toc296891202"/>
      <w:bookmarkStart w:id="1578" w:name="_Toc292559871"/>
      <w:bookmarkStart w:id="1579" w:name="_Toc267251413"/>
      <w:r>
        <w:rPr>
          <w:b/>
        </w:rPr>
        <w:t>. 监</w:t>
      </w:r>
      <w:bookmarkEnd w:id="1569"/>
      <w:bookmarkEnd w:id="1570"/>
      <w:bookmarkEnd w:id="1571"/>
      <w:bookmarkEnd w:id="1572"/>
      <w:bookmarkEnd w:id="1573"/>
      <w:bookmarkEnd w:id="1574"/>
      <w:bookmarkEnd w:id="1575"/>
      <w:bookmarkEnd w:id="1576"/>
      <w:bookmarkEnd w:id="1577"/>
      <w:bookmarkEnd w:id="1578"/>
      <w:bookmarkEnd w:id="1579"/>
      <w:r>
        <w:rPr>
          <w:b/>
        </w:rPr>
        <w:t>理人</w:t>
      </w:r>
      <w:bookmarkEnd w:id="1566"/>
      <w:bookmarkEnd w:id="1567"/>
      <w:bookmarkEnd w:id="1568"/>
    </w:p>
    <w:p w14:paraId="4F6B3C5D">
      <w:pPr>
        <w:pStyle w:val="25"/>
        <w:spacing w:line="360" w:lineRule="auto"/>
        <w:ind w:firstLine="482" w:firstLineChars="200"/>
        <w:rPr>
          <w:b/>
        </w:rPr>
      </w:pPr>
      <w:bookmarkStart w:id="1580" w:name="_Toc152264669"/>
      <w:bookmarkStart w:id="1581" w:name="_Toc256000310"/>
      <w:r>
        <w:rPr>
          <w:b/>
        </w:rPr>
        <w:t>4.1监理人的一般规定</w:t>
      </w:r>
      <w:bookmarkEnd w:id="1580"/>
      <w:bookmarkEnd w:id="1581"/>
    </w:p>
    <w:p w14:paraId="249A63EB">
      <w:pPr>
        <w:spacing w:line="360" w:lineRule="auto"/>
        <w:ind w:firstLine="420" w:firstLineChars="200"/>
      </w:pPr>
      <w:r>
        <w:t>关于监理人的监理内容：</w:t>
      </w:r>
    </w:p>
    <w:p w14:paraId="522F274E">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638ABFE">
      <w:pPr>
        <w:spacing w:line="360" w:lineRule="auto"/>
        <w:ind w:firstLine="420" w:firstLineChars="200"/>
      </w:pPr>
      <w:r>
        <w:t>关于监理人的监理权限：</w:t>
      </w:r>
    </w:p>
    <w:p w14:paraId="2C339CE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9BD618E">
      <w:pPr>
        <w:spacing w:line="360" w:lineRule="auto"/>
        <w:ind w:firstLine="420" w:firstLineChars="200"/>
      </w:pPr>
      <w:r>
        <w:t>关于监理人在施工现场的办公场所、生活场所的提供和费用承担的约定：</w:t>
      </w:r>
    </w:p>
    <w:p w14:paraId="70DB79F7">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5172ACF6">
      <w:pPr>
        <w:pStyle w:val="25"/>
        <w:spacing w:line="360" w:lineRule="auto"/>
        <w:ind w:firstLine="482" w:firstLineChars="200"/>
        <w:rPr>
          <w:b/>
        </w:rPr>
      </w:pPr>
      <w:bookmarkStart w:id="1582" w:name="_Toc256000311"/>
      <w:bookmarkStart w:id="1583" w:name="_Toc152264670"/>
      <w:r>
        <w:rPr>
          <w:b/>
        </w:rPr>
        <w:t>4.2 监理人员</w:t>
      </w:r>
      <w:bookmarkEnd w:id="1582"/>
      <w:bookmarkEnd w:id="1583"/>
    </w:p>
    <w:p w14:paraId="47CCB174">
      <w:pPr>
        <w:spacing w:line="360" w:lineRule="auto"/>
        <w:ind w:firstLine="420" w:firstLineChars="200"/>
      </w:pPr>
      <w:r>
        <w:t>总监理工程师：</w:t>
      </w:r>
    </w:p>
    <w:p w14:paraId="28062B29">
      <w:pPr>
        <w:spacing w:line="360" w:lineRule="auto"/>
        <w:ind w:firstLine="420" w:firstLineChars="200"/>
      </w:pPr>
      <w:r>
        <w:t>姓    名：</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3309088">
      <w:pPr>
        <w:spacing w:line="360" w:lineRule="auto"/>
        <w:ind w:firstLine="420" w:firstLineChars="200"/>
      </w:pPr>
      <w:r>
        <w:t>职    务：</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7A0D13B9">
      <w:pPr>
        <w:spacing w:line="360" w:lineRule="auto"/>
        <w:ind w:firstLine="420" w:firstLineChars="200"/>
      </w:pPr>
      <w:r>
        <w:t>监理工程师执业资格证书号：</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EB268B4">
      <w:pPr>
        <w:spacing w:line="360" w:lineRule="auto"/>
        <w:ind w:firstLine="420" w:firstLineChars="200"/>
      </w:pPr>
      <w:r>
        <w:t>联系电话：</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7DA74AC">
      <w:pPr>
        <w:spacing w:line="360" w:lineRule="auto"/>
        <w:ind w:firstLine="420" w:firstLineChars="200"/>
      </w:pPr>
      <w:r>
        <w:t>电子信箱：</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0F48405">
      <w:pPr>
        <w:spacing w:line="360" w:lineRule="auto"/>
        <w:ind w:firstLine="420" w:firstLineChars="200"/>
      </w:pPr>
      <w:r>
        <w:t>通信地址：</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749352C">
      <w:pPr>
        <w:spacing w:line="360" w:lineRule="auto"/>
        <w:ind w:firstLine="420" w:firstLineChars="200"/>
      </w:pPr>
      <w:r>
        <w:t>关于监理人的其他约定：</w:t>
      </w:r>
      <w:r>
        <w:rPr>
          <w:u w:val="single"/>
        </w:rPr>
        <w:t xml:space="preserve">                </w:t>
      </w:r>
      <w:r>
        <w:rPr>
          <w:rFonts w:hint="eastAsia"/>
          <w:u w:val="single"/>
        </w:rPr>
        <w:t xml:space="preserve">          </w:t>
      </w:r>
      <w:r>
        <w:rPr>
          <w:u w:val="single"/>
        </w:rPr>
        <w:t xml:space="preserve">    </w:t>
      </w:r>
      <w:r>
        <w:t>。</w:t>
      </w:r>
    </w:p>
    <w:p w14:paraId="117C5A3C">
      <w:pPr>
        <w:pStyle w:val="25"/>
        <w:spacing w:line="360" w:lineRule="auto"/>
        <w:ind w:firstLine="482" w:firstLineChars="200"/>
        <w:rPr>
          <w:b/>
        </w:rPr>
      </w:pPr>
      <w:bookmarkStart w:id="1584" w:name="_Toc152264671"/>
      <w:bookmarkStart w:id="1585" w:name="_Toc256000312"/>
      <w:r>
        <w:rPr>
          <w:b/>
        </w:rPr>
        <w:t>4.4 商定或确定</w:t>
      </w:r>
      <w:bookmarkEnd w:id="1584"/>
      <w:bookmarkEnd w:id="1585"/>
    </w:p>
    <w:p w14:paraId="4E2E02BB">
      <w:pPr>
        <w:spacing w:line="360" w:lineRule="auto"/>
        <w:ind w:firstLine="420" w:firstLineChars="200"/>
      </w:pPr>
      <w:bookmarkStart w:id="1586" w:name="_Toc267251418"/>
      <w:r>
        <w:t>在发包人和承包人不能通过协商达成一致意见时，发包人授权监理人对以下事项进行确定：</w:t>
      </w:r>
    </w:p>
    <w:p w14:paraId="2E3E0955">
      <w:pPr>
        <w:spacing w:line="360" w:lineRule="auto"/>
        <w:ind w:firstLine="420" w:firstLineChars="200"/>
      </w:pPr>
      <w:r>
        <w:t>（1）</w:t>
      </w:r>
      <w:r>
        <w:rPr>
          <w:u w:val="single"/>
        </w:rPr>
        <w:t xml:space="preserve">                          </w:t>
      </w:r>
      <w:r>
        <w:rPr>
          <w:rFonts w:hint="eastAsia"/>
          <w:u w:val="single"/>
        </w:rPr>
        <w:t xml:space="preserve"> </w:t>
      </w:r>
      <w:r>
        <w:rPr>
          <w:u w:val="single"/>
        </w:rPr>
        <w:t xml:space="preserve">        </w:t>
      </w:r>
      <w:r>
        <w:t>；</w:t>
      </w:r>
    </w:p>
    <w:p w14:paraId="538DAD75">
      <w:pPr>
        <w:spacing w:line="360" w:lineRule="auto"/>
        <w:ind w:firstLine="420" w:firstLineChars="200"/>
      </w:pPr>
      <w:r>
        <w:t>（2）</w:t>
      </w:r>
      <w:r>
        <w:rPr>
          <w:u w:val="single"/>
        </w:rPr>
        <w:t xml:space="preserve">                          </w:t>
      </w:r>
      <w:r>
        <w:rPr>
          <w:rFonts w:hint="eastAsia"/>
          <w:u w:val="single"/>
        </w:rPr>
        <w:t xml:space="preserve"> </w:t>
      </w:r>
      <w:r>
        <w:rPr>
          <w:u w:val="single"/>
        </w:rPr>
        <w:t xml:space="preserve">        </w:t>
      </w:r>
      <w:r>
        <w:t>；</w:t>
      </w:r>
    </w:p>
    <w:p w14:paraId="29F3F740">
      <w:pPr>
        <w:spacing w:line="360" w:lineRule="auto"/>
        <w:ind w:firstLine="420" w:firstLineChars="200"/>
      </w:pPr>
      <w:r>
        <w:t>（3）</w:t>
      </w:r>
      <w:r>
        <w:rPr>
          <w:u w:val="single"/>
        </w:rPr>
        <w:t xml:space="preserve">                         </w:t>
      </w:r>
      <w:r>
        <w:rPr>
          <w:rFonts w:hint="eastAsia"/>
          <w:u w:val="single"/>
        </w:rPr>
        <w:t xml:space="preserve"> </w:t>
      </w:r>
      <w:r>
        <w:rPr>
          <w:u w:val="single"/>
        </w:rPr>
        <w:t xml:space="preserve">         </w:t>
      </w:r>
      <w:r>
        <w:t>。</w:t>
      </w:r>
    </w:p>
    <w:p w14:paraId="3AC2DA28">
      <w:pPr>
        <w:pStyle w:val="23"/>
        <w:spacing w:before="0" w:line="360" w:lineRule="auto"/>
        <w:ind w:firstLine="562" w:firstLineChars="200"/>
        <w:rPr>
          <w:b/>
        </w:rPr>
      </w:pPr>
      <w:bookmarkStart w:id="1587" w:name="_Toc351203637"/>
      <w:bookmarkStart w:id="1588" w:name="_Toc256000313"/>
      <w:bookmarkStart w:id="1589" w:name="_Toc152264672"/>
      <w:r>
        <w:rPr>
          <w:b/>
        </w:rPr>
        <w:t>5</w:t>
      </w:r>
      <w:bookmarkEnd w:id="1586"/>
      <w:bookmarkStart w:id="1590" w:name="_Toc296944502"/>
      <w:bookmarkStart w:id="1591" w:name="_Toc296891203"/>
      <w:bookmarkStart w:id="1592" w:name="_Toc292559367"/>
      <w:bookmarkStart w:id="1593" w:name="_Toc297048349"/>
      <w:bookmarkStart w:id="1594" w:name="_Toc296503163"/>
      <w:bookmarkStart w:id="1595" w:name="_Toc296346664"/>
      <w:bookmarkStart w:id="1596" w:name="_Toc292559872"/>
      <w:bookmarkStart w:id="1597" w:name="_Toc297120463"/>
      <w:bookmarkStart w:id="1598" w:name="_Toc296347162"/>
      <w:bookmarkStart w:id="1599" w:name="_Toc296890991"/>
      <w:r>
        <w:rPr>
          <w:b/>
        </w:rPr>
        <w:t>. 工程质量</w:t>
      </w:r>
      <w:bookmarkEnd w:id="1587"/>
      <w:bookmarkEnd w:id="1588"/>
      <w:bookmarkEnd w:id="1589"/>
    </w:p>
    <w:p w14:paraId="45834844">
      <w:pPr>
        <w:pStyle w:val="25"/>
        <w:spacing w:line="360" w:lineRule="auto"/>
        <w:ind w:firstLine="482" w:firstLineChars="200"/>
        <w:rPr>
          <w:b/>
        </w:rPr>
      </w:pPr>
      <w:bookmarkStart w:id="1600" w:name="_Toc152264673"/>
      <w:bookmarkStart w:id="1601" w:name="_Toc256000314"/>
      <w:r>
        <w:rPr>
          <w:b/>
        </w:rPr>
        <w:t>5.1 质量要求</w:t>
      </w:r>
      <w:bookmarkEnd w:id="1600"/>
      <w:bookmarkEnd w:id="1601"/>
    </w:p>
    <w:p w14:paraId="533D5FCB">
      <w:pPr>
        <w:spacing w:line="360" w:lineRule="auto"/>
        <w:ind w:firstLine="420" w:firstLineChars="200"/>
      </w:pPr>
      <w:r>
        <w:t>5</w:t>
      </w:r>
      <w:bookmarkStart w:id="1602" w:name="_Toc297123496"/>
      <w:bookmarkStart w:id="1603" w:name="_Toc300934949"/>
      <w:bookmarkStart w:id="1604" w:name="_Toc312677997"/>
      <w:bookmarkStart w:id="1605" w:name="_Toc297216155"/>
      <w:bookmarkStart w:id="1606" w:name="_Toc318581164"/>
      <w:bookmarkStart w:id="1607" w:name="_Toc304295527"/>
      <w:bookmarkStart w:id="1608" w:name="_Toc303539106"/>
      <w:r>
        <w:t>.1.1 特殊质量标准和要求：</w:t>
      </w:r>
    </w:p>
    <w:p w14:paraId="1CD3AEE7">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78E9AF9">
      <w:pPr>
        <w:spacing w:line="360" w:lineRule="auto"/>
        <w:ind w:firstLine="420" w:firstLineChars="200"/>
      </w:pPr>
      <w:r>
        <w:t>关于工程奖项的约定：</w:t>
      </w:r>
    </w:p>
    <w:p w14:paraId="7B88D628">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2CAD719">
      <w:pPr>
        <w:pStyle w:val="25"/>
        <w:spacing w:line="360" w:lineRule="auto"/>
        <w:ind w:firstLine="482" w:firstLineChars="200"/>
        <w:rPr>
          <w:b/>
        </w:rPr>
      </w:pPr>
      <w:bookmarkStart w:id="1609" w:name="_Toc152264674"/>
      <w:bookmarkStart w:id="1610" w:name="_Toc256000315"/>
      <w:r>
        <w:rPr>
          <w:b/>
        </w:rPr>
        <w:t>5.3 隐蔽工程检查</w:t>
      </w:r>
      <w:bookmarkEnd w:id="1609"/>
      <w:bookmarkEnd w:id="1610"/>
    </w:p>
    <w:p w14:paraId="4FCC29D4">
      <w:pPr>
        <w:spacing w:line="360" w:lineRule="auto"/>
        <w:ind w:firstLine="420" w:firstLineChars="200"/>
      </w:pPr>
      <w:r>
        <w:t>5.3.2承包人提前通知监理人隐蔽工程检查的期限的约定：</w:t>
      </w:r>
    </w:p>
    <w:p w14:paraId="6BFD2F3C">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D020C8A">
      <w:pPr>
        <w:spacing w:line="360" w:lineRule="auto"/>
        <w:ind w:firstLine="420" w:firstLineChars="200"/>
      </w:pPr>
      <w:r>
        <w:t>监理人不能按时进行检查时，应提前</w:t>
      </w:r>
      <w:r>
        <w:rPr>
          <w:u w:val="single"/>
        </w:rPr>
        <w:t xml:space="preserve">       </w:t>
      </w:r>
      <w:r>
        <w:t>小时提交书面延期要求。</w:t>
      </w:r>
    </w:p>
    <w:p w14:paraId="5BFB6CDA">
      <w:pPr>
        <w:spacing w:line="360" w:lineRule="auto"/>
        <w:ind w:firstLine="420" w:firstLineChars="200"/>
      </w:pPr>
      <w:r>
        <w:t>关于延期最长不得超过：</w:t>
      </w:r>
      <w:r>
        <w:rPr>
          <w:u w:val="single"/>
        </w:rPr>
        <w:t xml:space="preserve">         </w:t>
      </w:r>
      <w:r>
        <w:t>小时。</w:t>
      </w:r>
    </w:p>
    <w:p w14:paraId="001AEBCE">
      <w:pPr>
        <w:pStyle w:val="23"/>
        <w:spacing w:before="0" w:line="360" w:lineRule="auto"/>
        <w:ind w:firstLine="562" w:firstLineChars="200"/>
        <w:rPr>
          <w:b/>
        </w:rPr>
      </w:pPr>
      <w:bookmarkStart w:id="1611" w:name="_Toc256000316"/>
      <w:bookmarkStart w:id="1612" w:name="_Toc351203638"/>
      <w:bookmarkStart w:id="1613" w:name="_Toc152264675"/>
      <w:r>
        <w:rPr>
          <w:b/>
        </w:rPr>
        <w:t>6. 安全文明施工与环境保护</w:t>
      </w:r>
      <w:bookmarkEnd w:id="1611"/>
      <w:bookmarkEnd w:id="1612"/>
      <w:bookmarkEnd w:id="1613"/>
    </w:p>
    <w:p w14:paraId="09208E6C">
      <w:pPr>
        <w:pStyle w:val="25"/>
        <w:spacing w:line="360" w:lineRule="auto"/>
        <w:ind w:firstLine="482" w:firstLineChars="200"/>
        <w:rPr>
          <w:b/>
        </w:rPr>
      </w:pPr>
      <w:bookmarkStart w:id="1614" w:name="_Toc152264676"/>
      <w:bookmarkStart w:id="1615" w:name="_Toc256000317"/>
      <w:r>
        <w:rPr>
          <w:b/>
        </w:rPr>
        <w:t>6.1安全文明施工</w:t>
      </w:r>
      <w:bookmarkEnd w:id="1614"/>
      <w:bookmarkEnd w:id="1615"/>
    </w:p>
    <w:p w14:paraId="3D78B209">
      <w:pPr>
        <w:spacing w:line="360" w:lineRule="auto"/>
        <w:ind w:firstLine="420" w:firstLineChars="200"/>
      </w:pPr>
      <w:r>
        <w:t>6.1.1 项目安全生产的达标目标及相应事项的约定：</w:t>
      </w:r>
    </w:p>
    <w:p w14:paraId="6DB43BD8">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52990AC">
      <w:pPr>
        <w:spacing w:line="360" w:lineRule="auto"/>
        <w:ind w:firstLine="420" w:firstLineChars="200"/>
      </w:pPr>
      <w:r>
        <w:t>6.1.4 关于治安保卫的特别约定：</w:t>
      </w:r>
    </w:p>
    <w:p w14:paraId="55B34DC2">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9CE2572">
      <w:pPr>
        <w:spacing w:line="360" w:lineRule="auto"/>
        <w:ind w:firstLine="420" w:firstLineChars="200"/>
      </w:pPr>
      <w:r>
        <w:t>关于编制施工场地治安管理计划的约定：</w:t>
      </w:r>
    </w:p>
    <w:p w14:paraId="3D9C759C">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81DA318">
      <w:pPr>
        <w:spacing w:line="360" w:lineRule="auto"/>
        <w:ind w:firstLine="420" w:firstLineChars="200"/>
      </w:pPr>
      <w:r>
        <w:rPr>
          <w:rFonts w:hint="eastAsia"/>
        </w:rPr>
        <w:t>6.1.5 文明施工</w:t>
      </w:r>
    </w:p>
    <w:p w14:paraId="44C39A2F">
      <w:pPr>
        <w:spacing w:line="360" w:lineRule="auto"/>
        <w:ind w:firstLine="420" w:firstLineChars="200"/>
      </w:pPr>
      <w:r>
        <w:rPr>
          <w:rFonts w:hint="eastAsia"/>
        </w:rPr>
        <w:t>合同当事人对文明施工的要求：</w:t>
      </w:r>
    </w:p>
    <w:p w14:paraId="71A41AE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FCCA7DF">
      <w:pPr>
        <w:spacing w:line="360" w:lineRule="auto"/>
        <w:ind w:firstLine="420" w:firstLineChars="200"/>
      </w:pPr>
      <w:r>
        <w:t>6.1.6 关于安全文明施工费支付比例和支付期限的约定：</w:t>
      </w:r>
    </w:p>
    <w:p w14:paraId="7B2C7C79">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602"/>
    <w:bookmarkEnd w:id="1603"/>
    <w:bookmarkEnd w:id="1604"/>
    <w:bookmarkEnd w:id="1605"/>
    <w:bookmarkEnd w:id="1606"/>
    <w:bookmarkEnd w:id="1607"/>
    <w:bookmarkEnd w:id="1608"/>
    <w:p w14:paraId="610E30CC">
      <w:pPr>
        <w:pStyle w:val="23"/>
        <w:spacing w:before="0" w:line="360" w:lineRule="auto"/>
        <w:ind w:firstLine="562" w:firstLineChars="200"/>
        <w:rPr>
          <w:b/>
        </w:rPr>
      </w:pPr>
      <w:bookmarkStart w:id="1616" w:name="_Toc351203639"/>
      <w:bookmarkStart w:id="1617" w:name="_Toc152264677"/>
      <w:bookmarkStart w:id="1618" w:name="_Toc256000318"/>
      <w:r>
        <w:rPr>
          <w:b/>
        </w:rPr>
        <w:t>7. 工期和进度</w:t>
      </w:r>
      <w:bookmarkEnd w:id="1616"/>
      <w:bookmarkEnd w:id="1617"/>
      <w:bookmarkEnd w:id="1618"/>
    </w:p>
    <w:p w14:paraId="2C369DAC">
      <w:pPr>
        <w:pStyle w:val="25"/>
        <w:spacing w:line="360" w:lineRule="auto"/>
        <w:ind w:firstLine="482" w:firstLineChars="200"/>
        <w:rPr>
          <w:b/>
        </w:rPr>
      </w:pPr>
      <w:bookmarkStart w:id="1619" w:name="_Toc152264678"/>
      <w:bookmarkStart w:id="1620" w:name="_Toc256000319"/>
      <w:r>
        <w:rPr>
          <w:b/>
        </w:rPr>
        <w:t>7.1 施工组织设计</w:t>
      </w:r>
      <w:bookmarkEnd w:id="1619"/>
      <w:bookmarkEnd w:id="1620"/>
    </w:p>
    <w:p w14:paraId="6B00E3FA">
      <w:pPr>
        <w:spacing w:line="360" w:lineRule="auto"/>
        <w:ind w:firstLine="420" w:firstLineChars="200"/>
      </w:pPr>
      <w:r>
        <w:t>7.1.</w:t>
      </w:r>
      <w:r>
        <w:rPr>
          <w:rFonts w:hint="eastAsia"/>
        </w:rPr>
        <w:t>1 合同当事人约定的</w:t>
      </w:r>
      <w:r>
        <w:t>施工组织设计</w:t>
      </w:r>
      <w:r>
        <w:rPr>
          <w:rFonts w:hint="eastAsia"/>
        </w:rPr>
        <w:t>应包括的其他内容</w:t>
      </w:r>
      <w:r>
        <w:t>：</w:t>
      </w:r>
    </w:p>
    <w:p w14:paraId="27352A2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26C216F">
      <w:pPr>
        <w:spacing w:line="360" w:lineRule="auto"/>
        <w:ind w:firstLine="420" w:firstLineChars="200"/>
      </w:pPr>
      <w:r>
        <w:t>7.1.2 施工组织设计的提交和修改</w:t>
      </w:r>
    </w:p>
    <w:p w14:paraId="66488125">
      <w:pPr>
        <w:spacing w:line="360" w:lineRule="auto"/>
        <w:ind w:firstLine="420" w:firstLineChars="200"/>
      </w:pPr>
      <w:r>
        <w:t>承包人提交详细施工组织设计的期限的约定：</w:t>
      </w:r>
    </w:p>
    <w:p w14:paraId="5D84DA1F">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585E53B">
      <w:pPr>
        <w:spacing w:line="360" w:lineRule="auto"/>
        <w:ind w:firstLine="420" w:firstLineChars="200"/>
      </w:pPr>
      <w:r>
        <w:t>发包人和监理人在收到</w:t>
      </w:r>
      <w:r>
        <w:rPr>
          <w:rFonts w:hint="eastAsia"/>
        </w:rPr>
        <w:t>详细的施工组织设计</w:t>
      </w:r>
      <w:r>
        <w:t xml:space="preserve">后确认或提出修改意见的期限： </w:t>
      </w:r>
    </w:p>
    <w:p w14:paraId="0DB084E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56C9193">
      <w:pPr>
        <w:pStyle w:val="25"/>
        <w:spacing w:line="360" w:lineRule="auto"/>
        <w:ind w:firstLine="482" w:firstLineChars="200"/>
        <w:rPr>
          <w:b/>
        </w:rPr>
      </w:pPr>
      <w:bookmarkStart w:id="1621" w:name="_Toc152264679"/>
      <w:bookmarkStart w:id="1622" w:name="_Toc256000320"/>
      <w:r>
        <w:rPr>
          <w:b/>
        </w:rPr>
        <w:t>7</w:t>
      </w:r>
      <w:bookmarkStart w:id="1623" w:name="_Toc312678005"/>
      <w:bookmarkStart w:id="1624" w:name="_Toc297216173"/>
      <w:bookmarkStart w:id="1625" w:name="_Toc312677479"/>
      <w:bookmarkStart w:id="1626" w:name="_Toc303539123"/>
      <w:bookmarkStart w:id="1627" w:name="_Toc304295541"/>
      <w:bookmarkStart w:id="1628" w:name="_Toc300934966"/>
      <w:bookmarkStart w:id="1629" w:name="_Toc297123514"/>
      <w:r>
        <w:rPr>
          <w:b/>
        </w:rPr>
        <w:t>.2 施工进度计划</w:t>
      </w:r>
      <w:bookmarkEnd w:id="1621"/>
      <w:bookmarkEnd w:id="1622"/>
    </w:p>
    <w:p w14:paraId="281C5EA9">
      <w:pPr>
        <w:spacing w:line="360" w:lineRule="auto"/>
        <w:ind w:firstLine="420" w:firstLineChars="200"/>
      </w:pPr>
      <w:r>
        <w:t>7.2.2 施工进度计划的修订</w:t>
      </w:r>
    </w:p>
    <w:p w14:paraId="39AB3E77">
      <w:pPr>
        <w:spacing w:line="360" w:lineRule="auto"/>
        <w:ind w:firstLine="420" w:firstLineChars="200"/>
      </w:pPr>
      <w:r>
        <w:t>发包人和监理人在收到修订的施工进度计划后确认或提出修改意见的期限：</w:t>
      </w:r>
    </w:p>
    <w:p w14:paraId="72D44CED">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AF4D3D5">
      <w:pPr>
        <w:pStyle w:val="25"/>
        <w:spacing w:line="360" w:lineRule="auto"/>
        <w:ind w:firstLine="482" w:firstLineChars="200"/>
        <w:rPr>
          <w:b/>
        </w:rPr>
      </w:pPr>
      <w:bookmarkStart w:id="1630" w:name="_Toc152264680"/>
      <w:bookmarkStart w:id="1631" w:name="_Toc256000321"/>
      <w:r>
        <w:rPr>
          <w:b/>
        </w:rPr>
        <w:t>7.3 开工</w:t>
      </w:r>
      <w:bookmarkEnd w:id="1630"/>
      <w:bookmarkEnd w:id="1631"/>
    </w:p>
    <w:p w14:paraId="65339344">
      <w:pPr>
        <w:spacing w:line="360" w:lineRule="auto"/>
        <w:ind w:firstLine="420" w:firstLineChars="200"/>
      </w:pPr>
      <w:r>
        <w:t>7.3.1 开工准备</w:t>
      </w:r>
    </w:p>
    <w:p w14:paraId="0C27F035">
      <w:pPr>
        <w:spacing w:line="360" w:lineRule="auto"/>
        <w:ind w:firstLine="420" w:firstLineChars="200"/>
      </w:pPr>
      <w:r>
        <w:t>关于承包人提交工程开工报审表的期限：</w:t>
      </w:r>
    </w:p>
    <w:p w14:paraId="0479B1D0">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D3A7308">
      <w:pPr>
        <w:spacing w:line="360" w:lineRule="auto"/>
        <w:ind w:firstLine="420" w:firstLineChars="200"/>
      </w:pPr>
      <w:r>
        <w:t>关于发包人应完成的其他开工准备工作及期限：</w:t>
      </w:r>
    </w:p>
    <w:p w14:paraId="1D65779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553F51F">
      <w:pPr>
        <w:spacing w:line="360" w:lineRule="auto"/>
        <w:ind w:firstLine="420" w:firstLineChars="200"/>
      </w:pPr>
      <w:r>
        <w:t>关于承包人应完成的其他开工准备工作及期限：</w:t>
      </w:r>
    </w:p>
    <w:p w14:paraId="4E4D70C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792EE9A">
      <w:pPr>
        <w:spacing w:line="360" w:lineRule="auto"/>
        <w:ind w:firstLine="420" w:firstLineChars="200"/>
      </w:pPr>
      <w:r>
        <w:t>7.3.2开工通知</w:t>
      </w:r>
    </w:p>
    <w:p w14:paraId="1B992936">
      <w:pPr>
        <w:spacing w:line="360" w:lineRule="auto"/>
        <w:ind w:firstLine="420" w:firstLineChars="200"/>
      </w:pPr>
      <w:r>
        <w:t>因发包人原因造成监理人未能在计划开工日期之日起</w:t>
      </w:r>
      <w:r>
        <w:rPr>
          <w:u w:val="single"/>
        </w:rPr>
        <w:t xml:space="preserve">     </w:t>
      </w:r>
      <w:r>
        <w:t>天内发出开工通知的，承包人有权提出价格调整要求，或者解除合同。</w:t>
      </w:r>
    </w:p>
    <w:bookmarkEnd w:id="1623"/>
    <w:bookmarkEnd w:id="1624"/>
    <w:bookmarkEnd w:id="1625"/>
    <w:bookmarkEnd w:id="1626"/>
    <w:bookmarkEnd w:id="1627"/>
    <w:bookmarkEnd w:id="1628"/>
    <w:bookmarkEnd w:id="1629"/>
    <w:p w14:paraId="30A273B6">
      <w:pPr>
        <w:pStyle w:val="25"/>
        <w:spacing w:line="360" w:lineRule="auto"/>
        <w:ind w:firstLine="482" w:firstLineChars="200"/>
        <w:rPr>
          <w:b/>
        </w:rPr>
      </w:pPr>
      <w:bookmarkStart w:id="1632" w:name="_Toc152264681"/>
      <w:bookmarkStart w:id="1633" w:name="_Toc256000322"/>
      <w:r>
        <w:rPr>
          <w:b/>
        </w:rPr>
        <w:t>7.4 测量放线</w:t>
      </w:r>
      <w:bookmarkEnd w:id="1632"/>
      <w:bookmarkEnd w:id="1633"/>
    </w:p>
    <w:p w14:paraId="36E9F989">
      <w:pPr>
        <w:spacing w:line="360" w:lineRule="auto"/>
        <w:ind w:firstLine="420" w:firstLineChars="200"/>
      </w:pPr>
      <w:r>
        <w:t>7.4.1发包人通过监理人向承包人提供测量基准点、基准线和水准点及其书面资料的期限：</w:t>
      </w:r>
    </w:p>
    <w:p w14:paraId="731C61C0">
      <w:pPr>
        <w:spacing w:line="360" w:lineRule="auto"/>
        <w:ind w:firstLine="420" w:firstLineChars="200"/>
      </w:pPr>
      <w:r>
        <w:rPr>
          <w:u w:val="single"/>
        </w:rPr>
        <w:t xml:space="preserve">               </w:t>
      </w:r>
      <w:r>
        <w:rPr>
          <w:rFonts w:hint="eastAsia"/>
          <w:u w:val="single"/>
        </w:rPr>
        <w:t xml:space="preserve">                                                   </w:t>
      </w:r>
      <w:r>
        <w:t>。</w:t>
      </w:r>
    </w:p>
    <w:p w14:paraId="757D8370">
      <w:pPr>
        <w:pStyle w:val="25"/>
        <w:spacing w:line="360" w:lineRule="auto"/>
        <w:ind w:firstLine="482" w:firstLineChars="200"/>
        <w:rPr>
          <w:b/>
        </w:rPr>
      </w:pPr>
      <w:bookmarkStart w:id="1634" w:name="_Toc152264682"/>
      <w:bookmarkStart w:id="1635" w:name="_Toc256000323"/>
      <w:r>
        <w:rPr>
          <w:b/>
        </w:rPr>
        <w:t>7</w:t>
      </w:r>
      <w:bookmarkStart w:id="1636" w:name="_Toc297216175"/>
      <w:bookmarkStart w:id="1637" w:name="_Toc304295546"/>
      <w:bookmarkStart w:id="1638" w:name="_Toc312677484"/>
      <w:bookmarkStart w:id="1639" w:name="_Toc297123516"/>
      <w:bookmarkStart w:id="1640" w:name="_Toc312678010"/>
      <w:bookmarkStart w:id="1641" w:name="_Toc300934968"/>
      <w:bookmarkStart w:id="1642" w:name="_Toc303539125"/>
      <w:r>
        <w:rPr>
          <w:b/>
        </w:rPr>
        <w:t>.5 工期延误</w:t>
      </w:r>
      <w:bookmarkEnd w:id="1634"/>
      <w:bookmarkEnd w:id="1635"/>
      <w:r>
        <w:rPr>
          <w:rFonts w:hint="eastAsia"/>
          <w:b/>
        </w:rPr>
        <w:t xml:space="preserve">              </w:t>
      </w:r>
    </w:p>
    <w:bookmarkEnd w:id="1636"/>
    <w:bookmarkEnd w:id="1637"/>
    <w:bookmarkEnd w:id="1638"/>
    <w:bookmarkEnd w:id="1639"/>
    <w:bookmarkEnd w:id="1640"/>
    <w:bookmarkEnd w:id="1641"/>
    <w:bookmarkEnd w:id="1642"/>
    <w:p w14:paraId="3668BA3F">
      <w:pPr>
        <w:spacing w:line="360" w:lineRule="auto"/>
        <w:ind w:firstLine="420" w:firstLineChars="200"/>
      </w:pPr>
      <w:r>
        <w:t>7.5.1 因发包人原因导致工期延误</w:t>
      </w:r>
    </w:p>
    <w:p w14:paraId="7D351F6B">
      <w:pPr>
        <w:spacing w:line="360" w:lineRule="auto"/>
        <w:ind w:firstLine="420" w:firstLineChars="200"/>
      </w:pPr>
      <w:r>
        <w:t>（7）因发包人原因导致工期延误的其他情形：</w:t>
      </w:r>
    </w:p>
    <w:p w14:paraId="770B2CB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B8FEC75">
      <w:pPr>
        <w:spacing w:line="360" w:lineRule="auto"/>
        <w:ind w:firstLine="420" w:firstLineChars="200"/>
      </w:pPr>
      <w:r>
        <w:t>7</w:t>
      </w:r>
      <w:bookmarkStart w:id="1643" w:name="_Toc312678012"/>
      <w:bookmarkStart w:id="1644" w:name="_Toc312677486"/>
      <w:bookmarkStart w:id="1645" w:name="_Toc318581169"/>
      <w:bookmarkStart w:id="1646" w:name="_Toc300934970"/>
      <w:bookmarkStart w:id="1647" w:name="_Toc304295548"/>
      <w:bookmarkStart w:id="1648" w:name="_Toc303539127"/>
      <w:bookmarkStart w:id="1649" w:name="_Toc297123518"/>
      <w:bookmarkStart w:id="1650" w:name="_Toc297216177"/>
      <w:r>
        <w:t>.5.2 因承包人原因导致工期延误</w:t>
      </w:r>
    </w:p>
    <w:bookmarkEnd w:id="1643"/>
    <w:bookmarkEnd w:id="1644"/>
    <w:bookmarkEnd w:id="1645"/>
    <w:p w14:paraId="5E8EA870">
      <w:pPr>
        <w:spacing w:line="360" w:lineRule="auto"/>
        <w:ind w:firstLine="420" w:firstLineChars="200"/>
      </w:pPr>
      <w:r>
        <w:t>因</w:t>
      </w:r>
      <w:bookmarkStart w:id="1651" w:name="_Toc312678013"/>
      <w:bookmarkStart w:id="1652" w:name="_Toc312677487"/>
      <w:bookmarkStart w:id="1653" w:name="_Toc318581170"/>
      <w:r>
        <w:t>承包人原因造成工期延误，逾期竣工违约金的计算方法为：</w:t>
      </w:r>
    </w:p>
    <w:bookmarkEnd w:id="1646"/>
    <w:bookmarkEnd w:id="1647"/>
    <w:bookmarkEnd w:id="1648"/>
    <w:bookmarkEnd w:id="1649"/>
    <w:bookmarkEnd w:id="1650"/>
    <w:bookmarkEnd w:id="1651"/>
    <w:bookmarkEnd w:id="1652"/>
    <w:bookmarkEnd w:id="1653"/>
    <w:p w14:paraId="3FF86D5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FFD3AA1">
      <w:pPr>
        <w:spacing w:line="360" w:lineRule="auto"/>
        <w:ind w:firstLine="420" w:firstLineChars="200"/>
      </w:pPr>
      <w:r>
        <w:t>因承包人原因造成工期延误，逾</w:t>
      </w:r>
      <w:bookmarkStart w:id="1654" w:name="_Toc318581171"/>
      <w:bookmarkStart w:id="1655" w:name="_Toc312678014"/>
      <w:r>
        <w:t xml:space="preserve">期竣工违约金的上限：       </w:t>
      </w:r>
    </w:p>
    <w:p w14:paraId="472DA792">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654"/>
    <w:bookmarkEnd w:id="1655"/>
    <w:p w14:paraId="728B2CE9">
      <w:pPr>
        <w:pStyle w:val="25"/>
        <w:spacing w:line="360" w:lineRule="auto"/>
        <w:ind w:firstLine="482" w:firstLineChars="200"/>
        <w:rPr>
          <w:b/>
        </w:rPr>
      </w:pPr>
      <w:bookmarkStart w:id="1656" w:name="_Toc256000324"/>
      <w:bookmarkStart w:id="1657" w:name="_Toc152264683"/>
      <w:r>
        <w:rPr>
          <w:b/>
        </w:rPr>
        <w:t>7</w:t>
      </w:r>
      <w:bookmarkStart w:id="1658" w:name="_Toc300934971"/>
      <w:bookmarkStart w:id="1659" w:name="_Toc312678015"/>
      <w:bookmarkStart w:id="1660" w:name="_Toc297123519"/>
      <w:bookmarkStart w:id="1661" w:name="_Toc297216178"/>
      <w:bookmarkStart w:id="1662" w:name="_Toc304295549"/>
      <w:bookmarkStart w:id="1663" w:name="_Toc303539128"/>
      <w:r>
        <w:rPr>
          <w:b/>
        </w:rPr>
        <w:t>.6 不</w:t>
      </w:r>
      <w:bookmarkEnd w:id="1658"/>
      <w:bookmarkEnd w:id="1659"/>
      <w:bookmarkEnd w:id="1660"/>
      <w:bookmarkEnd w:id="1661"/>
      <w:bookmarkEnd w:id="1662"/>
      <w:bookmarkEnd w:id="1663"/>
      <w:r>
        <w:rPr>
          <w:b/>
        </w:rPr>
        <w:t>利物质条件</w:t>
      </w:r>
      <w:bookmarkEnd w:id="1656"/>
      <w:bookmarkEnd w:id="1657"/>
    </w:p>
    <w:p w14:paraId="6C183ABE">
      <w:pPr>
        <w:spacing w:line="360" w:lineRule="auto"/>
        <w:ind w:firstLine="420" w:firstLineChars="200"/>
      </w:pPr>
      <w:bookmarkStart w:id="1664" w:name="_Toc297216179"/>
      <w:bookmarkStart w:id="1665" w:name="_Toc303539129"/>
      <w:bookmarkStart w:id="1666" w:name="_Toc297123520"/>
      <w:bookmarkStart w:id="1667" w:name="_Toc312678016"/>
      <w:bookmarkStart w:id="1668" w:name="_Toc304295550"/>
      <w:bookmarkStart w:id="1669" w:name="_Toc300934972"/>
      <w:bookmarkStart w:id="1670" w:name="_Toc318581172"/>
      <w:r>
        <w:t>不利物质条件的其他情形和有关约定：</w:t>
      </w:r>
    </w:p>
    <w:p w14:paraId="070BB6CD">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664"/>
    <w:bookmarkEnd w:id="1665"/>
    <w:bookmarkEnd w:id="1666"/>
    <w:bookmarkEnd w:id="1667"/>
    <w:bookmarkEnd w:id="1668"/>
    <w:bookmarkEnd w:id="1669"/>
    <w:bookmarkEnd w:id="1670"/>
    <w:p w14:paraId="0A6AA05E">
      <w:pPr>
        <w:pStyle w:val="25"/>
        <w:spacing w:line="360" w:lineRule="auto"/>
        <w:ind w:firstLine="482" w:firstLineChars="200"/>
        <w:rPr>
          <w:b/>
        </w:rPr>
      </w:pPr>
      <w:bookmarkStart w:id="1671" w:name="_Toc152264684"/>
      <w:bookmarkStart w:id="1672" w:name="_Toc256000325"/>
      <w:r>
        <w:rPr>
          <w:b/>
        </w:rPr>
        <w:t>7</w:t>
      </w:r>
      <w:bookmarkStart w:id="1673" w:name="_Toc303539130"/>
      <w:bookmarkStart w:id="1674" w:name="_Toc312678017"/>
      <w:bookmarkStart w:id="1675" w:name="_Toc297216180"/>
      <w:bookmarkStart w:id="1676" w:name="_Toc304295551"/>
      <w:bookmarkStart w:id="1677" w:name="_Toc300934973"/>
      <w:bookmarkStart w:id="1678" w:name="_Toc297123521"/>
      <w:r>
        <w:rPr>
          <w:b/>
        </w:rPr>
        <w:t>.7异常恶劣的气候条件</w:t>
      </w:r>
      <w:bookmarkEnd w:id="1671"/>
      <w:bookmarkEnd w:id="1672"/>
    </w:p>
    <w:bookmarkEnd w:id="1673"/>
    <w:bookmarkEnd w:id="1674"/>
    <w:bookmarkEnd w:id="1675"/>
    <w:bookmarkEnd w:id="1676"/>
    <w:bookmarkEnd w:id="1677"/>
    <w:bookmarkEnd w:id="1678"/>
    <w:p w14:paraId="3B1B474A">
      <w:pPr>
        <w:spacing w:line="360" w:lineRule="auto"/>
        <w:ind w:firstLine="420" w:firstLineChars="200"/>
      </w:pPr>
      <w:r>
        <w:t>发包人和承包人同意以下情形视为异常恶劣的气候条件：</w:t>
      </w:r>
    </w:p>
    <w:p w14:paraId="17819085">
      <w:pPr>
        <w:spacing w:line="360" w:lineRule="auto"/>
        <w:ind w:firstLine="420" w:firstLineChars="200"/>
      </w:pPr>
      <w:r>
        <w:t>（1）</w:t>
      </w:r>
      <w:r>
        <w:rPr>
          <w:u w:val="single"/>
        </w:rPr>
        <w:t xml:space="preserve">                                           </w:t>
      </w:r>
      <w:r>
        <w:t>；</w:t>
      </w:r>
    </w:p>
    <w:p w14:paraId="7415AB57">
      <w:pPr>
        <w:spacing w:line="360" w:lineRule="auto"/>
        <w:ind w:firstLine="420" w:firstLineChars="200"/>
      </w:pPr>
      <w:r>
        <w:t>（2）</w:t>
      </w:r>
      <w:r>
        <w:rPr>
          <w:u w:val="single"/>
        </w:rPr>
        <w:t xml:space="preserve">                                           </w:t>
      </w:r>
      <w:r>
        <w:t>；</w:t>
      </w:r>
    </w:p>
    <w:p w14:paraId="6C2546A2">
      <w:pPr>
        <w:spacing w:line="360" w:lineRule="auto"/>
        <w:ind w:firstLine="420" w:firstLineChars="200"/>
      </w:pPr>
      <w:r>
        <w:t>（3）</w:t>
      </w:r>
      <w:r>
        <w:rPr>
          <w:u w:val="single"/>
        </w:rPr>
        <w:t xml:space="preserve">                                           </w:t>
      </w:r>
      <w:r>
        <w:t>。</w:t>
      </w:r>
    </w:p>
    <w:p w14:paraId="14023536">
      <w:pPr>
        <w:pStyle w:val="25"/>
        <w:spacing w:line="360" w:lineRule="auto"/>
        <w:ind w:firstLine="482" w:firstLineChars="200"/>
        <w:rPr>
          <w:b/>
        </w:rPr>
      </w:pPr>
      <w:bookmarkStart w:id="1679" w:name="_Toc152264685"/>
      <w:bookmarkStart w:id="1680" w:name="_Toc256000326"/>
      <w:r>
        <w:rPr>
          <w:b/>
        </w:rPr>
        <w:t>7.9 提前竣工的奖励</w:t>
      </w:r>
      <w:bookmarkEnd w:id="1679"/>
      <w:bookmarkEnd w:id="1680"/>
    </w:p>
    <w:p w14:paraId="584C79D6">
      <w:pPr>
        <w:spacing w:line="360" w:lineRule="auto"/>
        <w:ind w:firstLine="420" w:firstLineChars="200"/>
      </w:pPr>
      <w:r>
        <w:t>7.9.2提前竣工的奖励：</w:t>
      </w:r>
    </w:p>
    <w:p w14:paraId="3EECB370">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C52699C">
      <w:pPr>
        <w:pStyle w:val="23"/>
        <w:spacing w:before="0" w:line="360" w:lineRule="auto"/>
        <w:ind w:firstLine="562" w:firstLineChars="200"/>
        <w:rPr>
          <w:b/>
        </w:rPr>
      </w:pPr>
      <w:bookmarkStart w:id="1681" w:name="_Toc256000327"/>
      <w:bookmarkStart w:id="1682" w:name="_Toc152264686"/>
      <w:bookmarkStart w:id="1683" w:name="_Toc351203640"/>
      <w:r>
        <w:rPr>
          <w:b/>
        </w:rPr>
        <w:t>8. 材料与设备</w:t>
      </w:r>
      <w:bookmarkEnd w:id="1681"/>
      <w:bookmarkEnd w:id="1682"/>
      <w:bookmarkEnd w:id="1683"/>
    </w:p>
    <w:bookmarkEnd w:id="1590"/>
    <w:bookmarkEnd w:id="1591"/>
    <w:bookmarkEnd w:id="1592"/>
    <w:bookmarkEnd w:id="1593"/>
    <w:bookmarkEnd w:id="1594"/>
    <w:bookmarkEnd w:id="1595"/>
    <w:bookmarkEnd w:id="1596"/>
    <w:bookmarkEnd w:id="1597"/>
    <w:bookmarkEnd w:id="1598"/>
    <w:bookmarkEnd w:id="1599"/>
    <w:p w14:paraId="4ACAB0D7">
      <w:pPr>
        <w:pStyle w:val="25"/>
        <w:spacing w:line="360" w:lineRule="auto"/>
        <w:ind w:firstLine="482" w:firstLineChars="200"/>
        <w:rPr>
          <w:b/>
        </w:rPr>
      </w:pPr>
      <w:bookmarkStart w:id="1684" w:name="_Toc256000328"/>
      <w:bookmarkStart w:id="1685" w:name="_Toc152264687"/>
      <w:r>
        <w:rPr>
          <w:b/>
        </w:rPr>
        <w:t>8</w:t>
      </w:r>
      <w:bookmarkStart w:id="1686" w:name="_Toc292559372"/>
      <w:bookmarkStart w:id="1687" w:name="_Toc296347166"/>
      <w:bookmarkStart w:id="1688" w:name="_Toc296346668"/>
      <w:bookmarkStart w:id="1689" w:name="_Toc297123527"/>
      <w:bookmarkStart w:id="1690" w:name="_Toc280868654"/>
      <w:bookmarkStart w:id="1691" w:name="_Toc296944506"/>
      <w:bookmarkStart w:id="1692" w:name="_Toc296890995"/>
      <w:bookmarkStart w:id="1693" w:name="_Toc297216186"/>
      <w:bookmarkStart w:id="1694" w:name="_Toc296503167"/>
      <w:bookmarkStart w:id="1695" w:name="_Toc292559877"/>
      <w:bookmarkStart w:id="1696" w:name="_Toc312678019"/>
      <w:bookmarkStart w:id="1697" w:name="_Toc296891207"/>
      <w:bookmarkStart w:id="1698" w:name="_Toc297048353"/>
      <w:bookmarkStart w:id="1699" w:name="_Toc304295556"/>
      <w:bookmarkStart w:id="1700" w:name="_Toc300934979"/>
      <w:bookmarkStart w:id="1701" w:name="_Toc297120467"/>
      <w:bookmarkStart w:id="1702" w:name="_Toc312677493"/>
      <w:bookmarkStart w:id="1703" w:name="_Toc303539136"/>
      <w:bookmarkStart w:id="1704" w:name="_Toc280868656"/>
      <w:bookmarkStart w:id="1705" w:name="_Toc267251424"/>
      <w:bookmarkStart w:id="1706" w:name="_Toc280868655"/>
      <w:r>
        <w:rPr>
          <w:b/>
        </w:rPr>
        <w:t>.4材料与工程设备的保管与使用</w:t>
      </w:r>
      <w:bookmarkEnd w:id="1684"/>
      <w:bookmarkEnd w:id="1685"/>
    </w:p>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14:paraId="1001AD5F">
      <w:pPr>
        <w:spacing w:line="360" w:lineRule="auto"/>
        <w:ind w:firstLine="420" w:firstLineChars="200"/>
      </w:pPr>
      <w:r>
        <w:t>8</w:t>
      </w:r>
      <w:bookmarkStart w:id="1707" w:name="_Toc292559878"/>
      <w:bookmarkStart w:id="1708" w:name="_Toc292559373"/>
      <w:bookmarkStart w:id="1709" w:name="_Toc300934980"/>
      <w:bookmarkStart w:id="1710" w:name="_Toc296347167"/>
      <w:bookmarkStart w:id="1711" w:name="_Toc297120468"/>
      <w:bookmarkStart w:id="1712" w:name="_Toc312677494"/>
      <w:bookmarkStart w:id="1713" w:name="_Toc303539137"/>
      <w:bookmarkStart w:id="1714" w:name="_Toc296346669"/>
      <w:bookmarkStart w:id="1715" w:name="_Toc297216187"/>
      <w:bookmarkStart w:id="1716" w:name="_Toc296891208"/>
      <w:bookmarkStart w:id="1717" w:name="_Toc296503168"/>
      <w:bookmarkStart w:id="1718" w:name="_Toc296944507"/>
      <w:bookmarkStart w:id="1719" w:name="_Toc318581173"/>
      <w:bookmarkStart w:id="1720" w:name="_Toc297123528"/>
      <w:bookmarkStart w:id="1721" w:name="_Toc304295557"/>
      <w:bookmarkStart w:id="1722" w:name="_Toc297048354"/>
      <w:bookmarkStart w:id="1723" w:name="_Toc296890996"/>
      <w:bookmarkStart w:id="1724" w:name="_Toc312678020"/>
      <w:r>
        <w:t>.4.1发包人供应的材料设备的保管费用的承担：</w:t>
      </w:r>
    </w:p>
    <w:bookmarkEnd w:id="1707"/>
    <w:bookmarkEnd w:id="1708"/>
    <w:p w14:paraId="66A85B2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A3799B9">
      <w:pPr>
        <w:pStyle w:val="25"/>
        <w:spacing w:line="360" w:lineRule="auto"/>
        <w:ind w:firstLine="482" w:firstLineChars="200"/>
        <w:rPr>
          <w:b/>
        </w:rPr>
      </w:pPr>
      <w:bookmarkStart w:id="1725" w:name="_Toc256000329"/>
      <w:bookmarkStart w:id="1726" w:name="_Toc152264688"/>
      <w:r>
        <w:rPr>
          <w:b/>
        </w:rPr>
        <w:t>8.6 样品</w:t>
      </w:r>
      <w:bookmarkEnd w:id="1725"/>
      <w:bookmarkEnd w:id="1726"/>
    </w:p>
    <w:p w14:paraId="0AABE93C">
      <w:pPr>
        <w:spacing w:line="360" w:lineRule="auto"/>
        <w:ind w:firstLine="420" w:firstLineChars="200"/>
      </w:pPr>
      <w:r>
        <w:t>8.6.1样品的报送</w:t>
      </w:r>
      <w:r>
        <w:rPr>
          <w:rFonts w:hint="eastAsia"/>
        </w:rPr>
        <w:t>与封存</w:t>
      </w:r>
    </w:p>
    <w:p w14:paraId="16C90FED">
      <w:pPr>
        <w:spacing w:line="360" w:lineRule="auto"/>
        <w:ind w:firstLine="420" w:firstLineChars="200"/>
      </w:pPr>
      <w:r>
        <w:t>需要承包人报送样品的材料或工程设备，样品的种类、名称、规格、数量要求：</w:t>
      </w:r>
    </w:p>
    <w:p w14:paraId="14197FB8">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CA4235A">
      <w:pPr>
        <w:pStyle w:val="25"/>
        <w:spacing w:line="360" w:lineRule="auto"/>
        <w:ind w:firstLine="482" w:firstLineChars="200"/>
      </w:pPr>
      <w:bookmarkStart w:id="1727" w:name="_Toc152264689"/>
      <w:bookmarkStart w:id="1728" w:name="_Toc256000330"/>
      <w:r>
        <w:rPr>
          <w:b/>
        </w:rPr>
        <w:t>8.8 施工设备和临时设施</w:t>
      </w:r>
      <w:bookmarkEnd w:id="1727"/>
      <w:bookmarkEnd w:id="1728"/>
    </w:p>
    <w:p w14:paraId="31821BF3">
      <w:pPr>
        <w:spacing w:line="360" w:lineRule="auto"/>
        <w:ind w:firstLine="420" w:firstLineChars="200"/>
      </w:pPr>
      <w:r>
        <w:t>8.8.1 承包人提供的施工设备和临时设施</w:t>
      </w:r>
    </w:p>
    <w:p w14:paraId="37E3E997">
      <w:pPr>
        <w:spacing w:line="360" w:lineRule="auto"/>
        <w:ind w:firstLine="420" w:firstLineChars="200"/>
      </w:pPr>
      <w:r>
        <w:t>关于修建临时设施费用承担的约定：</w:t>
      </w:r>
    </w:p>
    <w:p w14:paraId="1F059C1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14:paraId="07B48459">
      <w:pPr>
        <w:pStyle w:val="23"/>
        <w:spacing w:before="0" w:line="360" w:lineRule="auto"/>
        <w:ind w:firstLine="562" w:firstLineChars="200"/>
        <w:rPr>
          <w:b/>
        </w:rPr>
      </w:pPr>
      <w:bookmarkStart w:id="1729" w:name="_Toc152264690"/>
      <w:bookmarkStart w:id="1730" w:name="_Toc256000331"/>
      <w:bookmarkStart w:id="1731" w:name="_Toc351203641"/>
      <w:r>
        <w:rPr>
          <w:b/>
        </w:rPr>
        <w:t>9</w:t>
      </w:r>
      <w:bookmarkEnd w:id="1704"/>
      <w:bookmarkEnd w:id="1705"/>
      <w:bookmarkEnd w:id="1706"/>
      <w:bookmarkStart w:id="1732" w:name="_Toc312678021"/>
      <w:bookmarkStart w:id="1733" w:name="_Toc297123533"/>
      <w:bookmarkStart w:id="1734" w:name="_Toc300934982"/>
      <w:bookmarkStart w:id="1735" w:name="_Toc303539139"/>
      <w:bookmarkStart w:id="1736" w:name="_Toc297216192"/>
      <w:bookmarkStart w:id="1737" w:name="_Toc304295559"/>
      <w:bookmarkStart w:id="1738" w:name="_Toc312677495"/>
      <w:bookmarkStart w:id="1739" w:name="_Toc296944512"/>
      <w:bookmarkStart w:id="1740" w:name="_Toc267251428"/>
      <w:bookmarkStart w:id="1741" w:name="_Toc297120473"/>
      <w:bookmarkStart w:id="1742" w:name="_Toc292559883"/>
      <w:bookmarkStart w:id="1743" w:name="_Toc296503173"/>
      <w:bookmarkStart w:id="1744" w:name="_Toc267251427"/>
      <w:bookmarkStart w:id="1745" w:name="_Toc296891001"/>
      <w:bookmarkStart w:id="1746" w:name="_Toc296346674"/>
      <w:bookmarkStart w:id="1747" w:name="_Toc297048359"/>
      <w:bookmarkStart w:id="1748" w:name="_Toc292559378"/>
      <w:bookmarkStart w:id="1749" w:name="_Toc296891213"/>
      <w:bookmarkStart w:id="1750" w:name="_Toc296347172"/>
      <w:r>
        <w:rPr>
          <w:b/>
        </w:rPr>
        <w:t>. 试验与检验</w:t>
      </w:r>
      <w:bookmarkEnd w:id="1729"/>
      <w:bookmarkEnd w:id="1730"/>
      <w:bookmarkEnd w:id="1731"/>
    </w:p>
    <w:bookmarkEnd w:id="1732"/>
    <w:bookmarkEnd w:id="1733"/>
    <w:bookmarkEnd w:id="1734"/>
    <w:bookmarkEnd w:id="1735"/>
    <w:bookmarkEnd w:id="1736"/>
    <w:bookmarkEnd w:id="1737"/>
    <w:bookmarkEnd w:id="1738"/>
    <w:p w14:paraId="21872546">
      <w:pPr>
        <w:pStyle w:val="25"/>
        <w:spacing w:line="360" w:lineRule="auto"/>
        <w:ind w:firstLine="482" w:firstLineChars="200"/>
        <w:rPr>
          <w:b/>
        </w:rPr>
      </w:pPr>
      <w:bookmarkStart w:id="1751" w:name="_Toc256000332"/>
      <w:bookmarkStart w:id="1752" w:name="_Toc152264691"/>
      <w:r>
        <w:rPr>
          <w:b/>
        </w:rPr>
        <w:t>9</w:t>
      </w:r>
      <w:bookmarkStart w:id="1753" w:name="_Toc312677496"/>
      <w:bookmarkStart w:id="1754" w:name="_Toc303539140"/>
      <w:bookmarkStart w:id="1755" w:name="_Toc312678022"/>
      <w:bookmarkStart w:id="1756" w:name="_Toc304295560"/>
      <w:bookmarkStart w:id="1757" w:name="_Toc300934983"/>
      <w:bookmarkStart w:id="1758" w:name="_Toc297216193"/>
      <w:bookmarkStart w:id="1759" w:name="_Toc297123534"/>
      <w:r>
        <w:rPr>
          <w:b/>
        </w:rPr>
        <w:t>.1试验设备与试验人员</w:t>
      </w:r>
      <w:bookmarkEnd w:id="1751"/>
      <w:bookmarkEnd w:id="1752"/>
    </w:p>
    <w:bookmarkEnd w:id="1753"/>
    <w:bookmarkEnd w:id="1754"/>
    <w:bookmarkEnd w:id="1755"/>
    <w:bookmarkEnd w:id="1756"/>
    <w:bookmarkEnd w:id="1757"/>
    <w:bookmarkEnd w:id="1758"/>
    <w:bookmarkEnd w:id="1759"/>
    <w:p w14:paraId="1C467B68">
      <w:pPr>
        <w:spacing w:line="360" w:lineRule="auto"/>
        <w:ind w:firstLine="420" w:firstLineChars="200"/>
      </w:pPr>
      <w:r>
        <w:t>9</w:t>
      </w:r>
      <w:bookmarkStart w:id="1760" w:name="_Toc297123535"/>
      <w:bookmarkStart w:id="1761" w:name="_Toc312678023"/>
      <w:bookmarkStart w:id="1762" w:name="_Toc300934984"/>
      <w:bookmarkStart w:id="1763" w:name="_Toc312677497"/>
      <w:bookmarkStart w:id="1764" w:name="_Toc304295561"/>
      <w:bookmarkStart w:id="1765" w:name="_Toc303539141"/>
      <w:bookmarkStart w:id="1766" w:name="_Toc297216194"/>
      <w:bookmarkStart w:id="1767" w:name="_Toc318581174"/>
      <w:r>
        <w:t>.1.2 试验设备</w:t>
      </w:r>
    </w:p>
    <w:p w14:paraId="3CBE6219">
      <w:pPr>
        <w:spacing w:line="360" w:lineRule="auto"/>
        <w:ind w:firstLine="420" w:firstLineChars="200"/>
      </w:pPr>
      <w:r>
        <w:t>施工现场需要配置的试验场所：</w:t>
      </w:r>
      <w:bookmarkEnd w:id="1760"/>
      <w:bookmarkEnd w:id="1761"/>
      <w:bookmarkEnd w:id="1762"/>
      <w:bookmarkEnd w:id="1763"/>
      <w:bookmarkEnd w:id="1764"/>
      <w:bookmarkEnd w:id="1765"/>
      <w:bookmarkEnd w:id="1766"/>
      <w:bookmarkStart w:id="1768" w:name="_Toc300934985"/>
      <w:bookmarkStart w:id="1769" w:name="_Toc297123536"/>
      <w:bookmarkStart w:id="1770" w:name="_Toc312677498"/>
      <w:bookmarkStart w:id="1771" w:name="_Toc297216195"/>
      <w:bookmarkStart w:id="1772" w:name="_Toc304295562"/>
      <w:bookmarkStart w:id="1773" w:name="_Toc312678024"/>
      <w:bookmarkStart w:id="1774" w:name="_Toc303539142"/>
    </w:p>
    <w:p w14:paraId="7AEBC92D">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5A36ADF">
      <w:pPr>
        <w:spacing w:line="360" w:lineRule="auto"/>
        <w:ind w:firstLine="420" w:firstLineChars="200"/>
      </w:pPr>
      <w:r>
        <w:t>施工现场需要配备的试验设备：</w:t>
      </w:r>
    </w:p>
    <w:p w14:paraId="7262640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913C8D1">
      <w:pPr>
        <w:spacing w:line="360" w:lineRule="auto"/>
        <w:ind w:firstLine="420" w:firstLineChars="200"/>
      </w:pPr>
      <w:r>
        <w:t>施工现场需要具备的其他试验条件：</w:t>
      </w:r>
    </w:p>
    <w:p w14:paraId="6CE0E17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FA89D2F">
      <w:pPr>
        <w:pStyle w:val="25"/>
        <w:spacing w:line="360" w:lineRule="auto"/>
        <w:ind w:firstLine="482" w:firstLineChars="200"/>
        <w:rPr>
          <w:b/>
        </w:rPr>
      </w:pPr>
      <w:bookmarkStart w:id="1775" w:name="_Toc256000333"/>
      <w:bookmarkStart w:id="1776" w:name="_Toc152264692"/>
      <w:r>
        <w:rPr>
          <w:b/>
        </w:rPr>
        <w:t>9.4 现场工艺试验</w:t>
      </w:r>
      <w:bookmarkEnd w:id="1775"/>
      <w:bookmarkEnd w:id="1776"/>
      <w:r>
        <w:rPr>
          <w:rFonts w:hint="eastAsia"/>
          <w:b/>
        </w:rPr>
        <w:t xml:space="preserve"> </w:t>
      </w:r>
    </w:p>
    <w:p w14:paraId="6D478FEA">
      <w:pPr>
        <w:spacing w:line="360" w:lineRule="auto"/>
        <w:ind w:firstLine="420" w:firstLineChars="200"/>
      </w:pPr>
      <w:r>
        <w:t>现场工艺试验的有关约定：</w:t>
      </w:r>
    </w:p>
    <w:p w14:paraId="561BF25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767"/>
    <w:bookmarkEnd w:id="1768"/>
    <w:bookmarkEnd w:id="1769"/>
    <w:bookmarkEnd w:id="1770"/>
    <w:bookmarkEnd w:id="1771"/>
    <w:bookmarkEnd w:id="1772"/>
    <w:bookmarkEnd w:id="1773"/>
    <w:bookmarkEnd w:id="1774"/>
    <w:p w14:paraId="710117C9">
      <w:pPr>
        <w:pStyle w:val="23"/>
        <w:spacing w:before="0" w:line="360" w:lineRule="auto"/>
        <w:ind w:firstLine="562" w:firstLineChars="200"/>
        <w:rPr>
          <w:b/>
        </w:rPr>
      </w:pPr>
      <w:bookmarkStart w:id="1777" w:name="_Toc152264693"/>
      <w:bookmarkStart w:id="1778" w:name="_Toc351203642"/>
      <w:bookmarkStart w:id="1779" w:name="_Toc256000334"/>
      <w:r>
        <w:rPr>
          <w:b/>
        </w:rPr>
        <w:t>1</w:t>
      </w:r>
      <w:bookmarkEnd w:id="1739"/>
      <w:bookmarkEnd w:id="1740"/>
      <w:bookmarkEnd w:id="1741"/>
      <w:bookmarkEnd w:id="1742"/>
      <w:bookmarkEnd w:id="1743"/>
      <w:bookmarkEnd w:id="1744"/>
      <w:bookmarkEnd w:id="1745"/>
      <w:bookmarkEnd w:id="1746"/>
      <w:bookmarkEnd w:id="1747"/>
      <w:bookmarkEnd w:id="1748"/>
      <w:bookmarkEnd w:id="1749"/>
      <w:bookmarkEnd w:id="1750"/>
      <w:bookmarkStart w:id="1780" w:name="_Toc292559903"/>
      <w:bookmarkStart w:id="1781" w:name="_Toc296891021"/>
      <w:bookmarkStart w:id="1782" w:name="_Toc292559398"/>
      <w:bookmarkStart w:id="1783" w:name="_Toc296347192"/>
      <w:bookmarkStart w:id="1784" w:name="_Toc300934989"/>
      <w:bookmarkStart w:id="1785" w:name="_Toc296503193"/>
      <w:bookmarkStart w:id="1786" w:name="_Toc297216199"/>
      <w:bookmarkStart w:id="1787" w:name="_Toc297123540"/>
      <w:bookmarkStart w:id="1788" w:name="_Toc296944532"/>
      <w:bookmarkStart w:id="1789" w:name="_Toc304295566"/>
      <w:bookmarkStart w:id="1790" w:name="_Toc296346694"/>
      <w:bookmarkStart w:id="1791" w:name="_Toc303539146"/>
      <w:bookmarkStart w:id="1792" w:name="_Toc297120493"/>
      <w:bookmarkStart w:id="1793" w:name="_Toc297048379"/>
      <w:bookmarkStart w:id="1794" w:name="_Toc296891233"/>
      <w:bookmarkStart w:id="1795" w:name="_Toc312677499"/>
      <w:bookmarkStart w:id="1796" w:name="_Toc312678025"/>
      <w:bookmarkStart w:id="1797" w:name="_Toc267251441"/>
      <w:bookmarkStart w:id="1798" w:name="_Toc267251433"/>
      <w:bookmarkStart w:id="1799" w:name="_Toc267251437"/>
      <w:bookmarkStart w:id="1800" w:name="_Toc267251439"/>
      <w:bookmarkStart w:id="1801" w:name="_Toc267251435"/>
      <w:bookmarkStart w:id="1802" w:name="_Toc267251440"/>
      <w:bookmarkStart w:id="1803" w:name="_Toc267251442"/>
      <w:r>
        <w:rPr>
          <w:b/>
        </w:rPr>
        <w:t>0. 变更</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bookmarkEnd w:id="1795"/>
    <w:bookmarkEnd w:id="1796"/>
    <w:p w14:paraId="1675D1E5">
      <w:pPr>
        <w:pStyle w:val="25"/>
        <w:spacing w:line="360" w:lineRule="auto"/>
        <w:ind w:firstLine="482" w:firstLineChars="200"/>
        <w:rPr>
          <w:b/>
        </w:rPr>
      </w:pPr>
      <w:bookmarkStart w:id="1804" w:name="_Toc152264694"/>
      <w:bookmarkStart w:id="1805" w:name="_Toc256000335"/>
      <w:r>
        <w:rPr>
          <w:b/>
        </w:rPr>
        <w:t>1</w:t>
      </w:r>
      <w:bookmarkStart w:id="1806" w:name="_Toc304295567"/>
      <w:bookmarkStart w:id="1807" w:name="_Toc312678026"/>
      <w:bookmarkStart w:id="1808" w:name="_Toc296891234"/>
      <w:bookmarkStart w:id="1809" w:name="_Toc296503194"/>
      <w:bookmarkStart w:id="1810" w:name="_Toc297120494"/>
      <w:bookmarkStart w:id="1811" w:name="_Toc292559904"/>
      <w:bookmarkStart w:id="1812" w:name="_Toc312677500"/>
      <w:bookmarkStart w:id="1813" w:name="_Toc296346695"/>
      <w:bookmarkStart w:id="1814" w:name="_Toc300934990"/>
      <w:bookmarkStart w:id="1815" w:name="_Toc292559399"/>
      <w:bookmarkStart w:id="1816" w:name="_Toc296944533"/>
      <w:bookmarkStart w:id="1817" w:name="_Toc297048380"/>
      <w:bookmarkStart w:id="1818" w:name="_Toc296347193"/>
      <w:bookmarkStart w:id="1819" w:name="_Toc296891022"/>
      <w:bookmarkStart w:id="1820" w:name="_Toc303539147"/>
      <w:bookmarkStart w:id="1821" w:name="_Toc297216200"/>
      <w:bookmarkStart w:id="1822" w:name="_Toc297123541"/>
      <w:r>
        <w:rPr>
          <w:b/>
        </w:rPr>
        <w:t>0.1变更的范围</w:t>
      </w:r>
      <w:bookmarkEnd w:id="1804"/>
      <w:bookmarkEnd w:id="1805"/>
    </w:p>
    <w:p w14:paraId="09978C82">
      <w:pPr>
        <w:spacing w:line="360" w:lineRule="auto"/>
        <w:ind w:firstLine="420" w:firstLineChars="200"/>
      </w:pPr>
      <w:r>
        <w:t>关于变更的范围的约定：</w:t>
      </w:r>
    </w:p>
    <w:p w14:paraId="475C133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6976B3B">
      <w:pPr>
        <w:pStyle w:val="25"/>
        <w:spacing w:line="360" w:lineRule="auto"/>
        <w:ind w:firstLine="482" w:firstLineChars="200"/>
        <w:rPr>
          <w:b/>
        </w:rPr>
      </w:pPr>
      <w:bookmarkStart w:id="1823" w:name="_Toc152264695"/>
      <w:bookmarkStart w:id="1824" w:name="_Toc256000336"/>
      <w:r>
        <w:rPr>
          <w:b/>
        </w:rPr>
        <w:t>10.4 变更估价</w:t>
      </w:r>
      <w:bookmarkEnd w:id="1823"/>
      <w:bookmarkEnd w:id="1824"/>
    </w:p>
    <w:p w14:paraId="3A5632DF">
      <w:pPr>
        <w:spacing w:line="360" w:lineRule="auto"/>
        <w:ind w:firstLine="420" w:firstLineChars="200"/>
      </w:pPr>
      <w:r>
        <w:rPr>
          <w:rFonts w:hint="eastAsia"/>
        </w:rPr>
        <w:t>10.4.1 变更估价原则</w:t>
      </w:r>
    </w:p>
    <w:p w14:paraId="7A7CEB61">
      <w:pPr>
        <w:spacing w:line="360" w:lineRule="auto"/>
        <w:ind w:firstLine="420" w:firstLineChars="200"/>
      </w:pPr>
      <w:r>
        <w:t xml:space="preserve">关于变更估价的约定:  </w:t>
      </w:r>
    </w:p>
    <w:p w14:paraId="11B11DB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3A01E48">
      <w:pPr>
        <w:pStyle w:val="25"/>
        <w:spacing w:line="360" w:lineRule="auto"/>
        <w:ind w:firstLine="482" w:firstLineChars="200"/>
        <w:rPr>
          <w:b/>
        </w:rPr>
      </w:pPr>
      <w:bookmarkStart w:id="1825" w:name="_Toc256000337"/>
      <w:bookmarkStart w:id="1826" w:name="_Toc152264696"/>
      <w:r>
        <w:rPr>
          <w:b/>
        </w:rPr>
        <w:t>1</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Start w:id="1827" w:name="_Toc296891237"/>
      <w:bookmarkStart w:id="1828" w:name="_Toc292559402"/>
      <w:bookmarkStart w:id="1829" w:name="_Toc303539150"/>
      <w:bookmarkStart w:id="1830" w:name="_Toc292559907"/>
      <w:bookmarkStart w:id="1831" w:name="_Toc296503197"/>
      <w:bookmarkStart w:id="1832" w:name="_Toc297120497"/>
      <w:bookmarkStart w:id="1833" w:name="_Toc296891025"/>
      <w:bookmarkStart w:id="1834" w:name="_Toc300934993"/>
      <w:bookmarkStart w:id="1835" w:name="_Toc297048383"/>
      <w:bookmarkStart w:id="1836" w:name="_Toc297123544"/>
      <w:bookmarkStart w:id="1837" w:name="_Toc296346698"/>
      <w:bookmarkStart w:id="1838" w:name="_Toc296944536"/>
      <w:bookmarkStart w:id="1839" w:name="_Toc296347196"/>
      <w:bookmarkStart w:id="1840" w:name="_Toc297216203"/>
      <w:bookmarkStart w:id="1841" w:name="_Toc312677503"/>
      <w:bookmarkStart w:id="1842" w:name="_Toc312678029"/>
      <w:bookmarkStart w:id="1843" w:name="_Toc304295570"/>
      <w:r>
        <w:rPr>
          <w:b/>
        </w:rPr>
        <w:t>0.5承</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Start w:id="1844" w:name="_Toc296891031"/>
      <w:bookmarkStart w:id="1845" w:name="_Toc296891243"/>
      <w:bookmarkStart w:id="1846" w:name="_Toc296944542"/>
      <w:bookmarkStart w:id="1847" w:name="_Toc303539151"/>
      <w:bookmarkStart w:id="1848" w:name="_Toc300934994"/>
      <w:bookmarkStart w:id="1849" w:name="_Toc296503203"/>
      <w:bookmarkStart w:id="1850" w:name="_Toc297048389"/>
      <w:bookmarkStart w:id="1851" w:name="_Toc292559913"/>
      <w:bookmarkStart w:id="1852" w:name="_Toc297120503"/>
      <w:bookmarkStart w:id="1853" w:name="_Toc296347202"/>
      <w:bookmarkStart w:id="1854" w:name="_Toc297216204"/>
      <w:bookmarkStart w:id="1855" w:name="_Toc297123545"/>
      <w:bookmarkStart w:id="1856" w:name="_Toc296346704"/>
      <w:bookmarkStart w:id="1857" w:name="_Toc292559408"/>
      <w:r>
        <w:rPr>
          <w:b/>
        </w:rPr>
        <w:t>包人的合理化建议</w:t>
      </w:r>
      <w:bookmarkEnd w:id="1825"/>
      <w:bookmarkEnd w:id="1826"/>
    </w:p>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14:paraId="35622745">
      <w:pPr>
        <w:spacing w:line="360" w:lineRule="auto"/>
        <w:ind w:firstLine="420" w:firstLineChars="200"/>
      </w:pPr>
      <w:r>
        <w:t>监理人审查承包人合理化建议的期限：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7215C0E">
      <w:pPr>
        <w:spacing w:line="360" w:lineRule="auto"/>
        <w:ind w:firstLine="420" w:firstLineChars="200"/>
      </w:pPr>
      <w:r>
        <w:t>发包人审批承包人合理化建议的期限：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1A6F266">
      <w:pPr>
        <w:spacing w:line="360" w:lineRule="auto"/>
        <w:ind w:firstLine="420" w:firstLineChars="200"/>
      </w:pPr>
      <w:r>
        <w:t>承</w:t>
      </w:r>
      <w:bookmarkStart w:id="1858" w:name="_Toc297048390"/>
      <w:bookmarkStart w:id="1859" w:name="_Toc312677504"/>
      <w:bookmarkStart w:id="1860" w:name="_Toc304295571"/>
      <w:bookmarkStart w:id="1861" w:name="_Toc296346705"/>
      <w:bookmarkStart w:id="1862" w:name="_Toc318581175"/>
      <w:bookmarkStart w:id="1863" w:name="_Toc296891244"/>
      <w:bookmarkStart w:id="1864" w:name="_Toc297120504"/>
      <w:bookmarkStart w:id="1865" w:name="_Toc297216205"/>
      <w:bookmarkStart w:id="1866" w:name="_Toc292559409"/>
      <w:bookmarkStart w:id="1867" w:name="_Toc296891032"/>
      <w:bookmarkStart w:id="1868" w:name="_Toc312678030"/>
      <w:bookmarkStart w:id="1869" w:name="_Toc303539152"/>
      <w:bookmarkStart w:id="1870" w:name="_Toc296944543"/>
      <w:bookmarkStart w:id="1871" w:name="_Toc296347203"/>
      <w:bookmarkStart w:id="1872" w:name="_Toc297123546"/>
      <w:bookmarkStart w:id="1873" w:name="_Toc296503204"/>
      <w:bookmarkStart w:id="1874" w:name="_Toc292559914"/>
      <w:bookmarkStart w:id="1875" w:name="_Toc300934995"/>
      <w:r>
        <w:t>包人提出的合理化建议降低了合同价格或者提高了工程经济效益的奖励的方法和金额为：</w:t>
      </w:r>
    </w:p>
    <w:p w14:paraId="3896913C">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14:paraId="1BFD3B89">
      <w:pPr>
        <w:pStyle w:val="25"/>
        <w:spacing w:line="360" w:lineRule="auto"/>
        <w:ind w:firstLine="482" w:firstLineChars="200"/>
        <w:rPr>
          <w:b/>
        </w:rPr>
      </w:pPr>
      <w:bookmarkStart w:id="1876" w:name="_Toc152264697"/>
      <w:bookmarkStart w:id="1877" w:name="_Toc256000338"/>
      <w:r>
        <w:rPr>
          <w:b/>
        </w:rPr>
        <w:t>1</w:t>
      </w:r>
      <w:bookmarkStart w:id="1878" w:name="_Toc297120499"/>
      <w:bookmarkStart w:id="1879" w:name="_Toc292559404"/>
      <w:bookmarkStart w:id="1880" w:name="_Toc300934997"/>
      <w:bookmarkStart w:id="1881" w:name="_Toc304295574"/>
      <w:bookmarkStart w:id="1882" w:name="_Toc296891239"/>
      <w:bookmarkStart w:id="1883" w:name="_Toc296346700"/>
      <w:bookmarkStart w:id="1884" w:name="_Toc296503199"/>
      <w:bookmarkStart w:id="1885" w:name="_Toc312678033"/>
      <w:bookmarkStart w:id="1886" w:name="_Toc296347198"/>
      <w:bookmarkStart w:id="1887" w:name="_Toc303539154"/>
      <w:bookmarkStart w:id="1888" w:name="_Toc296944538"/>
      <w:bookmarkStart w:id="1889" w:name="_Toc297048385"/>
      <w:bookmarkStart w:id="1890" w:name="_Toc297216207"/>
      <w:bookmarkStart w:id="1891" w:name="_Toc312677507"/>
      <w:bookmarkStart w:id="1892" w:name="_Toc296891027"/>
      <w:bookmarkStart w:id="1893" w:name="_Toc292559909"/>
      <w:bookmarkStart w:id="1894" w:name="_Toc297123548"/>
      <w:r>
        <w:rPr>
          <w:b/>
        </w:rPr>
        <w:t>0.7 暂估价</w:t>
      </w:r>
      <w:bookmarkEnd w:id="1876"/>
      <w:bookmarkEnd w:id="1877"/>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14:paraId="0587D774">
      <w:pPr>
        <w:spacing w:line="360" w:lineRule="auto"/>
        <w:ind w:firstLine="420" w:firstLineChars="200"/>
      </w:pPr>
      <w:r>
        <w:t>暂</w:t>
      </w:r>
      <w:bookmarkStart w:id="1895" w:name="_Toc318581176"/>
      <w:bookmarkStart w:id="1896" w:name="_Toc312677508"/>
      <w:bookmarkStart w:id="1897" w:name="_Toc312678034"/>
      <w:r>
        <w:t>估价材料和工程设备的明细详见附件</w:t>
      </w:r>
      <w:r>
        <w:rPr>
          <w:rFonts w:hint="eastAsia"/>
        </w:rPr>
        <w:t>11：《</w:t>
      </w:r>
      <w:r>
        <w:t>暂估价一览表</w:t>
      </w:r>
      <w:r>
        <w:rPr>
          <w:rFonts w:hint="eastAsia"/>
        </w:rPr>
        <w:t>》。</w:t>
      </w:r>
    </w:p>
    <w:bookmarkEnd w:id="1895"/>
    <w:bookmarkEnd w:id="1896"/>
    <w:bookmarkEnd w:id="1897"/>
    <w:p w14:paraId="29A8775D">
      <w:pPr>
        <w:spacing w:line="360" w:lineRule="auto"/>
        <w:ind w:firstLine="420" w:firstLineChars="200"/>
      </w:pPr>
      <w:r>
        <w:t>1</w:t>
      </w:r>
      <w:bookmarkStart w:id="1898" w:name="_Toc318581177"/>
      <w:bookmarkStart w:id="1899" w:name="_Toc312677509"/>
      <w:bookmarkStart w:id="1900" w:name="_Toc312678035"/>
      <w:r>
        <w:t>0.7.1 依法必须招标的暂估价项目</w:t>
      </w:r>
    </w:p>
    <w:bookmarkEnd w:id="1898"/>
    <w:bookmarkEnd w:id="1899"/>
    <w:bookmarkEnd w:id="1900"/>
    <w:p w14:paraId="08BE31AC">
      <w:pPr>
        <w:spacing w:line="360" w:lineRule="auto"/>
        <w:ind w:firstLine="420" w:firstLineChars="200"/>
      </w:pPr>
      <w:r>
        <w:t>对于依法必须招标的暂估价项目的确认和批准采取第</w:t>
      </w:r>
      <w:r>
        <w:rPr>
          <w:u w:val="single"/>
        </w:rPr>
        <w:t xml:space="preserve">  </w:t>
      </w:r>
      <w:r>
        <w:rPr>
          <w:rFonts w:hint="eastAsia"/>
          <w:u w:val="single"/>
        </w:rPr>
        <w:t xml:space="preserve">  </w:t>
      </w:r>
      <w:r>
        <w:rPr>
          <w:u w:val="single"/>
        </w:rPr>
        <w:t xml:space="preserve">  </w:t>
      </w:r>
      <w:r>
        <w:t>种方式确定。</w:t>
      </w:r>
    </w:p>
    <w:p w14:paraId="0425665F">
      <w:pPr>
        <w:spacing w:line="360" w:lineRule="auto"/>
        <w:ind w:firstLine="420" w:firstLineChars="200"/>
      </w:pPr>
      <w:r>
        <w:t>10.7.2 不属于依法必须招标的暂估价项目</w:t>
      </w:r>
    </w:p>
    <w:p w14:paraId="4D4D3609">
      <w:pPr>
        <w:spacing w:line="360" w:lineRule="auto"/>
        <w:ind w:firstLine="420" w:firstLineChars="200"/>
      </w:pPr>
      <w:r>
        <w:t>对于不属于依法必须招标的暂估价项目的确认和批准采取第</w:t>
      </w:r>
      <w:r>
        <w:rPr>
          <w:u w:val="single"/>
        </w:rPr>
        <w:t xml:space="preserve">  </w:t>
      </w:r>
      <w:r>
        <w:rPr>
          <w:rFonts w:hint="eastAsia"/>
          <w:u w:val="single"/>
        </w:rPr>
        <w:t xml:space="preserve">  </w:t>
      </w:r>
      <w:r>
        <w:rPr>
          <w:u w:val="single"/>
        </w:rPr>
        <w:t xml:space="preserve">  </w:t>
      </w:r>
      <w:r>
        <w:t>种方式确定。</w:t>
      </w:r>
    </w:p>
    <w:p w14:paraId="7BC85B4A">
      <w:pPr>
        <w:spacing w:line="360" w:lineRule="auto"/>
        <w:ind w:firstLine="420" w:firstLineChars="200"/>
      </w:pPr>
      <w:r>
        <w:t>第3种方式：承包人直接实施的暂估价项目</w:t>
      </w:r>
    </w:p>
    <w:p w14:paraId="46145993">
      <w:pPr>
        <w:spacing w:line="360" w:lineRule="auto"/>
        <w:ind w:firstLine="420" w:firstLineChars="200"/>
      </w:pPr>
      <w:r>
        <w:t>承包人直接实施的暂估价项目的约定：</w:t>
      </w:r>
    </w:p>
    <w:p w14:paraId="3CDB64D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0DD7C65">
      <w:pPr>
        <w:pStyle w:val="25"/>
        <w:spacing w:line="360" w:lineRule="auto"/>
        <w:ind w:firstLine="482" w:firstLineChars="200"/>
        <w:rPr>
          <w:b/>
        </w:rPr>
      </w:pPr>
      <w:bookmarkStart w:id="1901" w:name="_Toc256000339"/>
      <w:bookmarkStart w:id="1902" w:name="_Toc152264698"/>
      <w:r>
        <w:rPr>
          <w:b/>
        </w:rPr>
        <w:t>10.8 暂列金额</w:t>
      </w:r>
      <w:bookmarkEnd w:id="1901"/>
      <w:bookmarkEnd w:id="1902"/>
    </w:p>
    <w:p w14:paraId="1C9DA5AF">
      <w:pPr>
        <w:spacing w:line="360" w:lineRule="auto"/>
        <w:ind w:firstLine="420" w:firstLineChars="200"/>
      </w:pPr>
      <w:r>
        <w:rPr>
          <w:rFonts w:hint="eastAsia"/>
        </w:rPr>
        <w:t>合同当事人关于暂列金额使用的约定：</w:t>
      </w:r>
    </w:p>
    <w:p w14:paraId="7E5364C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A455CDB">
      <w:pPr>
        <w:pStyle w:val="23"/>
        <w:spacing w:before="0" w:line="360" w:lineRule="auto"/>
        <w:ind w:firstLine="562" w:firstLineChars="200"/>
        <w:rPr>
          <w:b/>
        </w:rPr>
      </w:pPr>
      <w:bookmarkStart w:id="1903" w:name="_Toc351203643"/>
      <w:bookmarkStart w:id="1904" w:name="_Toc152264699"/>
      <w:bookmarkStart w:id="1905" w:name="_Toc256000340"/>
      <w:r>
        <w:rPr>
          <w:b/>
        </w:rPr>
        <w:t>11. 价格调整</w:t>
      </w:r>
      <w:bookmarkEnd w:id="1903"/>
      <w:bookmarkEnd w:id="1904"/>
      <w:bookmarkEnd w:id="1905"/>
    </w:p>
    <w:p w14:paraId="6E95EF49">
      <w:pPr>
        <w:pStyle w:val="25"/>
        <w:spacing w:line="360" w:lineRule="auto"/>
        <w:ind w:firstLine="482" w:firstLineChars="200"/>
        <w:rPr>
          <w:b/>
        </w:rPr>
      </w:pPr>
      <w:bookmarkStart w:id="1906" w:name="_Toc256000341"/>
      <w:bookmarkStart w:id="1907" w:name="_Toc152264700"/>
      <w:bookmarkStart w:id="1908" w:name="_Toc303539157"/>
      <w:bookmarkStart w:id="1909" w:name="_Toc312678039"/>
      <w:bookmarkStart w:id="1910" w:name="_Toc297120501"/>
      <w:bookmarkStart w:id="1911" w:name="_Toc296891029"/>
      <w:bookmarkStart w:id="1912" w:name="_Toc296347200"/>
      <w:bookmarkStart w:id="1913" w:name="_Toc296503201"/>
      <w:bookmarkStart w:id="1914" w:name="_Toc296346702"/>
      <w:bookmarkStart w:id="1915" w:name="_Toc296891241"/>
      <w:bookmarkStart w:id="1916" w:name="_Toc292559406"/>
      <w:bookmarkStart w:id="1917" w:name="_Toc300935000"/>
      <w:bookmarkStart w:id="1918" w:name="_Toc304295577"/>
      <w:bookmarkStart w:id="1919" w:name="_Toc296944540"/>
      <w:bookmarkStart w:id="1920" w:name="_Toc297123550"/>
      <w:bookmarkStart w:id="1921" w:name="_Toc292559911"/>
      <w:bookmarkStart w:id="1922" w:name="_Toc297216209"/>
      <w:bookmarkStart w:id="1923" w:name="_Toc297048387"/>
      <w:r>
        <w:rPr>
          <w:b/>
        </w:rPr>
        <w:t>11.1 市场价格波动引起的调整</w:t>
      </w:r>
      <w:bookmarkEnd w:id="1906"/>
      <w:bookmarkEnd w:id="1907"/>
    </w:p>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14:paraId="47035185">
      <w:pPr>
        <w:spacing w:line="360" w:lineRule="auto"/>
        <w:ind w:firstLine="420" w:firstLineChars="200"/>
      </w:pPr>
      <w:r>
        <w:t>市场价格波动是否调整合同价格的约定：</w:t>
      </w:r>
    </w:p>
    <w:p w14:paraId="7FE7EA7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ACA5650">
      <w:pPr>
        <w:spacing w:line="360" w:lineRule="auto"/>
        <w:ind w:firstLine="420" w:firstLineChars="200"/>
      </w:pPr>
      <w:r>
        <w:t>因市场价格波动调整合同价格，采用以下第</w:t>
      </w:r>
      <w:r>
        <w:rPr>
          <w:u w:val="single"/>
        </w:rPr>
        <w:t xml:space="preserve"> </w:t>
      </w:r>
      <w:r>
        <w:rPr>
          <w:rFonts w:hint="eastAsia"/>
          <w:u w:val="single"/>
        </w:rPr>
        <w:t xml:space="preserve">   </w:t>
      </w:r>
      <w:r>
        <w:rPr>
          <w:u w:val="single"/>
        </w:rPr>
        <w:t xml:space="preserve">   </w:t>
      </w:r>
      <w:r>
        <w:t>种方式对合同价格进行调整：</w:t>
      </w:r>
    </w:p>
    <w:p w14:paraId="11B950A4">
      <w:pPr>
        <w:spacing w:line="360" w:lineRule="auto"/>
        <w:ind w:firstLine="420" w:firstLineChars="200"/>
      </w:pPr>
      <w:r>
        <w:t>第1种方式：采用价格指数</w:t>
      </w:r>
      <w:r>
        <w:rPr>
          <w:rFonts w:hint="eastAsia"/>
        </w:rPr>
        <w:t>进行价格</w:t>
      </w:r>
      <w:r>
        <w:t>调整。</w:t>
      </w:r>
    </w:p>
    <w:p w14:paraId="27449FFD">
      <w:pPr>
        <w:spacing w:line="360" w:lineRule="auto"/>
        <w:ind w:firstLine="420" w:firstLineChars="200"/>
      </w:pPr>
      <w:r>
        <w:t>关于各可调因子、定值和变值权重，以及基本价格指数及其来源的约定：</w:t>
      </w:r>
    </w:p>
    <w:p w14:paraId="6155BCC5">
      <w:pPr>
        <w:spacing w:line="360" w:lineRule="auto"/>
        <w:ind w:firstLine="420" w:firstLineChars="200"/>
      </w:pPr>
      <w:r>
        <w:rPr>
          <w:u w:val="single"/>
        </w:rPr>
        <w:t xml:space="preserve">                                       </w:t>
      </w:r>
      <w:r>
        <w:rPr>
          <w:rFonts w:hint="eastAsia"/>
          <w:u w:val="single"/>
        </w:rPr>
        <w:t xml:space="preserve">                            </w:t>
      </w:r>
      <w:r>
        <w:t>；</w:t>
      </w:r>
    </w:p>
    <w:p w14:paraId="418EDFE6">
      <w:pPr>
        <w:spacing w:line="360" w:lineRule="auto"/>
        <w:ind w:firstLine="420" w:firstLineChars="200"/>
      </w:pPr>
      <w:r>
        <w:t>第2种方式：采用造价信息</w:t>
      </w:r>
      <w:r>
        <w:rPr>
          <w:rFonts w:hint="eastAsia"/>
        </w:rPr>
        <w:t>进行价格</w:t>
      </w:r>
      <w:r>
        <w:t>调整。</w:t>
      </w:r>
    </w:p>
    <w:p w14:paraId="30B8385B">
      <w:pPr>
        <w:spacing w:line="360" w:lineRule="auto"/>
        <w:ind w:firstLine="420" w:firstLineChars="200"/>
      </w:pPr>
      <w:r>
        <w:t>（2）关于基准价格的约定：</w:t>
      </w:r>
      <w:r>
        <w:rPr>
          <w:u w:val="single"/>
        </w:rPr>
        <w:t xml:space="preserve">                </w:t>
      </w:r>
      <w:r>
        <w:rPr>
          <w:rFonts w:hint="eastAsia"/>
          <w:u w:val="single"/>
        </w:rPr>
        <w:t xml:space="preserve">                        </w:t>
      </w:r>
      <w:r>
        <w:t xml:space="preserve"> 。</w:t>
      </w:r>
    </w:p>
    <w:p w14:paraId="38961CC9">
      <w:pPr>
        <w:spacing w:line="360" w:lineRule="auto"/>
        <w:ind w:firstLine="420" w:firstLineChars="200"/>
      </w:pPr>
      <w:r>
        <w:t>专用合同条款</w:t>
      </w:r>
      <w:r>
        <w:rPr>
          <w:rFonts w:hint="eastAsia"/>
        </w:rPr>
        <w:t>①</w:t>
      </w:r>
      <w:r>
        <w:t>承包人在已标价工程量清单或预算书中载明的材料单价低于基准价格的：专用合同条款合同履行期间材料单价涨幅以基准价格为基础超过</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%时，或材料单价跌幅以已标价工程量清单或预算书中载明材料单价为基础超过</w:t>
      </w:r>
      <w:r>
        <w:rPr>
          <w:u w:val="single"/>
        </w:rPr>
        <w:t xml:space="preserve">  </w:t>
      </w:r>
      <w:r>
        <w:rPr>
          <w:rFonts w:hint="eastAsia"/>
          <w:u w:val="single"/>
        </w:rPr>
        <w:t xml:space="preserve">   </w:t>
      </w:r>
      <w:r>
        <w:rPr>
          <w:u w:val="single"/>
        </w:rPr>
        <w:t xml:space="preserve"> </w:t>
      </w:r>
      <w:r>
        <w:t>%时，其超过部分据实调整。</w:t>
      </w:r>
    </w:p>
    <w:p w14:paraId="3D4208D4">
      <w:pPr>
        <w:spacing w:line="360" w:lineRule="auto"/>
        <w:ind w:firstLine="420" w:firstLineChars="200"/>
      </w:pPr>
      <w:r>
        <w:rPr>
          <w:rFonts w:hint="eastAsia"/>
        </w:rPr>
        <w:t>②</w:t>
      </w:r>
      <w:r>
        <w:t>承包人在已标价工程量清单或预算书中载明的材料单价高于基准价格的：专用合同条款合同履行期间材料单价跌幅以基准价格为基础超过</w:t>
      </w:r>
      <w:r>
        <w:rPr>
          <w:u w:val="single"/>
        </w:rPr>
        <w:t xml:space="preserve">  </w:t>
      </w:r>
      <w:r>
        <w:rPr>
          <w:rFonts w:hint="eastAsia"/>
          <w:u w:val="single"/>
        </w:rPr>
        <w:t xml:space="preserve">   </w:t>
      </w:r>
      <w:r>
        <w:rPr>
          <w:u w:val="single"/>
        </w:rPr>
        <w:t xml:space="preserve"> </w:t>
      </w:r>
      <w:r>
        <w:t>%时，材料单价涨幅以已标价工程量清单或预算书中载明材料单价为基础超过</w:t>
      </w:r>
      <w:r>
        <w:rPr>
          <w:u w:val="single"/>
        </w:rPr>
        <w:t xml:space="preserve">  </w:t>
      </w:r>
      <w:r>
        <w:rPr>
          <w:rFonts w:hint="eastAsia"/>
          <w:u w:val="single"/>
        </w:rPr>
        <w:t xml:space="preserve">   </w:t>
      </w:r>
      <w:r>
        <w:rPr>
          <w:u w:val="single"/>
        </w:rPr>
        <w:t xml:space="preserve"> </w:t>
      </w:r>
      <w:r>
        <w:t>%时，其超过部分据实调整。</w:t>
      </w:r>
    </w:p>
    <w:p w14:paraId="55075966">
      <w:pPr>
        <w:spacing w:line="360" w:lineRule="auto"/>
        <w:ind w:firstLine="420" w:firstLineChars="200"/>
      </w:pPr>
      <w:r>
        <w:rPr>
          <w:rFonts w:hint="eastAsia"/>
        </w:rPr>
        <w:t>③</w:t>
      </w:r>
      <w:r>
        <w:t>承包人在已标价工程量清单或预算书中载明的材料单价等于基准单价的：专用合同条款合同履行期间材料单价涨跌幅以基准单价为基础超过±</w:t>
      </w:r>
      <w:r>
        <w:rPr>
          <w:u w:val="single"/>
        </w:rPr>
        <w:t xml:space="preserve"> </w:t>
      </w:r>
      <w:r>
        <w:rPr>
          <w:rFonts w:hint="eastAsia"/>
          <w:u w:val="single"/>
        </w:rPr>
        <w:t xml:space="preserve">   </w:t>
      </w:r>
      <w:r>
        <w:rPr>
          <w:u w:val="single"/>
        </w:rPr>
        <w:t xml:space="preserve">  </w:t>
      </w:r>
      <w:r>
        <w:t>%时，其超过部分据实调整。</w:t>
      </w:r>
    </w:p>
    <w:p w14:paraId="5DD0625C">
      <w:pPr>
        <w:spacing w:line="360" w:lineRule="auto"/>
        <w:ind w:firstLine="420" w:firstLineChars="200"/>
      </w:pPr>
      <w:r>
        <w:t>第3种方式：其他价格调整方式：</w:t>
      </w:r>
    </w:p>
    <w:p w14:paraId="4288D67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797"/>
    <w:bookmarkEnd w:id="1798"/>
    <w:bookmarkEnd w:id="1799"/>
    <w:bookmarkEnd w:id="1800"/>
    <w:bookmarkEnd w:id="1801"/>
    <w:bookmarkEnd w:id="1802"/>
    <w:p w14:paraId="161DF87C">
      <w:pPr>
        <w:pStyle w:val="23"/>
        <w:spacing w:before="0" w:line="360" w:lineRule="auto"/>
        <w:ind w:firstLine="562" w:firstLineChars="200"/>
        <w:rPr>
          <w:b/>
        </w:rPr>
      </w:pPr>
      <w:bookmarkStart w:id="1924" w:name="_Toc296347204"/>
      <w:bookmarkStart w:id="1925" w:name="_Toc296891033"/>
      <w:bookmarkStart w:id="1926" w:name="_Toc297120505"/>
      <w:bookmarkStart w:id="1927" w:name="_Toc292559915"/>
      <w:bookmarkStart w:id="1928" w:name="_Toc292559410"/>
      <w:bookmarkStart w:id="1929" w:name="_Toc296346706"/>
      <w:bookmarkStart w:id="1930" w:name="_Toc296503205"/>
      <w:bookmarkStart w:id="1931" w:name="_Toc296891245"/>
      <w:bookmarkStart w:id="1932" w:name="_Toc296944544"/>
      <w:bookmarkStart w:id="1933" w:name="_Toc297048391"/>
      <w:bookmarkStart w:id="1934" w:name="_Toc256000342"/>
      <w:bookmarkStart w:id="1935" w:name="_Toc351203644"/>
      <w:bookmarkStart w:id="1936" w:name="_Toc152264701"/>
      <w:bookmarkStart w:id="1937" w:name="_Toc300935002"/>
      <w:bookmarkStart w:id="1938" w:name="_Toc297123552"/>
      <w:bookmarkStart w:id="1939" w:name="_Toc303539159"/>
      <w:bookmarkStart w:id="1940" w:name="_Toc312678040"/>
      <w:bookmarkStart w:id="1941" w:name="_Toc297216211"/>
      <w:bookmarkStart w:id="1942" w:name="_Toc304295579"/>
      <w:r>
        <w:rPr>
          <w:b/>
        </w:rPr>
        <w:t xml:space="preserve">12. </w:t>
      </w:r>
      <w:bookmarkEnd w:id="1924"/>
      <w:bookmarkEnd w:id="1925"/>
      <w:bookmarkEnd w:id="1926"/>
      <w:bookmarkEnd w:id="1927"/>
      <w:bookmarkEnd w:id="1928"/>
      <w:bookmarkEnd w:id="1929"/>
      <w:bookmarkEnd w:id="1930"/>
      <w:bookmarkEnd w:id="1931"/>
      <w:bookmarkEnd w:id="1932"/>
      <w:bookmarkEnd w:id="1933"/>
      <w:r>
        <w:rPr>
          <w:b/>
        </w:rPr>
        <w:t>合同价格、计量与支付</w:t>
      </w:r>
      <w:bookmarkEnd w:id="1934"/>
      <w:bookmarkEnd w:id="1935"/>
      <w:bookmarkEnd w:id="1936"/>
    </w:p>
    <w:bookmarkEnd w:id="1937"/>
    <w:bookmarkEnd w:id="1938"/>
    <w:bookmarkEnd w:id="1939"/>
    <w:bookmarkEnd w:id="1940"/>
    <w:bookmarkEnd w:id="1941"/>
    <w:bookmarkEnd w:id="1942"/>
    <w:p w14:paraId="02964ED7">
      <w:pPr>
        <w:pStyle w:val="25"/>
        <w:spacing w:line="360" w:lineRule="auto"/>
        <w:ind w:firstLine="482" w:firstLineChars="200"/>
        <w:rPr>
          <w:b/>
        </w:rPr>
      </w:pPr>
      <w:bookmarkStart w:id="1943" w:name="_Toc292559411"/>
      <w:bookmarkStart w:id="1944" w:name="_Toc292559916"/>
      <w:bookmarkStart w:id="1945" w:name="_Toc267251461"/>
      <w:bookmarkStart w:id="1946" w:name="_Toc296891246"/>
      <w:bookmarkStart w:id="1947" w:name="_Toc296944545"/>
      <w:bookmarkStart w:id="1948" w:name="_Toc297120506"/>
      <w:bookmarkStart w:id="1949" w:name="_Toc297048392"/>
      <w:bookmarkStart w:id="1950" w:name="_Toc296346707"/>
      <w:bookmarkStart w:id="1951" w:name="_Toc296891034"/>
      <w:bookmarkStart w:id="1952" w:name="_Toc296503206"/>
      <w:bookmarkStart w:id="1953" w:name="_Toc296347205"/>
      <w:bookmarkStart w:id="1954" w:name="_Toc256000343"/>
      <w:bookmarkStart w:id="1955" w:name="_Toc152264702"/>
      <w:bookmarkStart w:id="1956" w:name="_Toc312678041"/>
      <w:bookmarkStart w:id="1957" w:name="_Toc303539160"/>
      <w:bookmarkStart w:id="1958" w:name="_Toc297123553"/>
      <w:bookmarkStart w:id="1959" w:name="_Toc304295580"/>
      <w:bookmarkStart w:id="1960" w:name="_Toc297216212"/>
      <w:bookmarkStart w:id="1961" w:name="_Toc300935003"/>
      <w:r>
        <w:rPr>
          <w:b/>
        </w:rPr>
        <w:t>12.1 合</w:t>
      </w:r>
      <w:bookmarkEnd w:id="1943"/>
      <w:bookmarkEnd w:id="1944"/>
      <w:bookmarkEnd w:id="1945"/>
      <w:r>
        <w:rPr>
          <w:b/>
        </w:rPr>
        <w:t>同价</w:t>
      </w:r>
      <w:bookmarkEnd w:id="1946"/>
      <w:bookmarkEnd w:id="1947"/>
      <w:bookmarkEnd w:id="1948"/>
      <w:bookmarkEnd w:id="1949"/>
      <w:bookmarkEnd w:id="1950"/>
      <w:bookmarkEnd w:id="1951"/>
      <w:bookmarkEnd w:id="1952"/>
      <w:bookmarkEnd w:id="1953"/>
      <w:r>
        <w:rPr>
          <w:b/>
        </w:rPr>
        <w:t>格形式</w:t>
      </w:r>
      <w:bookmarkEnd w:id="1954"/>
      <w:bookmarkEnd w:id="1955"/>
    </w:p>
    <w:bookmarkEnd w:id="1956"/>
    <w:bookmarkEnd w:id="1957"/>
    <w:bookmarkEnd w:id="1958"/>
    <w:bookmarkEnd w:id="1959"/>
    <w:bookmarkEnd w:id="1960"/>
    <w:bookmarkEnd w:id="1961"/>
    <w:p w14:paraId="070905BC">
      <w:pPr>
        <w:spacing w:line="360" w:lineRule="auto"/>
        <w:ind w:firstLine="420" w:firstLineChars="200"/>
      </w:pPr>
      <w:r>
        <w:t>1、单价合同。</w:t>
      </w:r>
    </w:p>
    <w:p w14:paraId="439229D0">
      <w:pPr>
        <w:spacing w:line="360" w:lineRule="auto"/>
        <w:ind w:firstLine="420" w:firstLineChars="200"/>
      </w:pPr>
      <w:r>
        <w:t>综合单价包含的风险范围：</w:t>
      </w:r>
    </w:p>
    <w:p w14:paraId="29C123EE">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40C0762">
      <w:pPr>
        <w:spacing w:line="360" w:lineRule="auto"/>
        <w:ind w:firstLine="420" w:firstLineChars="200"/>
      </w:pPr>
      <w:r>
        <w:t>风险费用的计算方法：</w:t>
      </w:r>
    </w:p>
    <w:p w14:paraId="4F3162B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4B1F37A">
      <w:pPr>
        <w:spacing w:line="360" w:lineRule="auto"/>
        <w:ind w:firstLine="420" w:firstLineChars="200"/>
      </w:pPr>
      <w:r>
        <w:t>风险范围以外合同价格的调整方法：</w:t>
      </w:r>
    </w:p>
    <w:p w14:paraId="41255A9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DEB5B02">
      <w:pPr>
        <w:spacing w:line="360" w:lineRule="auto"/>
        <w:ind w:firstLine="420" w:firstLineChars="200"/>
      </w:pPr>
      <w:r>
        <w:t>2、总价合同。</w:t>
      </w:r>
    </w:p>
    <w:p w14:paraId="1E95B5BD">
      <w:pPr>
        <w:spacing w:line="360" w:lineRule="auto"/>
        <w:ind w:firstLine="420" w:firstLineChars="200"/>
      </w:pPr>
      <w:r>
        <w:t>总价包含的风险范围：</w:t>
      </w:r>
    </w:p>
    <w:p w14:paraId="596BCBF9">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51D514E">
      <w:pPr>
        <w:spacing w:line="360" w:lineRule="auto"/>
        <w:ind w:firstLine="420" w:firstLineChars="200"/>
      </w:pPr>
      <w:r>
        <w:t>风险费用的计算方法：</w:t>
      </w:r>
    </w:p>
    <w:p w14:paraId="5FD4F15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3983687">
      <w:pPr>
        <w:spacing w:line="360" w:lineRule="auto"/>
        <w:ind w:firstLine="420" w:firstLineChars="200"/>
      </w:pPr>
      <w:r>
        <w:t>风险范围以外合同价格的调整方法：</w:t>
      </w:r>
    </w:p>
    <w:p w14:paraId="5370239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C0C1A07">
      <w:pPr>
        <w:spacing w:line="360" w:lineRule="auto"/>
        <w:ind w:firstLine="420" w:firstLineChars="200"/>
      </w:pPr>
      <w:r>
        <w:t>3、其他价格方式：</w:t>
      </w:r>
    </w:p>
    <w:p w14:paraId="20E7835A">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9E5DB4F">
      <w:pPr>
        <w:pStyle w:val="25"/>
        <w:spacing w:line="360" w:lineRule="auto"/>
        <w:ind w:firstLine="482" w:firstLineChars="200"/>
        <w:rPr>
          <w:b/>
        </w:rPr>
      </w:pPr>
      <w:bookmarkStart w:id="1962" w:name="_Toc152264703"/>
      <w:bookmarkStart w:id="1963" w:name="_Toc256000344"/>
      <w:bookmarkStart w:id="1964" w:name="_Toc300935004"/>
      <w:bookmarkStart w:id="1965" w:name="_Toc304295581"/>
      <w:bookmarkStart w:id="1966" w:name="_Toc297216213"/>
      <w:bookmarkStart w:id="1967" w:name="_Toc312678042"/>
      <w:bookmarkStart w:id="1968" w:name="_Toc303539161"/>
      <w:bookmarkStart w:id="1969" w:name="_Toc297123554"/>
      <w:bookmarkStart w:id="1970" w:name="_Toc297048393"/>
      <w:bookmarkStart w:id="1971" w:name="_Toc296891035"/>
      <w:bookmarkStart w:id="1972" w:name="_Toc296891247"/>
      <w:bookmarkStart w:id="1973" w:name="_Toc296347206"/>
      <w:bookmarkStart w:id="1974" w:name="_Toc296944546"/>
      <w:bookmarkStart w:id="1975" w:name="_Toc292559917"/>
      <w:bookmarkStart w:id="1976" w:name="_Toc296346708"/>
      <w:bookmarkStart w:id="1977" w:name="_Toc292559412"/>
      <w:bookmarkStart w:id="1978" w:name="_Toc297120507"/>
      <w:bookmarkStart w:id="1979" w:name="_Toc296503207"/>
      <w:r>
        <w:rPr>
          <w:b/>
        </w:rPr>
        <w:t>12.2 预付款</w:t>
      </w:r>
      <w:bookmarkEnd w:id="1962"/>
      <w:bookmarkEnd w:id="1963"/>
    </w:p>
    <w:bookmarkEnd w:id="1964"/>
    <w:bookmarkEnd w:id="1965"/>
    <w:bookmarkEnd w:id="1966"/>
    <w:bookmarkEnd w:id="1967"/>
    <w:bookmarkEnd w:id="1968"/>
    <w:bookmarkEnd w:id="1969"/>
    <w:p w14:paraId="1496287F">
      <w:pPr>
        <w:spacing w:line="360" w:lineRule="auto"/>
        <w:ind w:firstLine="420" w:firstLineChars="200"/>
      </w:pPr>
      <w:r>
        <w:t>12.2.1 预付款的支付</w:t>
      </w:r>
    </w:p>
    <w:p w14:paraId="128F8C05">
      <w:pPr>
        <w:spacing w:line="360" w:lineRule="auto"/>
        <w:ind w:firstLine="420" w:firstLineChars="200"/>
      </w:pPr>
      <w:r>
        <w:t>预付款支付比例或金额：</w:t>
      </w:r>
      <w:r>
        <w:rPr>
          <w:u w:val="single"/>
        </w:rPr>
        <w:t xml:space="preserve">               </w:t>
      </w:r>
      <w:r>
        <w:rPr>
          <w:rFonts w:hint="eastAsia"/>
          <w:u w:val="single"/>
        </w:rPr>
        <w:t xml:space="preserve">          </w:t>
      </w:r>
      <w:r>
        <w:rPr>
          <w:u w:val="single"/>
        </w:rPr>
        <w:t xml:space="preserve">       </w:t>
      </w:r>
      <w:r>
        <w:t>。</w:t>
      </w:r>
    </w:p>
    <w:p w14:paraId="52D45E11">
      <w:pPr>
        <w:spacing w:line="360" w:lineRule="auto"/>
        <w:ind w:firstLine="420" w:firstLineChars="200"/>
      </w:pPr>
      <w:r>
        <w:t>预付款支付期限：</w:t>
      </w:r>
      <w:r>
        <w:rPr>
          <w:u w:val="single"/>
        </w:rPr>
        <w:t xml:space="preserve">                    </w:t>
      </w:r>
      <w:r>
        <w:rPr>
          <w:rFonts w:hint="eastAsia"/>
          <w:u w:val="single"/>
        </w:rPr>
        <w:t xml:space="preserve">          </w:t>
      </w:r>
      <w:r>
        <w:rPr>
          <w:u w:val="single"/>
        </w:rPr>
        <w:t xml:space="preserve">        </w:t>
      </w:r>
      <w:r>
        <w:t>。</w:t>
      </w:r>
    </w:p>
    <w:p w14:paraId="41FC5CDC">
      <w:pPr>
        <w:spacing w:line="360" w:lineRule="auto"/>
        <w:ind w:firstLine="420" w:firstLineChars="200"/>
      </w:pPr>
      <w:r>
        <w:t>预付款扣回的方式：</w:t>
      </w:r>
      <w:r>
        <w:rPr>
          <w:u w:val="single"/>
        </w:rPr>
        <w:t xml:space="preserve">                    </w:t>
      </w:r>
      <w:r>
        <w:rPr>
          <w:rFonts w:hint="eastAsia"/>
          <w:u w:val="single"/>
        </w:rPr>
        <w:t xml:space="preserve">          </w:t>
      </w:r>
      <w:r>
        <w:rPr>
          <w:u w:val="single"/>
        </w:rPr>
        <w:t xml:space="preserve">      </w:t>
      </w:r>
      <w:r>
        <w:t>。</w:t>
      </w:r>
    </w:p>
    <w:p w14:paraId="7124F691">
      <w:pPr>
        <w:spacing w:line="360" w:lineRule="auto"/>
        <w:ind w:firstLine="420" w:firstLineChars="200"/>
      </w:pPr>
      <w:r>
        <w:t>12.2.2 预付款担保</w:t>
      </w:r>
    </w:p>
    <w:p w14:paraId="4E8CD552">
      <w:pPr>
        <w:spacing w:line="360" w:lineRule="auto"/>
        <w:ind w:firstLine="420" w:firstLineChars="200"/>
      </w:pPr>
      <w:r>
        <w:t>承包人提交预付款担保的期限：</w:t>
      </w:r>
      <w:r>
        <w:rPr>
          <w:u w:val="single"/>
        </w:rPr>
        <w:t xml:space="preserve">          </w:t>
      </w:r>
      <w:r>
        <w:rPr>
          <w:rFonts w:hint="eastAsia"/>
          <w:u w:val="single"/>
        </w:rPr>
        <w:t xml:space="preserve">          </w:t>
      </w:r>
      <w:r>
        <w:rPr>
          <w:u w:val="single"/>
        </w:rPr>
        <w:t xml:space="preserve">      </w:t>
      </w:r>
      <w:r>
        <w:t>。</w:t>
      </w:r>
    </w:p>
    <w:p w14:paraId="5F981590">
      <w:pPr>
        <w:spacing w:line="360" w:lineRule="auto"/>
        <w:ind w:firstLine="420" w:firstLineChars="200"/>
      </w:pPr>
      <w:r>
        <w:t>预付款担保的形式为：</w:t>
      </w:r>
      <w:r>
        <w:rPr>
          <w:u w:val="single"/>
        </w:rPr>
        <w:t xml:space="preserve">                    </w:t>
      </w:r>
      <w:r>
        <w:rPr>
          <w:rFonts w:hint="eastAsia"/>
          <w:u w:val="single"/>
        </w:rPr>
        <w:t xml:space="preserve">          </w:t>
      </w:r>
      <w:r>
        <w:rPr>
          <w:u w:val="single"/>
        </w:rPr>
        <w:t xml:space="preserve">    </w:t>
      </w:r>
      <w:r>
        <w:t>。</w:t>
      </w:r>
    </w:p>
    <w:bookmarkEnd w:id="1970"/>
    <w:bookmarkEnd w:id="1971"/>
    <w:bookmarkEnd w:id="1972"/>
    <w:bookmarkEnd w:id="1973"/>
    <w:bookmarkEnd w:id="1974"/>
    <w:bookmarkEnd w:id="1975"/>
    <w:bookmarkEnd w:id="1976"/>
    <w:bookmarkEnd w:id="1977"/>
    <w:bookmarkEnd w:id="1978"/>
    <w:bookmarkEnd w:id="1979"/>
    <w:p w14:paraId="2F8EBBDF">
      <w:pPr>
        <w:pStyle w:val="25"/>
        <w:spacing w:line="360" w:lineRule="auto"/>
        <w:ind w:firstLine="482" w:firstLineChars="200"/>
        <w:rPr>
          <w:b/>
        </w:rPr>
      </w:pPr>
      <w:bookmarkStart w:id="1980" w:name="_Toc256000345"/>
      <w:bookmarkStart w:id="1981" w:name="_Toc152264704"/>
      <w:r>
        <w:rPr>
          <w:b/>
        </w:rPr>
        <w:t>12.3 计量</w:t>
      </w:r>
      <w:bookmarkEnd w:id="1980"/>
      <w:bookmarkEnd w:id="1981"/>
    </w:p>
    <w:p w14:paraId="321602E4">
      <w:pPr>
        <w:spacing w:line="360" w:lineRule="auto"/>
        <w:ind w:firstLine="420" w:firstLineChars="200"/>
      </w:pPr>
      <w:r>
        <w:t>12.3.1 计量原则</w:t>
      </w:r>
    </w:p>
    <w:p w14:paraId="0AB17BCE">
      <w:pPr>
        <w:spacing w:line="360" w:lineRule="auto"/>
        <w:ind w:firstLine="420" w:firstLineChars="200"/>
      </w:pPr>
      <w:r>
        <w:t>工程量计算规则：</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1FEDAC2">
      <w:pPr>
        <w:spacing w:line="360" w:lineRule="auto"/>
        <w:ind w:firstLine="420" w:firstLineChars="200"/>
      </w:pPr>
      <w:r>
        <w:t>12.3.2 计量周期</w:t>
      </w:r>
    </w:p>
    <w:p w14:paraId="78F3B8BA">
      <w:pPr>
        <w:spacing w:line="360" w:lineRule="auto"/>
        <w:ind w:firstLine="420" w:firstLineChars="200"/>
      </w:pPr>
      <w:r>
        <w:t>关于计量周期的约定：</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DFA1B30">
      <w:pPr>
        <w:spacing w:line="360" w:lineRule="auto"/>
        <w:ind w:firstLine="420" w:firstLineChars="200"/>
      </w:pPr>
      <w:r>
        <w:t>12.3.3 单价合同的计量</w:t>
      </w:r>
    </w:p>
    <w:p w14:paraId="564B4B97">
      <w:pPr>
        <w:spacing w:line="360" w:lineRule="auto"/>
        <w:ind w:firstLine="420" w:firstLineChars="200"/>
      </w:pPr>
      <w:r>
        <w:t>关于单价合同计量的约定：</w:t>
      </w:r>
      <w:r>
        <w:rPr>
          <w:u w:val="single"/>
        </w:rPr>
        <w:t xml:space="preserve">               </w:t>
      </w:r>
      <w:r>
        <w:rPr>
          <w:rFonts w:hint="eastAsia"/>
          <w:u w:val="single"/>
        </w:rPr>
        <w:t xml:space="preserve">       </w:t>
      </w:r>
      <w:r>
        <w:rPr>
          <w:u w:val="single"/>
        </w:rPr>
        <w:t xml:space="preserve">        </w:t>
      </w:r>
      <w:r>
        <w:t>。</w:t>
      </w:r>
    </w:p>
    <w:p w14:paraId="16FAFEEF">
      <w:pPr>
        <w:spacing w:line="360" w:lineRule="auto"/>
        <w:ind w:firstLine="420" w:firstLineChars="200"/>
      </w:pPr>
      <w:r>
        <w:t>12.3.4 总价合同的计量</w:t>
      </w:r>
    </w:p>
    <w:p w14:paraId="02672C67">
      <w:pPr>
        <w:spacing w:line="360" w:lineRule="auto"/>
        <w:ind w:firstLine="420" w:firstLineChars="200"/>
      </w:pPr>
      <w:r>
        <w:t>关于总价合同计量的约定：</w:t>
      </w:r>
      <w:r>
        <w:rPr>
          <w:u w:val="single"/>
        </w:rPr>
        <w:t xml:space="preserve">              </w:t>
      </w:r>
      <w:r>
        <w:rPr>
          <w:rFonts w:hint="eastAsia"/>
          <w:u w:val="single"/>
        </w:rPr>
        <w:t xml:space="preserve">       </w:t>
      </w:r>
      <w:r>
        <w:rPr>
          <w:u w:val="single"/>
        </w:rPr>
        <w:t xml:space="preserve">         </w:t>
      </w:r>
      <w:r>
        <w:t>。</w:t>
      </w:r>
    </w:p>
    <w:p w14:paraId="19A810B7">
      <w:pPr>
        <w:spacing w:line="360" w:lineRule="auto"/>
        <w:ind w:firstLine="420" w:firstLineChars="200"/>
      </w:pPr>
      <w:r>
        <w:t>12.3.5总价合同采用支付分解表计量支付的，是否适用第12.3.4 项</w:t>
      </w:r>
      <w:r>
        <w:rPr>
          <w:rFonts w:hint="eastAsia"/>
        </w:rPr>
        <w:t>〔</w:t>
      </w:r>
      <w:r>
        <w:t>总价合同的计量</w:t>
      </w:r>
      <w:r>
        <w:rPr>
          <w:rFonts w:hint="eastAsia"/>
        </w:rPr>
        <w:t>〕</w:t>
      </w:r>
      <w:r>
        <w:t>约定</w:t>
      </w:r>
      <w:r>
        <w:rPr>
          <w:rFonts w:hint="eastAsia"/>
        </w:rPr>
        <w:t>进行计量：</w:t>
      </w:r>
      <w:r>
        <w:rPr>
          <w:u w:val="single"/>
        </w:rPr>
        <w:t xml:space="preserve">        </w:t>
      </w:r>
      <w:r>
        <w:rPr>
          <w:rFonts w:hint="eastAsia"/>
          <w:u w:val="single"/>
        </w:rPr>
        <w:t xml:space="preserve">               </w:t>
      </w:r>
      <w:r>
        <w:rPr>
          <w:rFonts w:hint="eastAsia"/>
        </w:rPr>
        <w:t xml:space="preserve"> </w:t>
      </w:r>
      <w:r>
        <w:t>。</w:t>
      </w:r>
    </w:p>
    <w:p w14:paraId="7CF1167F">
      <w:pPr>
        <w:spacing w:line="360" w:lineRule="auto"/>
        <w:ind w:firstLine="420" w:firstLineChars="200"/>
      </w:pPr>
      <w:r>
        <w:t>12.3.6 其他价格形式合同的计量</w:t>
      </w:r>
    </w:p>
    <w:p w14:paraId="1E0C461F">
      <w:pPr>
        <w:spacing w:line="360" w:lineRule="auto"/>
        <w:ind w:firstLine="420" w:firstLineChars="200"/>
      </w:pPr>
      <w:r>
        <w:t xml:space="preserve">其他价格形式的计量方式和程序： </w:t>
      </w:r>
    </w:p>
    <w:p w14:paraId="0A46DD9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A9A80F8">
      <w:pPr>
        <w:pStyle w:val="25"/>
        <w:spacing w:line="360" w:lineRule="auto"/>
        <w:ind w:firstLine="482" w:firstLineChars="200"/>
        <w:rPr>
          <w:b/>
        </w:rPr>
      </w:pPr>
      <w:bookmarkStart w:id="1982" w:name="_Toc152264705"/>
      <w:bookmarkStart w:id="1983" w:name="_Toc256000346"/>
      <w:r>
        <w:rPr>
          <w:b/>
        </w:rPr>
        <w:t>12.4 工程进度款支付</w:t>
      </w:r>
      <w:bookmarkEnd w:id="1982"/>
      <w:bookmarkEnd w:id="1983"/>
    </w:p>
    <w:p w14:paraId="75C7BC1E">
      <w:pPr>
        <w:spacing w:line="360" w:lineRule="auto"/>
        <w:ind w:firstLine="420" w:firstLineChars="200"/>
      </w:pPr>
      <w:bookmarkStart w:id="1984" w:name="_Toc296891039"/>
      <w:bookmarkStart w:id="1985" w:name="_Toc297120511"/>
      <w:bookmarkStart w:id="1986" w:name="_Toc297123556"/>
      <w:bookmarkStart w:id="1987" w:name="_Toc292559416"/>
      <w:bookmarkStart w:id="1988" w:name="_Toc296503211"/>
      <w:bookmarkStart w:id="1989" w:name="_Toc296891251"/>
      <w:bookmarkStart w:id="1990" w:name="_Toc296347210"/>
      <w:bookmarkStart w:id="1991" w:name="_Toc296346712"/>
      <w:bookmarkStart w:id="1992" w:name="_Toc292559921"/>
      <w:bookmarkStart w:id="1993" w:name="_Toc296944550"/>
      <w:bookmarkStart w:id="1994" w:name="_Toc297048397"/>
      <w:bookmarkStart w:id="1995" w:name="_Toc300935006"/>
      <w:bookmarkStart w:id="1996" w:name="_Toc297216215"/>
      <w:bookmarkStart w:id="1997" w:name="_Toc303539163"/>
      <w:r>
        <w:t>12.4.1 付款周期</w:t>
      </w:r>
    </w:p>
    <w:p w14:paraId="0429B6F2">
      <w:pPr>
        <w:spacing w:line="360" w:lineRule="auto"/>
        <w:ind w:firstLine="420" w:firstLineChars="200"/>
      </w:pPr>
      <w:r>
        <w:t>关于付款周期的约定：</w:t>
      </w:r>
    </w:p>
    <w:p w14:paraId="322B1268">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812A148">
      <w:pPr>
        <w:spacing w:line="360" w:lineRule="auto"/>
        <w:ind w:firstLine="420" w:firstLineChars="200"/>
      </w:pPr>
      <w:r>
        <w:t>12.4.2 进度付款申请单的编制</w:t>
      </w:r>
    </w:p>
    <w:p w14:paraId="6E96C2F7">
      <w:pPr>
        <w:spacing w:line="360" w:lineRule="auto"/>
        <w:ind w:firstLine="420" w:firstLineChars="200"/>
      </w:pPr>
      <w:r>
        <w:t>关于进度付款申请单编制的约定：</w:t>
      </w:r>
    </w:p>
    <w:p w14:paraId="69D8663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2D43D75">
      <w:pPr>
        <w:spacing w:line="360" w:lineRule="auto"/>
        <w:ind w:firstLine="420" w:firstLineChars="200"/>
      </w:pPr>
      <w:r>
        <w:t>1</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r>
        <w:t>2.4.3 进度付款申请单的提交</w:t>
      </w:r>
    </w:p>
    <w:p w14:paraId="6DB019ED">
      <w:pPr>
        <w:spacing w:line="360" w:lineRule="auto"/>
        <w:ind w:firstLine="420" w:firstLineChars="200"/>
      </w:pPr>
      <w:r>
        <w:t>（1）单价合同进度付款申请单提交的约定</w:t>
      </w:r>
      <w:r>
        <w:rPr>
          <w:rFonts w:hint="eastAsia"/>
        </w:rPr>
        <w:t>：</w:t>
      </w:r>
    </w:p>
    <w:p w14:paraId="20555D5D">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CAB2602">
      <w:pPr>
        <w:spacing w:line="360" w:lineRule="auto"/>
        <w:ind w:firstLine="420" w:firstLineChars="200"/>
      </w:pPr>
      <w:r>
        <w:t>（2）总价合同进度付款申请单提交的约定</w:t>
      </w:r>
      <w:r>
        <w:rPr>
          <w:rFonts w:hint="eastAsia"/>
        </w:rPr>
        <w:t>：</w:t>
      </w:r>
    </w:p>
    <w:p w14:paraId="38CB5FA9">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4391051A">
      <w:pPr>
        <w:spacing w:line="360" w:lineRule="auto"/>
        <w:ind w:firstLine="420" w:firstLineChars="200"/>
      </w:pPr>
      <w:r>
        <w:t>（3）其他价格形式合同进度付款申请单提交的约定：</w:t>
      </w:r>
    </w:p>
    <w:p w14:paraId="53AA46D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E7CFB78">
      <w:pPr>
        <w:spacing w:line="360" w:lineRule="auto"/>
        <w:ind w:firstLine="420" w:firstLineChars="200"/>
      </w:pPr>
      <w:r>
        <w:t>12.4.4 进度款审核和支付</w:t>
      </w:r>
    </w:p>
    <w:p w14:paraId="6E2BAAC2">
      <w:pPr>
        <w:spacing w:line="360" w:lineRule="auto"/>
        <w:ind w:firstLine="420" w:firstLineChars="200"/>
      </w:pPr>
      <w:r>
        <w:t xml:space="preserve">（1）监理人审查并报送发包人的期限： </w:t>
      </w:r>
      <w:r>
        <w:rPr>
          <w:u w:val="single"/>
        </w:rPr>
        <w:t xml:space="preserve">      </w:t>
      </w:r>
      <w:r>
        <w:rPr>
          <w:rFonts w:hint="eastAsia"/>
          <w:u w:val="single"/>
        </w:rPr>
        <w:t xml:space="preserve">           </w:t>
      </w:r>
      <w:r>
        <w:t>。</w:t>
      </w:r>
    </w:p>
    <w:p w14:paraId="511BC401">
      <w:pPr>
        <w:spacing w:line="360" w:lineRule="auto"/>
        <w:ind w:firstLine="420" w:firstLineChars="200"/>
        <w:rPr>
          <w:u w:val="single"/>
        </w:rPr>
      </w:pPr>
      <w:r>
        <w:t>发包人完成审批并签发进度款支付证书的期限：</w:t>
      </w:r>
      <w:r>
        <w:rPr>
          <w:u w:val="single"/>
        </w:rPr>
        <w:t xml:space="preserve">      </w:t>
      </w:r>
      <w:r>
        <w:rPr>
          <w:rFonts w:hint="eastAsia"/>
          <w:u w:val="single"/>
        </w:rPr>
        <w:t xml:space="preserve">    </w:t>
      </w:r>
      <w:r>
        <w:rPr>
          <w:u w:val="single"/>
        </w:rPr>
        <w:t xml:space="preserve"> </w:t>
      </w:r>
      <w:r>
        <w:t>。</w:t>
      </w:r>
    </w:p>
    <w:p w14:paraId="3D16591B">
      <w:pPr>
        <w:spacing w:line="360" w:lineRule="auto"/>
        <w:ind w:firstLine="420" w:firstLineChars="200"/>
      </w:pPr>
      <w:r>
        <w:t>（2）发包人支付进度款的期限：</w:t>
      </w:r>
      <w:r>
        <w:rPr>
          <w:u w:val="single"/>
        </w:rPr>
        <w:t xml:space="preserve">                  </w:t>
      </w:r>
      <w:r>
        <w:rPr>
          <w:rFonts w:hint="eastAsia"/>
          <w:u w:val="single"/>
        </w:rPr>
        <w:t xml:space="preserve"> </w:t>
      </w:r>
      <w:r>
        <w:rPr>
          <w:u w:val="single"/>
        </w:rPr>
        <w:t xml:space="preserve">     </w:t>
      </w:r>
      <w:r>
        <w:t>。</w:t>
      </w:r>
    </w:p>
    <w:p w14:paraId="3C087440">
      <w:pPr>
        <w:spacing w:line="360" w:lineRule="auto"/>
        <w:ind w:firstLine="420" w:firstLineChars="200"/>
      </w:pPr>
      <w:r>
        <w:t xml:space="preserve">发包人逾期支付进度款的违约金的计算方式： </w:t>
      </w:r>
    </w:p>
    <w:p w14:paraId="611F3FF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9712005">
      <w:pPr>
        <w:spacing w:line="360" w:lineRule="auto"/>
        <w:ind w:firstLine="420" w:firstLineChars="200"/>
      </w:pPr>
      <w:r>
        <w:t>12.4.6 支付分解表的编制</w:t>
      </w:r>
    </w:p>
    <w:p w14:paraId="49532022">
      <w:pPr>
        <w:spacing w:line="360" w:lineRule="auto"/>
        <w:ind w:firstLine="420" w:firstLineChars="200"/>
      </w:pPr>
      <w:r>
        <w:t>2、总价合同支付分解表的编制与审批：</w:t>
      </w:r>
    </w:p>
    <w:p w14:paraId="53BE246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7E915C1">
      <w:pPr>
        <w:spacing w:line="360" w:lineRule="auto"/>
        <w:ind w:firstLine="420" w:firstLineChars="200"/>
      </w:pPr>
      <w:r>
        <w:t>3、单价合同的总价项目支付分解表的编制与审批：</w:t>
      </w:r>
    </w:p>
    <w:p w14:paraId="6D55600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1803"/>
    <w:p w14:paraId="417CCF2C">
      <w:pPr>
        <w:pStyle w:val="23"/>
        <w:spacing w:before="0" w:line="360" w:lineRule="auto"/>
        <w:ind w:firstLine="562" w:firstLineChars="200"/>
        <w:rPr>
          <w:b/>
        </w:rPr>
      </w:pPr>
      <w:bookmarkStart w:id="1998" w:name="_Toc256000347"/>
      <w:bookmarkStart w:id="1999" w:name="_Toc351203645"/>
      <w:bookmarkStart w:id="2000" w:name="_Toc152264706"/>
      <w:bookmarkStart w:id="2001" w:name="_Toc296346720"/>
      <w:bookmarkStart w:id="2002" w:name="_Toc303539172"/>
      <w:bookmarkStart w:id="2003" w:name="_Toc296944558"/>
      <w:bookmarkStart w:id="2004" w:name="_Toc296891047"/>
      <w:bookmarkStart w:id="2005" w:name="_Toc297048405"/>
      <w:bookmarkStart w:id="2006" w:name="_Toc296891259"/>
      <w:bookmarkStart w:id="2007" w:name="_Toc296503219"/>
      <w:bookmarkStart w:id="2008" w:name="_Toc297123564"/>
      <w:bookmarkStart w:id="2009" w:name="_Toc300935015"/>
      <w:bookmarkStart w:id="2010" w:name="_Toc296347218"/>
      <w:bookmarkStart w:id="2011" w:name="_Toc312678053"/>
      <w:bookmarkStart w:id="2012" w:name="_Toc297120519"/>
      <w:bookmarkStart w:id="2013" w:name="_Toc292559929"/>
      <w:bookmarkStart w:id="2014" w:name="_Toc292559424"/>
      <w:bookmarkStart w:id="2015" w:name="_Toc297216223"/>
      <w:bookmarkStart w:id="2016" w:name="_Toc304295593"/>
      <w:r>
        <w:rPr>
          <w:b/>
        </w:rPr>
        <w:t>13.</w:t>
      </w:r>
      <w:r>
        <w:rPr>
          <w:rFonts w:hint="eastAsia"/>
          <w:b/>
        </w:rPr>
        <w:t xml:space="preserve"> </w:t>
      </w:r>
      <w:r>
        <w:rPr>
          <w:b/>
        </w:rPr>
        <w:t>验收和工程试车</w:t>
      </w:r>
      <w:bookmarkEnd w:id="1998"/>
      <w:bookmarkEnd w:id="1999"/>
      <w:bookmarkEnd w:id="2000"/>
    </w:p>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27A0D702">
      <w:pPr>
        <w:pStyle w:val="25"/>
        <w:spacing w:line="360" w:lineRule="auto"/>
        <w:ind w:firstLine="482" w:firstLineChars="200"/>
        <w:rPr>
          <w:b/>
        </w:rPr>
      </w:pPr>
      <w:bookmarkStart w:id="2017" w:name="_Toc256000348"/>
      <w:bookmarkStart w:id="2018" w:name="_Toc152264707"/>
      <w:r>
        <w:rPr>
          <w:b/>
        </w:rPr>
        <w:t>13.1 分部分项工程验收</w:t>
      </w:r>
      <w:bookmarkEnd w:id="2017"/>
      <w:bookmarkEnd w:id="2018"/>
    </w:p>
    <w:p w14:paraId="4FDA1A52">
      <w:pPr>
        <w:spacing w:line="360" w:lineRule="auto"/>
        <w:ind w:firstLine="420" w:firstLineChars="200"/>
      </w:pPr>
      <w:r>
        <w:t>13.1.2监理人不能按时进行验收时，应提前</w:t>
      </w:r>
      <w:r>
        <w:rPr>
          <w:u w:val="single"/>
        </w:rPr>
        <w:t xml:space="preserve">       </w:t>
      </w:r>
      <w:r>
        <w:t>小时提交书面延期要求。</w:t>
      </w:r>
    </w:p>
    <w:p w14:paraId="3A9E4E93">
      <w:pPr>
        <w:spacing w:line="360" w:lineRule="auto"/>
        <w:ind w:firstLine="420" w:firstLineChars="200"/>
      </w:pPr>
      <w:r>
        <w:t>关于延期最长不得超过：</w:t>
      </w:r>
      <w:r>
        <w:rPr>
          <w:u w:val="single"/>
        </w:rPr>
        <w:t xml:space="preserve">         </w:t>
      </w:r>
      <w:r>
        <w:t>小时。</w:t>
      </w:r>
    </w:p>
    <w:p w14:paraId="727CD82C">
      <w:pPr>
        <w:pStyle w:val="25"/>
        <w:spacing w:line="360" w:lineRule="auto"/>
        <w:ind w:firstLine="482" w:firstLineChars="200"/>
        <w:rPr>
          <w:b/>
        </w:rPr>
      </w:pPr>
      <w:bookmarkStart w:id="2019" w:name="_Toc152264708"/>
      <w:bookmarkStart w:id="2020" w:name="_Toc256000349"/>
      <w:bookmarkStart w:id="2021" w:name="_Toc296347222"/>
      <w:bookmarkStart w:id="2022" w:name="_Toc296944562"/>
      <w:bookmarkStart w:id="2023" w:name="_Toc296503223"/>
      <w:bookmarkStart w:id="2024" w:name="_Toc303539173"/>
      <w:bookmarkStart w:id="2025" w:name="_Toc292559428"/>
      <w:bookmarkStart w:id="2026" w:name="_Toc296891263"/>
      <w:bookmarkStart w:id="2027" w:name="_Toc312678056"/>
      <w:bookmarkStart w:id="2028" w:name="_Toc297048409"/>
      <w:bookmarkStart w:id="2029" w:name="_Toc292559933"/>
      <w:bookmarkStart w:id="2030" w:name="_Toc296346724"/>
      <w:bookmarkStart w:id="2031" w:name="_Toc296891051"/>
      <w:bookmarkStart w:id="2032" w:name="_Toc297216224"/>
      <w:bookmarkStart w:id="2033" w:name="_Toc297120523"/>
      <w:bookmarkStart w:id="2034" w:name="_Toc300935016"/>
      <w:bookmarkStart w:id="2035" w:name="_Toc297123565"/>
      <w:bookmarkStart w:id="2036" w:name="_Toc304295596"/>
      <w:bookmarkStart w:id="2037" w:name="_Toc267251474"/>
      <w:bookmarkStart w:id="2038" w:name="_Toc267251476"/>
      <w:bookmarkStart w:id="2039" w:name="_Toc267251471"/>
      <w:bookmarkStart w:id="2040" w:name="_Toc267251473"/>
      <w:bookmarkStart w:id="2041" w:name="_Toc267251470"/>
      <w:bookmarkStart w:id="2042" w:name="_Toc267251475"/>
      <w:bookmarkStart w:id="2043" w:name="_Toc267251472"/>
      <w:r>
        <w:rPr>
          <w:b/>
        </w:rPr>
        <w:t>13.2 竣工验收</w:t>
      </w:r>
      <w:bookmarkEnd w:id="2019"/>
      <w:bookmarkEnd w:id="2020"/>
    </w:p>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14:paraId="4CC8596B">
      <w:pPr>
        <w:spacing w:line="360" w:lineRule="auto"/>
        <w:ind w:firstLine="420" w:firstLineChars="200"/>
      </w:pPr>
      <w:bookmarkStart w:id="2044" w:name="_Toc280868704"/>
      <w:bookmarkStart w:id="2045" w:name="_Toc280868705"/>
      <w:bookmarkStart w:id="2046" w:name="_Toc280868706"/>
      <w:bookmarkStart w:id="2047" w:name="_Toc280868707"/>
      <w:bookmarkStart w:id="2048" w:name="_Toc280868708"/>
      <w:bookmarkStart w:id="2049" w:name="_Toc280868709"/>
      <w:r>
        <w:t>13.2.2竣工验收程序</w:t>
      </w:r>
    </w:p>
    <w:bookmarkEnd w:id="2044"/>
    <w:p w14:paraId="61E79FD1">
      <w:pPr>
        <w:spacing w:line="360" w:lineRule="auto"/>
        <w:ind w:firstLine="420" w:firstLineChars="200"/>
      </w:pPr>
      <w:r>
        <w:t>关于竣工验收程序的约定：</w:t>
      </w:r>
    </w:p>
    <w:p w14:paraId="1B45190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29A1872">
      <w:pPr>
        <w:spacing w:line="360" w:lineRule="auto"/>
        <w:ind w:firstLine="420" w:firstLineChars="200"/>
      </w:pPr>
      <w:r>
        <w:t>发包人不按照本项约定组织竣工验收、颁发工程接收证书的违约金的计算方法：</w:t>
      </w:r>
    </w:p>
    <w:bookmarkEnd w:id="2045"/>
    <w:p w14:paraId="00A6C449">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1864C46">
      <w:pPr>
        <w:spacing w:line="360" w:lineRule="auto"/>
        <w:ind w:firstLine="420" w:firstLineChars="200"/>
      </w:pPr>
      <w:r>
        <w:t>13.2.5移交、接收全部与部分工程</w:t>
      </w:r>
    </w:p>
    <w:bookmarkEnd w:id="2046"/>
    <w:p w14:paraId="25EB53E8">
      <w:pPr>
        <w:spacing w:line="360" w:lineRule="auto"/>
        <w:ind w:firstLine="420" w:firstLineChars="200"/>
      </w:pPr>
      <w:r>
        <w:rPr>
          <w:rFonts w:hint="eastAsia"/>
        </w:rPr>
        <w:t>承包人向发包人移交工程的期限：</w:t>
      </w:r>
    </w:p>
    <w:p w14:paraId="4DB0011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D84C1C0">
      <w:pPr>
        <w:spacing w:line="360" w:lineRule="auto"/>
        <w:ind w:firstLine="420" w:firstLineChars="200"/>
      </w:pPr>
      <w:r>
        <w:t>发包人未按本合同约定接收全部或部分工程的，违约金的计算方法为：</w:t>
      </w:r>
    </w:p>
    <w:bookmarkEnd w:id="2047"/>
    <w:p w14:paraId="230A4E1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C584F69">
      <w:pPr>
        <w:spacing w:line="360" w:lineRule="auto"/>
        <w:ind w:firstLine="420" w:firstLineChars="200"/>
      </w:pPr>
      <w:r>
        <w:t>承包人未按时移交工程的，违约金的计算方法为：</w:t>
      </w:r>
    </w:p>
    <w:p w14:paraId="1266C183">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62F19B8">
      <w:pPr>
        <w:pStyle w:val="25"/>
        <w:spacing w:line="360" w:lineRule="auto"/>
        <w:ind w:firstLine="482" w:firstLineChars="200"/>
      </w:pPr>
      <w:bookmarkStart w:id="2050" w:name="_Toc152264709"/>
      <w:bookmarkStart w:id="2051" w:name="_Toc256000350"/>
      <w:r>
        <w:rPr>
          <w:b/>
        </w:rPr>
        <w:t>13.3 工程试车</w:t>
      </w:r>
      <w:bookmarkEnd w:id="2050"/>
      <w:bookmarkEnd w:id="2051"/>
    </w:p>
    <w:bookmarkEnd w:id="2048"/>
    <w:p w14:paraId="7D632F4A">
      <w:pPr>
        <w:spacing w:line="360" w:lineRule="auto"/>
        <w:ind w:firstLine="420" w:firstLineChars="200"/>
      </w:pPr>
      <w:r>
        <w:t>13.3.1 试车程序</w:t>
      </w:r>
    </w:p>
    <w:p w14:paraId="1ADB8935">
      <w:pPr>
        <w:spacing w:line="360" w:lineRule="auto"/>
        <w:ind w:firstLine="420" w:firstLineChars="200"/>
      </w:pPr>
      <w:r>
        <w:t>工程试车内容：</w:t>
      </w:r>
    </w:p>
    <w:p w14:paraId="0397F87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E64F4B6">
      <w:pPr>
        <w:spacing w:line="360" w:lineRule="auto"/>
        <w:ind w:firstLine="420" w:firstLineChars="200"/>
      </w:pPr>
      <w:r>
        <w:t xml:space="preserve">（1）单机无负荷试车费用由 </w:t>
      </w:r>
      <w:r>
        <w:rPr>
          <w:u w:val="single"/>
        </w:rPr>
        <w:t xml:space="preserve">                    </w:t>
      </w:r>
      <w:r>
        <w:t>承担；</w:t>
      </w:r>
    </w:p>
    <w:p w14:paraId="29D5F056">
      <w:pPr>
        <w:spacing w:line="360" w:lineRule="auto"/>
        <w:ind w:firstLine="420" w:firstLineChars="200"/>
      </w:pPr>
      <w:r>
        <w:t>（2）无负荷联动试车费用由</w:t>
      </w:r>
      <w:r>
        <w:rPr>
          <w:u w:val="single"/>
        </w:rPr>
        <w:t xml:space="preserve">                     </w:t>
      </w:r>
      <w:r>
        <w:t>承担。</w:t>
      </w:r>
    </w:p>
    <w:p w14:paraId="1AA75006">
      <w:pPr>
        <w:spacing w:line="360" w:lineRule="auto"/>
        <w:ind w:firstLine="420" w:firstLineChars="200"/>
      </w:pPr>
      <w:r>
        <w:t>13.3.3 投料试车</w:t>
      </w:r>
    </w:p>
    <w:p w14:paraId="0EECC6DA">
      <w:pPr>
        <w:spacing w:line="360" w:lineRule="auto"/>
        <w:ind w:firstLine="420" w:firstLineChars="200"/>
      </w:pPr>
      <w:r>
        <w:rPr>
          <w:rFonts w:hint="eastAsia"/>
        </w:rPr>
        <w:t>关于投料试车相关事项的约定：</w:t>
      </w:r>
    </w:p>
    <w:p w14:paraId="3EF666C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E8A9908">
      <w:pPr>
        <w:pStyle w:val="25"/>
        <w:spacing w:line="360" w:lineRule="auto"/>
        <w:ind w:firstLine="482" w:firstLineChars="200"/>
        <w:rPr>
          <w:b/>
        </w:rPr>
      </w:pPr>
      <w:bookmarkStart w:id="2052" w:name="_Toc256000351"/>
      <w:bookmarkStart w:id="2053" w:name="_Toc152264710"/>
      <w:r>
        <w:rPr>
          <w:b/>
        </w:rPr>
        <w:t>13.6 竣工退场</w:t>
      </w:r>
      <w:bookmarkEnd w:id="2052"/>
      <w:bookmarkEnd w:id="2053"/>
    </w:p>
    <w:p w14:paraId="6F1F3EE6">
      <w:pPr>
        <w:spacing w:line="360" w:lineRule="auto"/>
        <w:ind w:firstLine="420" w:firstLineChars="200"/>
      </w:pPr>
      <w:r>
        <w:t>13.6.1 竣工退场</w:t>
      </w:r>
    </w:p>
    <w:p w14:paraId="4FADF0DC">
      <w:pPr>
        <w:spacing w:line="360" w:lineRule="auto"/>
        <w:ind w:firstLine="420" w:firstLineChars="200"/>
      </w:pPr>
      <w:r>
        <w:t>承包人完成竣工退场的期限：</w:t>
      </w:r>
      <w:r>
        <w:rPr>
          <w:u w:val="single"/>
        </w:rPr>
        <w:t xml:space="preserve">                 </w:t>
      </w:r>
      <w:r>
        <w:rPr>
          <w:rFonts w:hint="eastAsia"/>
          <w:u w:val="single"/>
        </w:rPr>
        <w:t xml:space="preserve">    </w:t>
      </w:r>
      <w:r>
        <w:rPr>
          <w:u w:val="single"/>
        </w:rPr>
        <w:t xml:space="preserve">       </w:t>
      </w:r>
      <w:r>
        <w:t>。</w:t>
      </w:r>
    </w:p>
    <w:p w14:paraId="661902A2">
      <w:pPr>
        <w:pStyle w:val="23"/>
        <w:spacing w:before="0" w:line="360" w:lineRule="auto"/>
        <w:ind w:firstLine="562" w:firstLineChars="200"/>
        <w:rPr>
          <w:b/>
        </w:rPr>
      </w:pPr>
      <w:bookmarkStart w:id="2054" w:name="_Toc351203646"/>
      <w:bookmarkStart w:id="2055" w:name="_Toc256000352"/>
      <w:bookmarkStart w:id="2056" w:name="_Toc152264711"/>
      <w:r>
        <w:rPr>
          <w:b/>
        </w:rPr>
        <w:t>14. 竣工结算</w:t>
      </w:r>
      <w:bookmarkEnd w:id="2054"/>
      <w:bookmarkEnd w:id="2055"/>
      <w:bookmarkEnd w:id="2056"/>
    </w:p>
    <w:p w14:paraId="6BE3A1A1">
      <w:pPr>
        <w:pStyle w:val="25"/>
        <w:spacing w:line="360" w:lineRule="auto"/>
        <w:ind w:firstLine="482" w:firstLineChars="200"/>
        <w:rPr>
          <w:b/>
        </w:rPr>
      </w:pPr>
      <w:bookmarkStart w:id="2057" w:name="_Toc256000353"/>
      <w:bookmarkStart w:id="2058" w:name="_Toc152264712"/>
      <w:r>
        <w:rPr>
          <w:b/>
        </w:rPr>
        <w:t>14.1 竣工</w:t>
      </w:r>
      <w:r>
        <w:rPr>
          <w:rFonts w:hint="eastAsia"/>
          <w:b/>
        </w:rPr>
        <w:t>结算</w:t>
      </w:r>
      <w:r>
        <w:rPr>
          <w:b/>
        </w:rPr>
        <w:t>申请</w:t>
      </w:r>
      <w:bookmarkEnd w:id="2057"/>
      <w:bookmarkEnd w:id="2058"/>
    </w:p>
    <w:p w14:paraId="794E77BA">
      <w:pPr>
        <w:spacing w:line="360" w:lineRule="auto"/>
        <w:ind w:firstLine="420" w:firstLineChars="200"/>
      </w:pPr>
      <w:r>
        <w:t>承包人提交竣工</w:t>
      </w:r>
      <w:r>
        <w:rPr>
          <w:rFonts w:hint="eastAsia"/>
        </w:rPr>
        <w:t>结算</w:t>
      </w:r>
      <w:r>
        <w:t>申请单的期限：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29CF4A0B">
      <w:pPr>
        <w:spacing w:line="360" w:lineRule="auto"/>
        <w:ind w:firstLine="420" w:firstLineChars="200"/>
      </w:pPr>
      <w:r>
        <w:t>竣工</w:t>
      </w:r>
      <w:r>
        <w:rPr>
          <w:rFonts w:hint="eastAsia"/>
        </w:rPr>
        <w:t>结算</w:t>
      </w:r>
      <w:r>
        <w:t>申请单应包括的内容：</w:t>
      </w:r>
    </w:p>
    <w:p w14:paraId="6D1F545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90AA783">
      <w:pPr>
        <w:pStyle w:val="25"/>
        <w:spacing w:line="360" w:lineRule="auto"/>
        <w:ind w:firstLine="482" w:firstLineChars="200"/>
        <w:rPr>
          <w:b/>
        </w:rPr>
      </w:pPr>
      <w:bookmarkStart w:id="2059" w:name="_Toc152264713"/>
      <w:bookmarkStart w:id="2060" w:name="_Toc256000354"/>
      <w:r>
        <w:rPr>
          <w:b/>
        </w:rPr>
        <w:t>14.2 竣工结算审核</w:t>
      </w:r>
      <w:bookmarkEnd w:id="2059"/>
      <w:bookmarkEnd w:id="2060"/>
    </w:p>
    <w:p w14:paraId="049DE229">
      <w:pPr>
        <w:spacing w:line="360" w:lineRule="auto"/>
        <w:ind w:firstLine="420" w:firstLineChars="200"/>
      </w:pPr>
      <w:r>
        <w:t>发包人</w:t>
      </w:r>
      <w:r>
        <w:rPr>
          <w:rFonts w:hint="eastAsia"/>
        </w:rPr>
        <w:t>审批</w:t>
      </w:r>
      <w:r>
        <w:t>竣工付款申请单的期限：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B597688">
      <w:pPr>
        <w:spacing w:line="360" w:lineRule="auto"/>
        <w:ind w:firstLine="420" w:firstLineChars="200"/>
      </w:pPr>
      <w:r>
        <w:t>发包人完成竣工付款的期限：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FBC66D0">
      <w:pPr>
        <w:spacing w:line="360" w:lineRule="auto"/>
        <w:ind w:firstLine="420" w:firstLineChars="200"/>
      </w:pPr>
      <w:r>
        <w:rPr>
          <w:rFonts w:hint="eastAsia"/>
        </w:rPr>
        <w:t>关于竣工付款证书异议部分复核的方式和程序：</w:t>
      </w:r>
    </w:p>
    <w:p w14:paraId="749B3BB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EC8DDD2">
      <w:pPr>
        <w:pStyle w:val="25"/>
        <w:spacing w:line="360" w:lineRule="auto"/>
        <w:ind w:firstLine="482" w:firstLineChars="200"/>
        <w:rPr>
          <w:b/>
        </w:rPr>
      </w:pPr>
      <w:bookmarkStart w:id="2061" w:name="_Toc152264714"/>
      <w:bookmarkStart w:id="2062" w:name="_Toc256000355"/>
      <w:r>
        <w:rPr>
          <w:b/>
        </w:rPr>
        <w:t>14.4 最终结清</w:t>
      </w:r>
      <w:bookmarkEnd w:id="2061"/>
      <w:bookmarkEnd w:id="2062"/>
    </w:p>
    <w:p w14:paraId="2C7E814A">
      <w:pPr>
        <w:spacing w:line="360" w:lineRule="auto"/>
        <w:ind w:firstLine="420" w:firstLineChars="200"/>
      </w:pPr>
      <w:r>
        <w:t>14.4.1 最终结清申请单</w:t>
      </w:r>
    </w:p>
    <w:p w14:paraId="1A9DE69E">
      <w:pPr>
        <w:spacing w:line="360" w:lineRule="auto"/>
        <w:ind w:firstLine="420" w:firstLineChars="200"/>
      </w:pPr>
      <w:r>
        <w:t>承包人提交最终结清申请单的份数：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FB3EBE4">
      <w:pPr>
        <w:spacing w:line="360" w:lineRule="auto"/>
        <w:ind w:firstLine="420" w:firstLineChars="200"/>
      </w:pPr>
      <w:r>
        <w:t>承包人提交最终结算申请单的期限：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6986BAD1">
      <w:pPr>
        <w:spacing w:line="360" w:lineRule="auto"/>
        <w:ind w:firstLine="420" w:firstLineChars="200"/>
      </w:pPr>
      <w:r>
        <w:t>14.4.2 最终结清证书和支付</w:t>
      </w:r>
    </w:p>
    <w:p w14:paraId="301AA5FF">
      <w:pPr>
        <w:spacing w:line="360" w:lineRule="auto"/>
        <w:ind w:firstLine="420" w:firstLineChars="200"/>
      </w:pPr>
      <w:r>
        <w:t>（1）发包人完成最终结清申请单的</w:t>
      </w:r>
      <w:r>
        <w:rPr>
          <w:rFonts w:hint="eastAsia"/>
        </w:rPr>
        <w:t>审批</w:t>
      </w:r>
      <w:r>
        <w:t>并颁发最终结清证书的期限：</w:t>
      </w:r>
    </w:p>
    <w:p w14:paraId="3814394E">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C35E961">
      <w:pPr>
        <w:spacing w:line="360" w:lineRule="auto"/>
        <w:ind w:firstLine="420" w:firstLineChars="200"/>
      </w:pPr>
      <w:r>
        <w:t>（2）发包人完成支付的期限：</w:t>
      </w:r>
    </w:p>
    <w:p w14:paraId="7DA3E5C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2037"/>
    <w:bookmarkEnd w:id="2038"/>
    <w:bookmarkEnd w:id="2039"/>
    <w:bookmarkEnd w:id="2040"/>
    <w:bookmarkEnd w:id="2041"/>
    <w:bookmarkEnd w:id="2042"/>
    <w:bookmarkEnd w:id="2043"/>
    <w:bookmarkEnd w:id="2049"/>
    <w:p w14:paraId="75AB5D4D">
      <w:pPr>
        <w:pStyle w:val="23"/>
        <w:spacing w:before="0" w:line="360" w:lineRule="auto"/>
        <w:ind w:firstLine="562" w:firstLineChars="200"/>
        <w:rPr>
          <w:b/>
        </w:rPr>
      </w:pPr>
      <w:bookmarkStart w:id="2063" w:name="_Toc152264715"/>
      <w:bookmarkStart w:id="2064" w:name="_Toc256000356"/>
      <w:bookmarkStart w:id="2065" w:name="_Toc351203647"/>
      <w:bookmarkStart w:id="2066" w:name="_Toc267251483"/>
      <w:bookmarkStart w:id="2067" w:name="_Toc267251482"/>
      <w:bookmarkStart w:id="2068" w:name="_Toc267251484"/>
      <w:bookmarkStart w:id="2069" w:name="_Toc267251485"/>
      <w:bookmarkStart w:id="2070" w:name="_Toc267251488"/>
      <w:bookmarkStart w:id="2071" w:name="_Toc267251490"/>
      <w:bookmarkStart w:id="2072" w:name="_Toc267251486"/>
      <w:bookmarkStart w:id="2073" w:name="_Toc267251489"/>
      <w:bookmarkStart w:id="2074" w:name="_Toc267251499"/>
      <w:bookmarkStart w:id="2075" w:name="_Toc267251491"/>
      <w:bookmarkStart w:id="2076" w:name="_Toc267251495"/>
      <w:bookmarkStart w:id="2077" w:name="_Toc267251496"/>
      <w:bookmarkStart w:id="2078" w:name="_Toc267251501"/>
      <w:bookmarkStart w:id="2079" w:name="_Toc267251502"/>
      <w:bookmarkStart w:id="2080" w:name="_Toc267251498"/>
      <w:bookmarkStart w:id="2081" w:name="_Toc267251493"/>
      <w:bookmarkStart w:id="2082" w:name="_Toc267251494"/>
      <w:bookmarkStart w:id="2083" w:name="_Toc267251492"/>
      <w:bookmarkStart w:id="2084" w:name="_Toc267251497"/>
      <w:bookmarkStart w:id="2085" w:name="_Toc267251503"/>
      <w:bookmarkStart w:id="2086" w:name="_Toc267251506"/>
      <w:bookmarkStart w:id="2087" w:name="_Toc267251504"/>
      <w:bookmarkStart w:id="2088" w:name="_Toc267251507"/>
      <w:bookmarkStart w:id="2089" w:name="_Toc267251508"/>
      <w:bookmarkStart w:id="2090" w:name="_Toc267251510"/>
      <w:bookmarkStart w:id="2091" w:name="_Toc267251514"/>
      <w:bookmarkStart w:id="2092" w:name="_Toc267251511"/>
      <w:bookmarkStart w:id="2093" w:name="_Toc267251513"/>
      <w:bookmarkStart w:id="2094" w:name="_Toc267251509"/>
      <w:bookmarkStart w:id="2095" w:name="_Toc267251515"/>
      <w:r>
        <w:rPr>
          <w:b/>
        </w:rPr>
        <w:t>15. 缺陷责任期与保修</w:t>
      </w:r>
      <w:bookmarkEnd w:id="2063"/>
      <w:bookmarkEnd w:id="2064"/>
      <w:bookmarkEnd w:id="2065"/>
    </w:p>
    <w:p w14:paraId="7189861C">
      <w:pPr>
        <w:pStyle w:val="25"/>
        <w:spacing w:line="360" w:lineRule="auto"/>
        <w:ind w:firstLine="482" w:firstLineChars="200"/>
        <w:rPr>
          <w:b/>
        </w:rPr>
      </w:pPr>
      <w:bookmarkStart w:id="2096" w:name="_Toc152264716"/>
      <w:bookmarkStart w:id="2097" w:name="_Toc256000357"/>
      <w:r>
        <w:rPr>
          <w:b/>
        </w:rPr>
        <w:t>15.2缺陷责任期</w:t>
      </w:r>
      <w:bookmarkEnd w:id="2066"/>
      <w:bookmarkEnd w:id="2096"/>
      <w:bookmarkEnd w:id="2097"/>
    </w:p>
    <w:p w14:paraId="2123BA29">
      <w:pPr>
        <w:spacing w:line="360" w:lineRule="auto"/>
        <w:ind w:firstLine="420" w:firstLineChars="200"/>
      </w:pPr>
      <w:r>
        <w:t>缺陷责任期的具体期限：</w:t>
      </w:r>
    </w:p>
    <w:p w14:paraId="28BAD7D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7A82BD9">
      <w:pPr>
        <w:pStyle w:val="25"/>
        <w:spacing w:line="360" w:lineRule="auto"/>
        <w:ind w:firstLine="482" w:firstLineChars="200"/>
        <w:rPr>
          <w:b/>
        </w:rPr>
      </w:pPr>
      <w:bookmarkStart w:id="2098" w:name="_Toc256000358"/>
      <w:bookmarkStart w:id="2099" w:name="_Toc152264717"/>
      <w:r>
        <w:rPr>
          <w:b/>
        </w:rPr>
        <w:t>15.3 质量保证金</w:t>
      </w:r>
      <w:bookmarkEnd w:id="2098"/>
      <w:bookmarkEnd w:id="2099"/>
    </w:p>
    <w:p w14:paraId="0314809F">
      <w:pPr>
        <w:spacing w:line="360" w:lineRule="auto"/>
        <w:ind w:firstLine="420" w:firstLineChars="200"/>
      </w:pPr>
      <w:r>
        <w:rPr>
          <w:rFonts w:hint="eastAsia"/>
        </w:rPr>
        <w:t>关于是否扣留质量保证金的约定：</w:t>
      </w:r>
    </w:p>
    <w:p w14:paraId="750E048C">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A872278">
      <w:pPr>
        <w:spacing w:line="360" w:lineRule="auto"/>
        <w:ind w:firstLine="420" w:firstLineChars="200"/>
      </w:pPr>
      <w:r>
        <w:rPr>
          <w:rFonts w:hint="eastAsia"/>
        </w:rPr>
        <w:t>在工程项目竣工前，承包人按专用合同条款第3.7条提供履约担保的，发包人不得同时预留工程质量保证金。</w:t>
      </w:r>
    </w:p>
    <w:p w14:paraId="08CF5BFF">
      <w:pPr>
        <w:spacing w:line="360" w:lineRule="auto"/>
        <w:ind w:firstLine="420" w:firstLineChars="200"/>
      </w:pPr>
      <w:r>
        <w:t xml:space="preserve">15.3.1 </w:t>
      </w:r>
      <w:r>
        <w:rPr>
          <w:rFonts w:hint="eastAsia"/>
        </w:rPr>
        <w:t>承包人提供</w:t>
      </w:r>
      <w:r>
        <w:t>质量保证金的</w:t>
      </w:r>
      <w:r>
        <w:rPr>
          <w:rFonts w:hint="eastAsia"/>
        </w:rPr>
        <w:t>方</w:t>
      </w:r>
      <w:r>
        <w:t>式</w:t>
      </w:r>
    </w:p>
    <w:p w14:paraId="29FD1DE6">
      <w:pPr>
        <w:spacing w:line="360" w:lineRule="auto"/>
        <w:ind w:firstLine="420" w:firstLineChars="200"/>
      </w:pPr>
      <w:r>
        <w:t>质量保证金采用以下第</w:t>
      </w:r>
      <w:r>
        <w:rPr>
          <w:u w:val="single"/>
        </w:rPr>
        <w:t xml:space="preserve"> </w:t>
      </w:r>
      <w:r>
        <w:rPr>
          <w:rFonts w:hint="eastAsia"/>
          <w:u w:val="single"/>
        </w:rPr>
        <w:t xml:space="preserve">    </w:t>
      </w:r>
      <w:r>
        <w:rPr>
          <w:u w:val="single"/>
        </w:rPr>
        <w:t xml:space="preserve">  </w:t>
      </w:r>
      <w:r>
        <w:t>种方式：</w:t>
      </w:r>
    </w:p>
    <w:p w14:paraId="503C8FAB">
      <w:pPr>
        <w:spacing w:line="360" w:lineRule="auto"/>
        <w:ind w:firstLine="420" w:firstLineChars="200"/>
      </w:pPr>
      <w:r>
        <w:t>（1）质量保证金保函，保证金额为：</w:t>
      </w:r>
      <w:r>
        <w:rPr>
          <w:u w:val="single"/>
        </w:rPr>
        <w:t xml:space="preserve">   </w:t>
      </w:r>
      <w:r>
        <w:rPr>
          <w:rFonts w:hint="eastAsia"/>
          <w:u w:val="single"/>
        </w:rPr>
        <w:t xml:space="preserve">            </w:t>
      </w:r>
      <w:r>
        <w:rPr>
          <w:u w:val="single"/>
        </w:rPr>
        <w:t xml:space="preserve">    </w:t>
      </w:r>
      <w:r>
        <w:t xml:space="preserve">； </w:t>
      </w:r>
    </w:p>
    <w:p w14:paraId="02C44957">
      <w:pPr>
        <w:spacing w:line="360" w:lineRule="auto"/>
        <w:ind w:firstLine="420" w:firstLineChars="200"/>
      </w:pPr>
      <w:r>
        <w:t>（2）</w:t>
      </w:r>
      <w:r>
        <w:rPr>
          <w:u w:val="single"/>
        </w:rPr>
        <w:t xml:space="preserve">     </w:t>
      </w:r>
      <w:r>
        <w:rPr>
          <w:rFonts w:hint="eastAsia"/>
          <w:u w:val="single"/>
        </w:rPr>
        <w:t xml:space="preserve"> </w:t>
      </w:r>
      <w:r>
        <w:rPr>
          <w:u w:val="single"/>
        </w:rPr>
        <w:t xml:space="preserve">  </w:t>
      </w:r>
      <w:r>
        <w:t>%的工程款；</w:t>
      </w:r>
    </w:p>
    <w:p w14:paraId="1F572AA2">
      <w:pPr>
        <w:spacing w:line="360" w:lineRule="auto"/>
        <w:ind w:firstLine="420" w:firstLineChars="200"/>
      </w:pPr>
      <w:r>
        <w:t>（3）其他</w:t>
      </w:r>
      <w:r>
        <w:rPr>
          <w:rFonts w:hint="eastAsia"/>
        </w:rPr>
        <w:t>方</w:t>
      </w:r>
      <w:r>
        <w:t xml:space="preserve">式: </w:t>
      </w:r>
      <w:r>
        <w:rPr>
          <w:u w:val="single"/>
        </w:rPr>
        <w:t xml:space="preserve">         </w:t>
      </w:r>
      <w:r>
        <w:rPr>
          <w:rFonts w:hint="eastAsia"/>
          <w:u w:val="single"/>
        </w:rPr>
        <w:t xml:space="preserve">                       </w:t>
      </w:r>
      <w:r>
        <w:rPr>
          <w:u w:val="single"/>
        </w:rPr>
        <w:t xml:space="preserve">      </w:t>
      </w:r>
      <w:r>
        <w:t>。</w:t>
      </w:r>
    </w:p>
    <w:p w14:paraId="42688D5F">
      <w:pPr>
        <w:spacing w:line="360" w:lineRule="auto"/>
        <w:ind w:firstLine="420" w:firstLineChars="200"/>
      </w:pPr>
      <w:r>
        <w:t xml:space="preserve">15.3.2 质量保证金的扣留 </w:t>
      </w:r>
    </w:p>
    <w:p w14:paraId="2ECAF112">
      <w:pPr>
        <w:spacing w:line="360" w:lineRule="auto"/>
        <w:ind w:firstLine="420" w:firstLineChars="200"/>
      </w:pPr>
      <w:r>
        <w:t>质量保证金的扣留采取以下第</w:t>
      </w:r>
      <w:r>
        <w:rPr>
          <w:u w:val="single"/>
        </w:rPr>
        <w:t xml:space="preserve"> </w:t>
      </w:r>
      <w:r>
        <w:rPr>
          <w:rFonts w:hint="eastAsia"/>
          <w:u w:val="single"/>
        </w:rPr>
        <w:t xml:space="preserve">    </w:t>
      </w:r>
      <w:r>
        <w:rPr>
          <w:u w:val="single"/>
        </w:rPr>
        <w:t xml:space="preserve">  </w:t>
      </w:r>
      <w:r>
        <w:t>种方式：</w:t>
      </w:r>
    </w:p>
    <w:p w14:paraId="7F074725">
      <w:pPr>
        <w:spacing w:line="360" w:lineRule="auto"/>
        <w:ind w:firstLine="420" w:firstLineChars="200"/>
      </w:pPr>
      <w:r>
        <w:t>（1）在支付工程进度款时逐次扣留，在此情形下，质量保证金的计算基数不包括预付款的支付、扣回以及价格调整的金额；</w:t>
      </w:r>
    </w:p>
    <w:p w14:paraId="4EFB14DB">
      <w:pPr>
        <w:spacing w:line="360" w:lineRule="auto"/>
        <w:ind w:firstLine="420" w:firstLineChars="200"/>
      </w:pPr>
      <w:r>
        <w:t>（2）工程竣工结算时一次性扣留质量保证金；</w:t>
      </w:r>
    </w:p>
    <w:p w14:paraId="39199F0F">
      <w:pPr>
        <w:spacing w:line="360" w:lineRule="auto"/>
        <w:ind w:firstLine="420" w:firstLineChars="200"/>
      </w:pPr>
      <w:r>
        <w:t xml:space="preserve">（3）其他扣留方式: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17211D1C">
      <w:pPr>
        <w:spacing w:line="360" w:lineRule="auto"/>
        <w:ind w:firstLine="420" w:firstLineChars="200"/>
      </w:pPr>
      <w:r>
        <w:t>关于质量保证金的补充约定：</w:t>
      </w:r>
      <w:r>
        <w:rPr>
          <w:u w:val="single"/>
        </w:rPr>
        <w:t xml:space="preserve">                </w:t>
      </w:r>
      <w:r>
        <w:rPr>
          <w:rFonts w:hint="eastAsia"/>
          <w:u w:val="single"/>
        </w:rPr>
        <w:t xml:space="preserve">          </w:t>
      </w:r>
      <w:r>
        <w:rPr>
          <w:u w:val="single"/>
        </w:rPr>
        <w:t xml:space="preserve">    </w:t>
      </w:r>
      <w:r>
        <w:rPr>
          <w:rFonts w:hint="eastAsia"/>
          <w:u w:val="single"/>
        </w:rPr>
        <w:t xml:space="preserve">   </w:t>
      </w:r>
      <w:r>
        <w:t>。</w:t>
      </w:r>
    </w:p>
    <w:bookmarkEnd w:id="2067"/>
    <w:bookmarkEnd w:id="2068"/>
    <w:p w14:paraId="7F58826B">
      <w:pPr>
        <w:pStyle w:val="25"/>
        <w:spacing w:line="360" w:lineRule="auto"/>
        <w:ind w:firstLine="482" w:firstLineChars="200"/>
        <w:rPr>
          <w:b/>
        </w:rPr>
      </w:pPr>
      <w:bookmarkStart w:id="2100" w:name="_Toc256000359"/>
      <w:bookmarkStart w:id="2101" w:name="_Toc152264718"/>
      <w:r>
        <w:rPr>
          <w:b/>
        </w:rPr>
        <w:t>15.4保修</w:t>
      </w:r>
      <w:bookmarkEnd w:id="2100"/>
      <w:bookmarkEnd w:id="2101"/>
    </w:p>
    <w:bookmarkEnd w:id="2069"/>
    <w:p w14:paraId="4AD5D9A0">
      <w:pPr>
        <w:spacing w:line="360" w:lineRule="auto"/>
        <w:ind w:firstLine="420" w:firstLineChars="200"/>
      </w:pPr>
      <w:r>
        <w:t>15.4.1 保修责任</w:t>
      </w:r>
    </w:p>
    <w:p w14:paraId="315CBC45">
      <w:pPr>
        <w:spacing w:line="360" w:lineRule="auto"/>
        <w:ind w:firstLine="420" w:firstLineChars="200"/>
      </w:pPr>
      <w:r>
        <w:t xml:space="preserve">工程保修期为： </w:t>
      </w:r>
    </w:p>
    <w:p w14:paraId="349F50D2">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F48E19B">
      <w:pPr>
        <w:spacing w:line="360" w:lineRule="auto"/>
        <w:ind w:firstLine="420" w:firstLineChars="200"/>
      </w:pPr>
      <w:r>
        <w:t>15.4.3 修复通知</w:t>
      </w:r>
    </w:p>
    <w:p w14:paraId="58B08F1E">
      <w:pPr>
        <w:spacing w:line="360" w:lineRule="auto"/>
        <w:ind w:firstLine="420" w:firstLineChars="200"/>
      </w:pPr>
      <w:r>
        <w:t xml:space="preserve">承包人收到保修通知并到达工程现场的合理时间： </w:t>
      </w:r>
    </w:p>
    <w:p w14:paraId="0221EAA0">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2070"/>
    <w:bookmarkEnd w:id="2071"/>
    <w:bookmarkEnd w:id="2072"/>
    <w:bookmarkEnd w:id="2073"/>
    <w:p w14:paraId="648353F8">
      <w:pPr>
        <w:pStyle w:val="23"/>
        <w:spacing w:before="0" w:line="360" w:lineRule="auto"/>
        <w:ind w:firstLine="562" w:firstLineChars="200"/>
        <w:rPr>
          <w:b/>
        </w:rPr>
      </w:pPr>
      <w:bookmarkStart w:id="2102" w:name="_Toc256000360"/>
      <w:bookmarkStart w:id="2103" w:name="_Toc351203648"/>
      <w:bookmarkStart w:id="2104" w:name="_Toc152264719"/>
      <w:bookmarkStart w:id="2105" w:name="_Toc280868717"/>
      <w:bookmarkStart w:id="2106" w:name="_Toc280868718"/>
      <w:r>
        <w:rPr>
          <w:b/>
        </w:rPr>
        <w:t>16. 违约</w:t>
      </w:r>
      <w:bookmarkEnd w:id="2102"/>
      <w:bookmarkEnd w:id="2103"/>
      <w:bookmarkEnd w:id="2104"/>
    </w:p>
    <w:p w14:paraId="686F117F">
      <w:pPr>
        <w:pStyle w:val="25"/>
        <w:spacing w:line="360" w:lineRule="auto"/>
        <w:ind w:firstLine="482" w:firstLineChars="200"/>
        <w:rPr>
          <w:b/>
        </w:rPr>
      </w:pPr>
      <w:bookmarkStart w:id="2107" w:name="_Toc152264720"/>
      <w:bookmarkStart w:id="2108" w:name="_Toc256000361"/>
      <w:r>
        <w:rPr>
          <w:b/>
        </w:rPr>
        <w:t>16.1 发包人违约</w:t>
      </w:r>
      <w:bookmarkEnd w:id="2107"/>
      <w:bookmarkEnd w:id="2108"/>
    </w:p>
    <w:p w14:paraId="7670C7D2">
      <w:pPr>
        <w:spacing w:line="360" w:lineRule="auto"/>
        <w:ind w:firstLine="420" w:firstLineChars="200"/>
      </w:pPr>
      <w:r>
        <w:t>16.1.1发包人违约的情形</w:t>
      </w:r>
    </w:p>
    <w:p w14:paraId="455A8CBE">
      <w:pPr>
        <w:spacing w:line="360" w:lineRule="auto"/>
        <w:ind w:firstLine="420" w:firstLineChars="200"/>
      </w:pPr>
      <w:r>
        <w:t>发包人违约的其他情形：</w:t>
      </w:r>
    </w:p>
    <w:p w14:paraId="7FB59B35">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61B26C2">
      <w:pPr>
        <w:spacing w:line="360" w:lineRule="auto"/>
        <w:ind w:firstLine="420" w:firstLineChars="200"/>
      </w:pPr>
      <w:r>
        <w:t>16.1.2 发包人违约的责任</w:t>
      </w:r>
    </w:p>
    <w:p w14:paraId="50BF1C4C">
      <w:pPr>
        <w:spacing w:line="360" w:lineRule="auto"/>
        <w:ind w:firstLine="420" w:firstLineChars="200"/>
      </w:pPr>
      <w:r>
        <w:t>发包人违约责任的承担方式和计算方法：</w:t>
      </w:r>
    </w:p>
    <w:p w14:paraId="2392FB43">
      <w:pPr>
        <w:spacing w:line="360" w:lineRule="auto"/>
        <w:ind w:firstLine="420" w:firstLineChars="200"/>
      </w:pPr>
      <w:r>
        <w:t>（1）因发包人原因未能在计划开工日期前7天内下达开工通知的违约责任：</w:t>
      </w:r>
    </w:p>
    <w:p w14:paraId="24F1E1A1">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FA7F27D">
      <w:pPr>
        <w:spacing w:line="360" w:lineRule="auto"/>
        <w:ind w:firstLine="420" w:firstLineChars="200"/>
      </w:pPr>
      <w:r>
        <w:t>（2）因发包人原因未能按合同约定支付合同价款的违约责任：</w:t>
      </w:r>
    </w:p>
    <w:p w14:paraId="5B93A9C8">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516063F">
      <w:pPr>
        <w:spacing w:line="360" w:lineRule="auto"/>
        <w:ind w:firstLine="420" w:firstLineChars="200"/>
      </w:pPr>
      <w:r>
        <w:t>（3）发包人违反第10.1款</w:t>
      </w:r>
      <w:r>
        <w:rPr>
          <w:rFonts w:hint="eastAsia"/>
        </w:rPr>
        <w:t>〔</w:t>
      </w:r>
      <w:r>
        <w:t>变更的范围</w:t>
      </w:r>
      <w:r>
        <w:rPr>
          <w:rFonts w:hint="eastAsia"/>
        </w:rPr>
        <w:t>〕</w:t>
      </w:r>
      <w:r>
        <w:t xml:space="preserve">第（2）项约定，自行实施被取消的工作或转由他人实施的违约责任：      </w:t>
      </w:r>
      <w:r>
        <w:rPr>
          <w:rFonts w:hint="eastAsia"/>
        </w:rPr>
        <w:t xml:space="preserve">        </w:t>
      </w:r>
    </w:p>
    <w:p w14:paraId="0BE98BAF">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E5AE206">
      <w:pPr>
        <w:spacing w:line="360" w:lineRule="auto"/>
        <w:ind w:firstLine="420" w:firstLineChars="200"/>
      </w:pPr>
      <w:r>
        <w:t xml:space="preserve">（4）发包人提供的材料、工程设备的规格、数量或质量不符合合同约定，或因发包人原因导致交货日期延误或交货地点变更等情况的违约责任：        </w:t>
      </w:r>
      <w:r>
        <w:rPr>
          <w:rFonts w:hint="eastAsia"/>
        </w:rPr>
        <w:t xml:space="preserve">          </w:t>
      </w:r>
    </w:p>
    <w:p w14:paraId="3D36834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E75C8AE">
      <w:pPr>
        <w:spacing w:line="360" w:lineRule="auto"/>
        <w:ind w:firstLine="420" w:firstLineChars="200"/>
      </w:pPr>
      <w:r>
        <w:t xml:space="preserve">（5）因发包人违反合同约定造成暂停施工的违约责任：     </w:t>
      </w:r>
    </w:p>
    <w:p w14:paraId="3FD134C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6E04097">
      <w:pPr>
        <w:spacing w:line="360" w:lineRule="auto"/>
        <w:ind w:firstLine="420" w:firstLineChars="200"/>
      </w:pPr>
      <w:r>
        <w:t xml:space="preserve">（6）发包人无正当理由没有在约定期限内发出复工指示，导致承包人无法复工的违约责任： </w:t>
      </w:r>
    </w:p>
    <w:p w14:paraId="3A7C8D32">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3C3240D">
      <w:pPr>
        <w:spacing w:line="360" w:lineRule="auto"/>
        <w:ind w:firstLine="420" w:firstLineChars="200"/>
      </w:pPr>
      <w:r>
        <w:t>（7）</w:t>
      </w:r>
      <w:r>
        <w:rPr>
          <w:rFonts w:hint="eastAsia"/>
        </w:rPr>
        <w:t>其他：</w:t>
      </w:r>
    </w:p>
    <w:p w14:paraId="67F79C9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756D004">
      <w:pPr>
        <w:spacing w:line="360" w:lineRule="auto"/>
        <w:ind w:firstLine="420" w:firstLineChars="200"/>
      </w:pPr>
      <w:r>
        <w:t>16.1.3 因发包人违约解除合同</w:t>
      </w:r>
    </w:p>
    <w:p w14:paraId="3B9E55F8">
      <w:pPr>
        <w:spacing w:line="360" w:lineRule="auto"/>
        <w:ind w:firstLine="420" w:firstLineChars="200"/>
      </w:pPr>
      <w:r>
        <w:t>承包人按16.1.1项</w:t>
      </w:r>
      <w:r>
        <w:rPr>
          <w:rFonts w:hint="eastAsia"/>
        </w:rPr>
        <w:t>〔</w:t>
      </w:r>
      <w:r>
        <w:t>发包人违约的情形</w:t>
      </w:r>
      <w:r>
        <w:rPr>
          <w:rFonts w:hint="eastAsia"/>
        </w:rPr>
        <w:t>〕</w:t>
      </w:r>
      <w:r>
        <w:t>约定暂停施工满</w:t>
      </w:r>
      <w:r>
        <w:rPr>
          <w:u w:val="single"/>
        </w:rPr>
        <w:t xml:space="preserve">   </w:t>
      </w:r>
      <w:r>
        <w:rPr>
          <w:rFonts w:hint="eastAsia"/>
          <w:u w:val="single"/>
        </w:rPr>
        <w:t xml:space="preserve">  </w:t>
      </w:r>
      <w:r>
        <w:rPr>
          <w:u w:val="single"/>
        </w:rPr>
        <w:t xml:space="preserve"> </w:t>
      </w:r>
      <w:r>
        <w:t>天后发包人仍不纠正其违约行为并致使合同目的不能实现的，承包人有权解除合同。</w:t>
      </w:r>
    </w:p>
    <w:p w14:paraId="278B32B5">
      <w:pPr>
        <w:pStyle w:val="25"/>
        <w:spacing w:line="360" w:lineRule="auto"/>
        <w:ind w:firstLine="482" w:firstLineChars="200"/>
        <w:rPr>
          <w:b/>
        </w:rPr>
      </w:pPr>
      <w:bookmarkStart w:id="2109" w:name="_Toc152264721"/>
      <w:bookmarkStart w:id="2110" w:name="_Toc256000362"/>
      <w:r>
        <w:rPr>
          <w:b/>
        </w:rPr>
        <w:t>16.2 承包人违约</w:t>
      </w:r>
      <w:bookmarkEnd w:id="2109"/>
      <w:bookmarkEnd w:id="2110"/>
    </w:p>
    <w:p w14:paraId="05BF1B60">
      <w:pPr>
        <w:spacing w:line="360" w:lineRule="auto"/>
        <w:ind w:firstLine="420" w:firstLineChars="200"/>
      </w:pPr>
      <w:r>
        <w:t>16.2.1 承包人违约的情形</w:t>
      </w:r>
    </w:p>
    <w:p w14:paraId="70C407AD">
      <w:pPr>
        <w:spacing w:line="360" w:lineRule="auto"/>
        <w:ind w:firstLine="420" w:firstLineChars="200"/>
      </w:pPr>
      <w:r>
        <w:t>承包人违约的其他情形：</w:t>
      </w:r>
    </w:p>
    <w:p w14:paraId="4140635D">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9BA333C">
      <w:pPr>
        <w:spacing w:line="360" w:lineRule="auto"/>
        <w:ind w:firstLine="420" w:firstLineChars="200"/>
      </w:pPr>
      <w:r>
        <w:t>16.2.2承包人违约的责任</w:t>
      </w:r>
    </w:p>
    <w:p w14:paraId="7BB6386D">
      <w:pPr>
        <w:spacing w:line="360" w:lineRule="auto"/>
        <w:ind w:firstLine="420" w:firstLineChars="200"/>
      </w:pPr>
      <w:r>
        <w:t>承包人违约责任的承担方式和计算方法：</w:t>
      </w:r>
    </w:p>
    <w:p w14:paraId="6909152F">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61EFF4B8">
      <w:pPr>
        <w:spacing w:line="360" w:lineRule="auto"/>
        <w:ind w:firstLine="420" w:firstLineChars="200"/>
      </w:pPr>
      <w:r>
        <w:t>16.2.3 因承包人违约解除合同</w:t>
      </w:r>
    </w:p>
    <w:p w14:paraId="587D7036">
      <w:pPr>
        <w:spacing w:line="360" w:lineRule="auto"/>
        <w:ind w:firstLine="420" w:firstLineChars="200"/>
      </w:pPr>
      <w:r>
        <w:t xml:space="preserve">关于承包人违约解除合同的特别约定：        </w:t>
      </w:r>
      <w:r>
        <w:rPr>
          <w:rFonts w:hint="eastAsia"/>
        </w:rPr>
        <w:t xml:space="preserve">       </w:t>
      </w:r>
      <w:r>
        <w:t xml:space="preserve">     </w:t>
      </w:r>
    </w:p>
    <w:p w14:paraId="54B1AF47">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C357F1B">
      <w:pPr>
        <w:spacing w:line="360" w:lineRule="auto"/>
        <w:ind w:firstLine="420" w:firstLineChars="200"/>
      </w:pPr>
      <w:r>
        <w:t>发包人</w:t>
      </w:r>
      <w:r>
        <w:rPr>
          <w:rFonts w:hint="eastAsia"/>
        </w:rPr>
        <w:t>继续</w:t>
      </w:r>
      <w:r>
        <w:t>使用承包人在施工现场的材料、设备、临时工程、承包人文件和由承包人或以其名义编制的其他文件</w:t>
      </w:r>
      <w:r>
        <w:rPr>
          <w:rFonts w:hint="eastAsia"/>
        </w:rPr>
        <w:t>的费用承担方式</w:t>
      </w:r>
      <w:r>
        <w:t>：</w:t>
      </w:r>
    </w:p>
    <w:p w14:paraId="5A11BA1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5EE4F67">
      <w:pPr>
        <w:pStyle w:val="23"/>
        <w:spacing w:before="0" w:line="360" w:lineRule="auto"/>
        <w:ind w:firstLine="562" w:firstLineChars="200"/>
        <w:rPr>
          <w:b/>
        </w:rPr>
      </w:pPr>
      <w:bookmarkStart w:id="2111" w:name="_Toc152264722"/>
      <w:bookmarkStart w:id="2112" w:name="_Toc351203649"/>
      <w:bookmarkStart w:id="2113" w:name="_Toc256000363"/>
      <w:r>
        <w:rPr>
          <w:b/>
        </w:rPr>
        <w:t>17. 不可抗力</w:t>
      </w:r>
      <w:bookmarkEnd w:id="2111"/>
      <w:bookmarkEnd w:id="2112"/>
      <w:bookmarkEnd w:id="2113"/>
      <w:r>
        <w:rPr>
          <w:b/>
        </w:rPr>
        <w:t xml:space="preserve"> </w:t>
      </w:r>
      <w:bookmarkEnd w:id="2105"/>
    </w:p>
    <w:p w14:paraId="7B1EAE63">
      <w:pPr>
        <w:pStyle w:val="25"/>
        <w:spacing w:line="360" w:lineRule="auto"/>
        <w:ind w:firstLine="482" w:firstLineChars="200"/>
        <w:rPr>
          <w:b/>
        </w:rPr>
      </w:pPr>
      <w:bookmarkStart w:id="2114" w:name="_Toc256000364"/>
      <w:bookmarkStart w:id="2115" w:name="_Toc152264723"/>
      <w:r>
        <w:rPr>
          <w:b/>
        </w:rPr>
        <w:t>17.1 不可抗力的确认</w:t>
      </w:r>
      <w:bookmarkEnd w:id="2114"/>
      <w:bookmarkEnd w:id="2115"/>
    </w:p>
    <w:p w14:paraId="699AC6A5">
      <w:pPr>
        <w:spacing w:line="360" w:lineRule="auto"/>
        <w:ind w:firstLine="420" w:firstLineChars="200"/>
      </w:pPr>
      <w:r>
        <w:t xml:space="preserve">除通用合同条款约定的不可抗力事件之外，视为不可抗力的其他情形： </w:t>
      </w:r>
    </w:p>
    <w:p w14:paraId="2B8BA097">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4F43FA7">
      <w:pPr>
        <w:pStyle w:val="25"/>
        <w:spacing w:line="360" w:lineRule="auto"/>
        <w:ind w:firstLine="482" w:firstLineChars="200"/>
        <w:rPr>
          <w:b/>
        </w:rPr>
      </w:pPr>
      <w:bookmarkStart w:id="2116" w:name="_Toc256000365"/>
      <w:bookmarkStart w:id="2117" w:name="_Toc152264724"/>
      <w:r>
        <w:rPr>
          <w:b/>
        </w:rPr>
        <w:t>17.4 因不可抗力解除合同</w:t>
      </w:r>
      <w:bookmarkEnd w:id="2116"/>
      <w:bookmarkEnd w:id="2117"/>
    </w:p>
    <w:p w14:paraId="31CB903E">
      <w:pPr>
        <w:spacing w:line="360" w:lineRule="auto"/>
        <w:ind w:firstLine="420" w:firstLineChars="200"/>
      </w:pPr>
      <w:r>
        <w:t>合同解除后，发包人应在商定或确定发包人应支付款项后</w:t>
      </w:r>
      <w:r>
        <w:rPr>
          <w:u w:val="single"/>
        </w:rPr>
        <w:t xml:space="preserve">  </w:t>
      </w:r>
      <w:r>
        <w:rPr>
          <w:rFonts w:hint="eastAsia"/>
          <w:u w:val="single"/>
        </w:rPr>
        <w:t xml:space="preserve">  </w:t>
      </w:r>
      <w:r>
        <w:rPr>
          <w:u w:val="single"/>
        </w:rPr>
        <w:t xml:space="preserve">  </w:t>
      </w:r>
      <w:r>
        <w:t>天内完成款项的支付。</w:t>
      </w:r>
    </w:p>
    <w:p w14:paraId="61378B92">
      <w:pPr>
        <w:pStyle w:val="23"/>
        <w:spacing w:before="0" w:line="360" w:lineRule="auto"/>
        <w:ind w:firstLine="562" w:firstLineChars="200"/>
        <w:rPr>
          <w:b/>
        </w:rPr>
      </w:pPr>
      <w:bookmarkStart w:id="2118" w:name="_Toc152264725"/>
      <w:bookmarkStart w:id="2119" w:name="_Toc351203650"/>
      <w:bookmarkStart w:id="2120" w:name="_Toc256000366"/>
      <w:r>
        <w:rPr>
          <w:b/>
        </w:rPr>
        <w:t>18. 保险</w:t>
      </w:r>
      <w:bookmarkEnd w:id="2118"/>
      <w:bookmarkEnd w:id="2119"/>
      <w:bookmarkEnd w:id="2120"/>
    </w:p>
    <w:bookmarkEnd w:id="2106"/>
    <w:p w14:paraId="14D2E13C">
      <w:pPr>
        <w:pStyle w:val="25"/>
        <w:spacing w:line="360" w:lineRule="auto"/>
        <w:ind w:firstLine="482" w:firstLineChars="200"/>
        <w:rPr>
          <w:b/>
        </w:rPr>
      </w:pPr>
      <w:bookmarkStart w:id="2121" w:name="_Toc152264726"/>
      <w:bookmarkStart w:id="2122" w:name="_Toc256000367"/>
      <w:r>
        <w:rPr>
          <w:b/>
        </w:rPr>
        <w:t>18.1 工程保险</w:t>
      </w:r>
      <w:bookmarkEnd w:id="2121"/>
      <w:bookmarkEnd w:id="2122"/>
    </w:p>
    <w:p w14:paraId="657A8D5D">
      <w:pPr>
        <w:spacing w:line="360" w:lineRule="auto"/>
        <w:ind w:firstLine="420" w:firstLineChars="200"/>
      </w:pPr>
      <w:r>
        <w:t>关于工程保险的特别约定：</w:t>
      </w:r>
    </w:p>
    <w:p w14:paraId="6BF7849C">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5BB249F">
      <w:pPr>
        <w:pStyle w:val="25"/>
        <w:spacing w:line="360" w:lineRule="auto"/>
        <w:ind w:firstLine="482" w:firstLineChars="200"/>
        <w:rPr>
          <w:b/>
        </w:rPr>
      </w:pPr>
      <w:bookmarkStart w:id="2123" w:name="_Toc152264727"/>
      <w:bookmarkStart w:id="2124" w:name="_Toc256000368"/>
      <w:r>
        <w:rPr>
          <w:b/>
        </w:rPr>
        <w:t>18.3 其他保险</w:t>
      </w:r>
      <w:bookmarkEnd w:id="2123"/>
      <w:bookmarkEnd w:id="2124"/>
    </w:p>
    <w:p w14:paraId="097C167D">
      <w:pPr>
        <w:spacing w:line="360" w:lineRule="auto"/>
        <w:ind w:firstLine="420" w:firstLineChars="200"/>
      </w:pPr>
      <w:r>
        <w:t>关于其他保险的约定：</w:t>
      </w:r>
    </w:p>
    <w:p w14:paraId="47BA7756">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061BD34F">
      <w:pPr>
        <w:spacing w:line="360" w:lineRule="auto"/>
        <w:ind w:firstLine="420" w:firstLineChars="200"/>
      </w:pPr>
      <w:r>
        <w:t>承包人是否应为其施工设备等办理财产保险：</w:t>
      </w:r>
    </w:p>
    <w:p w14:paraId="1CC5DCBF">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EBE1298">
      <w:pPr>
        <w:pStyle w:val="25"/>
        <w:spacing w:line="360" w:lineRule="auto"/>
        <w:ind w:firstLine="482" w:firstLineChars="200"/>
        <w:rPr>
          <w:b/>
        </w:rPr>
      </w:pPr>
      <w:bookmarkStart w:id="2125" w:name="_Toc152264728"/>
      <w:bookmarkStart w:id="2126" w:name="_Toc256000369"/>
      <w:r>
        <w:rPr>
          <w:b/>
        </w:rPr>
        <w:t>18.7 通知义务</w:t>
      </w:r>
      <w:bookmarkEnd w:id="2125"/>
      <w:bookmarkEnd w:id="2126"/>
    </w:p>
    <w:p w14:paraId="48BF3918">
      <w:pPr>
        <w:spacing w:line="360" w:lineRule="auto"/>
        <w:ind w:firstLine="420" w:firstLineChars="200"/>
      </w:pPr>
      <w:r>
        <w:t>关于变更保险合同时的通知义务的约定：</w:t>
      </w:r>
    </w:p>
    <w:p w14:paraId="7E82EB94">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bookmarkEnd w:id="2074"/>
    <w:bookmarkEnd w:id="2075"/>
    <w:bookmarkEnd w:id="2076"/>
    <w:bookmarkEnd w:id="2077"/>
    <w:bookmarkEnd w:id="2078"/>
    <w:bookmarkEnd w:id="2079"/>
    <w:bookmarkEnd w:id="2080"/>
    <w:bookmarkEnd w:id="2081"/>
    <w:bookmarkEnd w:id="2082"/>
    <w:bookmarkEnd w:id="2083"/>
    <w:bookmarkEnd w:id="2084"/>
    <w:bookmarkEnd w:id="2085"/>
    <w:p w14:paraId="0168605A">
      <w:pPr>
        <w:pStyle w:val="23"/>
        <w:spacing w:before="0" w:line="360" w:lineRule="auto"/>
        <w:ind w:firstLine="562" w:firstLineChars="200"/>
        <w:rPr>
          <w:b/>
        </w:rPr>
      </w:pPr>
      <w:bookmarkStart w:id="2127" w:name="_Toc152264729"/>
      <w:bookmarkStart w:id="2128" w:name="_Toc256000370"/>
      <w:bookmarkStart w:id="2129" w:name="_Toc351203651"/>
      <w:r>
        <w:rPr>
          <w:b/>
        </w:rPr>
        <w:t>20. 争议解决</w:t>
      </w:r>
      <w:bookmarkEnd w:id="2127"/>
      <w:bookmarkEnd w:id="2128"/>
      <w:bookmarkEnd w:id="2129"/>
    </w:p>
    <w:bookmarkEnd w:id="2086"/>
    <w:bookmarkEnd w:id="2087"/>
    <w:p w14:paraId="61AB97E5">
      <w:pPr>
        <w:pStyle w:val="25"/>
        <w:spacing w:line="360" w:lineRule="auto"/>
        <w:ind w:firstLine="482" w:firstLineChars="200"/>
        <w:rPr>
          <w:b/>
        </w:rPr>
      </w:pPr>
      <w:bookmarkStart w:id="2130" w:name="_Toc152264730"/>
      <w:bookmarkStart w:id="2131" w:name="_Toc256000371"/>
      <w:r>
        <w:rPr>
          <w:b/>
        </w:rPr>
        <w:t>20.3 争</w:t>
      </w:r>
      <w:bookmarkEnd w:id="2088"/>
      <w:r>
        <w:rPr>
          <w:b/>
        </w:rPr>
        <w:t>议评审</w:t>
      </w:r>
      <w:bookmarkEnd w:id="2130"/>
      <w:bookmarkEnd w:id="2131"/>
    </w:p>
    <w:p w14:paraId="14B782D8">
      <w:pPr>
        <w:spacing w:line="360" w:lineRule="auto"/>
        <w:ind w:firstLine="420" w:firstLineChars="200"/>
      </w:pPr>
      <w:r>
        <w:t>合同当事人是否同意将工程争议提交争议评审小组决</w:t>
      </w:r>
      <w:r>
        <w:rPr>
          <w:rFonts w:hint="eastAsia"/>
        </w:rPr>
        <w:t>定：</w:t>
      </w:r>
    </w:p>
    <w:p w14:paraId="6449FFFB">
      <w:pPr>
        <w:spacing w:line="360" w:lineRule="auto"/>
        <w:ind w:firstLine="420" w:firstLineChars="200"/>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1566794D">
      <w:pPr>
        <w:spacing w:line="360" w:lineRule="auto"/>
        <w:ind w:firstLine="420" w:firstLineChars="200"/>
      </w:pPr>
      <w:r>
        <w:t>20.3.1 争议评审小组的确定</w:t>
      </w:r>
    </w:p>
    <w:p w14:paraId="23E397F9">
      <w:pPr>
        <w:spacing w:line="360" w:lineRule="auto"/>
        <w:ind w:firstLine="420" w:firstLineChars="200"/>
      </w:pPr>
      <w:r>
        <w:t>争议评审小组成员的确定：</w:t>
      </w:r>
      <w:r>
        <w:rPr>
          <w:u w:val="single"/>
        </w:rPr>
        <w:t xml:space="preserve">                     </w:t>
      </w:r>
      <w:r>
        <w:rPr>
          <w:rFonts w:hint="eastAsia"/>
          <w:u w:val="single"/>
        </w:rPr>
        <w:t xml:space="preserve">    </w:t>
      </w:r>
      <w:r>
        <w:rPr>
          <w:u w:val="single"/>
        </w:rPr>
        <w:t xml:space="preserve">    </w:t>
      </w:r>
      <w:r>
        <w:t>。</w:t>
      </w:r>
    </w:p>
    <w:p w14:paraId="428E4AEF">
      <w:pPr>
        <w:spacing w:line="360" w:lineRule="auto"/>
        <w:ind w:firstLine="420" w:firstLineChars="200"/>
      </w:pPr>
      <w:r>
        <w:t>选定争议评审员的期限：</w:t>
      </w:r>
      <w:r>
        <w:rPr>
          <w:u w:val="single"/>
        </w:rPr>
        <w:t xml:space="preserve">                     </w:t>
      </w:r>
      <w:r>
        <w:rPr>
          <w:rFonts w:hint="eastAsia"/>
          <w:u w:val="single"/>
        </w:rPr>
        <w:t xml:space="preserve">    </w:t>
      </w:r>
      <w:r>
        <w:rPr>
          <w:u w:val="single"/>
        </w:rPr>
        <w:t xml:space="preserve">      </w:t>
      </w:r>
      <w:r>
        <w:t>。</w:t>
      </w:r>
    </w:p>
    <w:p w14:paraId="03BB8713">
      <w:pPr>
        <w:spacing w:line="360" w:lineRule="auto"/>
        <w:ind w:firstLine="420" w:firstLineChars="200"/>
      </w:pPr>
      <w:r>
        <w:t>争议评审小组成员的报酬承担方式：</w:t>
      </w:r>
      <w:r>
        <w:rPr>
          <w:u w:val="single"/>
        </w:rPr>
        <w:t xml:space="preserve">           </w:t>
      </w:r>
      <w:r>
        <w:rPr>
          <w:rFonts w:hint="eastAsia"/>
          <w:u w:val="single"/>
        </w:rPr>
        <w:t xml:space="preserve">    </w:t>
      </w:r>
      <w:r>
        <w:rPr>
          <w:u w:val="single"/>
        </w:rPr>
        <w:t xml:space="preserve">      </w:t>
      </w:r>
      <w:r>
        <w:t>。</w:t>
      </w:r>
    </w:p>
    <w:p w14:paraId="72E76986">
      <w:pPr>
        <w:spacing w:line="360" w:lineRule="auto"/>
        <w:ind w:firstLine="420" w:firstLineChars="200"/>
      </w:pPr>
      <w:r>
        <w:t>其他事项的约定：</w:t>
      </w:r>
      <w:r>
        <w:rPr>
          <w:u w:val="single"/>
        </w:rPr>
        <w:t xml:space="preserve">                          </w:t>
      </w:r>
      <w:r>
        <w:rPr>
          <w:rFonts w:hint="eastAsia"/>
          <w:u w:val="single"/>
        </w:rPr>
        <w:t xml:space="preserve">    </w:t>
      </w:r>
      <w:r>
        <w:rPr>
          <w:u w:val="single"/>
        </w:rPr>
        <w:t xml:space="preserve">       </w:t>
      </w:r>
      <w:r>
        <w:t>。</w:t>
      </w:r>
    </w:p>
    <w:p w14:paraId="71BB9F23">
      <w:pPr>
        <w:spacing w:line="360" w:lineRule="auto"/>
        <w:ind w:firstLine="420" w:firstLineChars="200"/>
      </w:pPr>
      <w:r>
        <w:t>20.3.2 争议评审小组的决定</w:t>
      </w:r>
    </w:p>
    <w:p w14:paraId="33C433BC">
      <w:pPr>
        <w:spacing w:line="360" w:lineRule="auto"/>
        <w:ind w:firstLine="420" w:firstLineChars="200"/>
      </w:pPr>
      <w:r>
        <w:t>合同当事人关于本项的约定：</w:t>
      </w:r>
      <w:r>
        <w:rPr>
          <w:u w:val="single"/>
        </w:rPr>
        <w:t xml:space="preserve">                      </w:t>
      </w:r>
      <w:r>
        <w:rPr>
          <w:rFonts w:hint="eastAsia"/>
          <w:u w:val="single"/>
        </w:rPr>
        <w:t xml:space="preserve">   </w:t>
      </w:r>
      <w:r>
        <w:rPr>
          <w:u w:val="single"/>
        </w:rPr>
        <w:t xml:space="preserve">  </w:t>
      </w:r>
      <w:r>
        <w:t>。</w:t>
      </w:r>
    </w:p>
    <w:p w14:paraId="1B1A5F65">
      <w:pPr>
        <w:pStyle w:val="25"/>
        <w:spacing w:line="360" w:lineRule="auto"/>
        <w:ind w:firstLine="482" w:firstLineChars="200"/>
        <w:rPr>
          <w:b/>
        </w:rPr>
      </w:pPr>
      <w:bookmarkStart w:id="2132" w:name="_Toc256000372"/>
      <w:bookmarkStart w:id="2133" w:name="_Toc152264731"/>
      <w:r>
        <w:rPr>
          <w:b/>
        </w:rPr>
        <w:t>20.4仲裁或诉讼</w:t>
      </w:r>
      <w:bookmarkEnd w:id="2089"/>
      <w:bookmarkEnd w:id="2132"/>
      <w:bookmarkEnd w:id="2133"/>
    </w:p>
    <w:p w14:paraId="46D2AFA6">
      <w:pPr>
        <w:spacing w:line="360" w:lineRule="auto"/>
        <w:ind w:firstLine="420" w:firstLineChars="200"/>
      </w:pPr>
      <w:r>
        <w:t>因合同及合同有关事项发生的争议，按下列第</w:t>
      </w:r>
      <w:r>
        <w:rPr>
          <w:u w:val="single"/>
        </w:rPr>
        <w:t xml:space="preserve">     </w:t>
      </w:r>
      <w:r>
        <w:t>种方式</w:t>
      </w:r>
      <w:r>
        <w:rPr>
          <w:rFonts w:hint="eastAsia"/>
        </w:rPr>
        <w:t>解</w:t>
      </w:r>
      <w:r>
        <w:t>决：</w:t>
      </w:r>
    </w:p>
    <w:p w14:paraId="719CF57F">
      <w:pPr>
        <w:spacing w:line="360" w:lineRule="auto"/>
        <w:ind w:firstLine="420" w:firstLineChars="200"/>
      </w:pPr>
      <w:r>
        <w:t>（1）向</w:t>
      </w:r>
      <w:r>
        <w:rPr>
          <w:u w:val="single"/>
        </w:rPr>
        <w:t xml:space="preserve">                     </w:t>
      </w:r>
      <w:r>
        <w:t>仲裁委员会申请仲裁；</w:t>
      </w:r>
    </w:p>
    <w:p w14:paraId="71148F63">
      <w:pPr>
        <w:spacing w:line="360" w:lineRule="auto"/>
        <w:ind w:firstLine="420" w:firstLineChars="200"/>
      </w:pPr>
      <w:r>
        <w:t>（2）向</w:t>
      </w:r>
      <w:r>
        <w:rPr>
          <w:u w:val="single"/>
        </w:rPr>
        <w:t xml:space="preserve">                     </w:t>
      </w:r>
      <w:r>
        <w:t>人民法院起诉。</w:t>
      </w:r>
      <w:bookmarkEnd w:id="2090"/>
      <w:bookmarkEnd w:id="2091"/>
      <w:bookmarkEnd w:id="2092"/>
      <w:bookmarkEnd w:id="2093"/>
      <w:bookmarkEnd w:id="2094"/>
      <w:bookmarkEnd w:id="2095"/>
    </w:p>
    <w:p w14:paraId="346AB8F1">
      <w:pPr>
        <w:pStyle w:val="23"/>
        <w:spacing w:before="0" w:line="360" w:lineRule="auto"/>
        <w:ind w:firstLine="560" w:firstLineChars="200"/>
        <w:rPr>
          <w:b/>
          <w:sz w:val="32"/>
          <w:szCs w:val="32"/>
        </w:rPr>
      </w:pPr>
      <w:r>
        <w:br w:type="page"/>
      </w:r>
      <w:bookmarkStart w:id="2134" w:name="_Toc256000373"/>
      <w:bookmarkStart w:id="2135" w:name="_Toc152264732"/>
      <w:bookmarkStart w:id="2136" w:name="_Toc351203652"/>
      <w:r>
        <w:rPr>
          <w:b/>
        </w:rPr>
        <w:t>附件</w:t>
      </w:r>
      <w:bookmarkEnd w:id="2134"/>
      <w:bookmarkEnd w:id="2135"/>
      <w:bookmarkEnd w:id="2136"/>
    </w:p>
    <w:p w14:paraId="095C85F3">
      <w:pPr>
        <w:spacing w:line="400" w:lineRule="exact"/>
        <w:ind w:firstLine="420" w:firstLineChars="200"/>
        <w:jc w:val="left"/>
      </w:pPr>
      <w:r>
        <w:rPr>
          <w:rFonts w:hint="eastAsia"/>
        </w:rPr>
        <w:t>协议书附件：</w:t>
      </w:r>
    </w:p>
    <w:p w14:paraId="123B3797">
      <w:pPr>
        <w:spacing w:line="400" w:lineRule="exact"/>
        <w:ind w:firstLine="420" w:firstLineChars="200"/>
        <w:jc w:val="left"/>
      </w:pPr>
      <w:r>
        <w:t>附件1：承包人承揽工程项目一览表</w:t>
      </w:r>
    </w:p>
    <w:p w14:paraId="399F137B">
      <w:pPr>
        <w:spacing w:line="400" w:lineRule="exact"/>
        <w:ind w:firstLine="420" w:firstLineChars="200"/>
        <w:jc w:val="left"/>
      </w:pPr>
    </w:p>
    <w:p w14:paraId="1E4B2314">
      <w:pPr>
        <w:spacing w:line="400" w:lineRule="exact"/>
        <w:ind w:firstLine="420" w:firstLineChars="200"/>
        <w:jc w:val="left"/>
      </w:pPr>
      <w:r>
        <w:rPr>
          <w:rFonts w:hint="eastAsia"/>
        </w:rPr>
        <w:t>专用合同条款附件：</w:t>
      </w:r>
    </w:p>
    <w:p w14:paraId="05F4B7CF">
      <w:pPr>
        <w:spacing w:line="400" w:lineRule="exact"/>
        <w:ind w:firstLine="420" w:firstLineChars="200"/>
        <w:jc w:val="left"/>
      </w:pPr>
      <w:r>
        <w:t>附件2：发包人供应材料设备一览表</w:t>
      </w:r>
    </w:p>
    <w:p w14:paraId="54606DE7">
      <w:pPr>
        <w:spacing w:line="400" w:lineRule="exact"/>
        <w:ind w:firstLine="420" w:firstLineChars="200"/>
        <w:jc w:val="left"/>
      </w:pPr>
      <w:r>
        <w:t>附件3：工程质量保修书</w:t>
      </w:r>
    </w:p>
    <w:p w14:paraId="025AA4BE">
      <w:pPr>
        <w:spacing w:line="400" w:lineRule="exact"/>
        <w:ind w:firstLine="420" w:firstLineChars="200"/>
        <w:jc w:val="left"/>
      </w:pPr>
      <w:r>
        <w:t>附件4：主要建设工程文件目录</w:t>
      </w:r>
    </w:p>
    <w:p w14:paraId="29BC14B3">
      <w:pPr>
        <w:spacing w:line="400" w:lineRule="exact"/>
        <w:ind w:firstLine="420" w:firstLineChars="200"/>
        <w:jc w:val="left"/>
      </w:pPr>
      <w:r>
        <w:t>附件5：承包人用于本工程施工的机械设备表</w:t>
      </w:r>
    </w:p>
    <w:p w14:paraId="6569FCBC">
      <w:pPr>
        <w:spacing w:line="400" w:lineRule="exact"/>
        <w:ind w:firstLine="420" w:firstLineChars="200"/>
        <w:jc w:val="left"/>
      </w:pPr>
      <w:r>
        <w:t>附件6：承包人主要施工管理人员表</w:t>
      </w:r>
    </w:p>
    <w:p w14:paraId="490D7C8A">
      <w:pPr>
        <w:spacing w:line="400" w:lineRule="exact"/>
        <w:ind w:firstLine="420" w:firstLineChars="200"/>
        <w:jc w:val="left"/>
      </w:pPr>
      <w:r>
        <w:t>附件7：分包人主要施工管理人员表</w:t>
      </w:r>
    </w:p>
    <w:p w14:paraId="2C00352D">
      <w:pPr>
        <w:spacing w:line="400" w:lineRule="exact"/>
        <w:ind w:firstLine="420" w:firstLineChars="200"/>
        <w:jc w:val="left"/>
      </w:pPr>
      <w:r>
        <w:t>附件8：履约担保格式</w:t>
      </w:r>
    </w:p>
    <w:p w14:paraId="6BF1E6A2">
      <w:pPr>
        <w:spacing w:line="400" w:lineRule="exact"/>
        <w:ind w:firstLine="420" w:firstLineChars="200"/>
        <w:jc w:val="left"/>
      </w:pPr>
      <w:r>
        <w:t>附件9：预付款担保格式</w:t>
      </w:r>
    </w:p>
    <w:p w14:paraId="49B47D6F">
      <w:pPr>
        <w:spacing w:line="400" w:lineRule="exact"/>
        <w:ind w:firstLine="420" w:firstLineChars="200"/>
        <w:jc w:val="left"/>
      </w:pPr>
      <w:r>
        <w:t>附件10：支付担保格式</w:t>
      </w:r>
    </w:p>
    <w:p w14:paraId="0835ABB6">
      <w:pPr>
        <w:spacing w:line="400" w:lineRule="exact"/>
        <w:ind w:firstLine="420" w:firstLineChars="200"/>
        <w:jc w:val="left"/>
        <w:sectPr>
          <w:headerReference r:id="rId17" w:type="default"/>
          <w:footerReference r:id="rId18" w:type="default"/>
          <w:footerReference r:id="rId19" w:type="even"/>
          <w:pgSz w:w="11906" w:h="16838"/>
          <w:pgMar w:top="1440" w:right="1797" w:bottom="1440" w:left="1797" w:header="851" w:footer="851" w:gutter="0"/>
          <w:cols w:space="720" w:num="1"/>
          <w:docGrid w:linePitch="312" w:charSpace="0"/>
        </w:sectPr>
      </w:pPr>
      <w:r>
        <w:t>附件11：暂估价一览表</w:t>
      </w:r>
    </w:p>
    <w:p w14:paraId="34AB466F">
      <w:pPr>
        <w:spacing w:before="120" w:beforeLines="50" w:after="120" w:afterLines="50" w:line="440" w:lineRule="exact"/>
        <w:jc w:val="left"/>
        <w:rPr>
          <w:rFonts w:ascii="宋体" w:hAnsi="宋体"/>
          <w:sz w:val="24"/>
        </w:rPr>
        <w:sectPr>
          <w:type w:val="continuous"/>
          <w:pgSz w:w="11906" w:h="16838"/>
          <w:pgMar w:top="1440" w:right="1797" w:bottom="1440" w:left="1797" w:header="851" w:footer="851" w:gutter="0"/>
          <w:cols w:space="720" w:num="1"/>
          <w:titlePg/>
          <w:docGrid w:linePitch="312" w:charSpace="0"/>
        </w:sectPr>
      </w:pPr>
    </w:p>
    <w:p w14:paraId="0ABF0D09">
      <w:pPr>
        <w:spacing w:before="120" w:beforeLines="50" w:after="120" w:afterLines="50" w:line="440" w:lineRule="exact"/>
        <w:jc w:val="left"/>
        <w:rPr>
          <w:rFonts w:ascii="宋体" w:hAnsi="宋体"/>
          <w:sz w:val="24"/>
        </w:rPr>
      </w:pPr>
      <w:r>
        <w:rPr>
          <w:rFonts w:hint="eastAsia" w:ascii="宋体" w:hAnsi="宋体"/>
          <w:sz w:val="24"/>
        </w:rPr>
        <w:t>附件</w:t>
      </w:r>
      <w:r>
        <w:rPr>
          <w:sz w:val="24"/>
        </w:rPr>
        <w:t>1：</w:t>
      </w:r>
    </w:p>
    <w:p w14:paraId="3E45EF04">
      <w:pPr>
        <w:spacing w:before="120" w:beforeLines="50" w:after="120" w:afterLines="50" w:line="440" w:lineRule="exact"/>
        <w:jc w:val="center"/>
        <w:rPr>
          <w:rFonts w:eastAsia="黑体"/>
          <w:sz w:val="28"/>
          <w:szCs w:val="28"/>
        </w:rPr>
      </w:pPr>
      <w:r>
        <w:rPr>
          <w:rFonts w:eastAsia="黑体"/>
          <w:sz w:val="28"/>
          <w:szCs w:val="28"/>
        </w:rPr>
        <w:t>承包人承揽工程项目一览表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57"/>
        <w:gridCol w:w="709"/>
        <w:gridCol w:w="1111"/>
        <w:gridCol w:w="732"/>
        <w:gridCol w:w="568"/>
        <w:gridCol w:w="840"/>
        <w:gridCol w:w="823"/>
        <w:gridCol w:w="956"/>
        <w:gridCol w:w="536"/>
        <w:gridCol w:w="536"/>
      </w:tblGrid>
      <w:tr w14:paraId="1D8F9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58" w:type="dxa"/>
            <w:tcBorders>
              <w:top w:val="single" w:color="auto" w:sz="12" w:space="0"/>
              <w:bottom w:val="double" w:color="auto" w:sz="6" w:space="0"/>
            </w:tcBorders>
            <w:vAlign w:val="center"/>
          </w:tcPr>
          <w:p w14:paraId="2E0C04FF">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单位工程</w:t>
            </w:r>
          </w:p>
          <w:p w14:paraId="6BEF0AF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名称</w:t>
            </w:r>
          </w:p>
        </w:tc>
        <w:tc>
          <w:tcPr>
            <w:tcW w:w="709" w:type="dxa"/>
            <w:tcBorders>
              <w:top w:val="single" w:color="auto" w:sz="12" w:space="0"/>
              <w:bottom w:val="double" w:color="auto" w:sz="6" w:space="0"/>
            </w:tcBorders>
            <w:vAlign w:val="center"/>
          </w:tcPr>
          <w:p w14:paraId="6458ABF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建设规模</w:t>
            </w:r>
          </w:p>
        </w:tc>
        <w:tc>
          <w:tcPr>
            <w:tcW w:w="1111" w:type="dxa"/>
            <w:tcBorders>
              <w:top w:val="single" w:color="auto" w:sz="12" w:space="0"/>
              <w:bottom w:val="double" w:color="auto" w:sz="6" w:space="0"/>
            </w:tcBorders>
            <w:vAlign w:val="center"/>
          </w:tcPr>
          <w:p w14:paraId="7013311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建筑面积</w:t>
            </w:r>
          </w:p>
          <w:p w14:paraId="30C4F75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（平方米）</w:t>
            </w:r>
          </w:p>
        </w:tc>
        <w:tc>
          <w:tcPr>
            <w:tcW w:w="732" w:type="dxa"/>
            <w:tcBorders>
              <w:top w:val="single" w:color="auto" w:sz="12" w:space="0"/>
              <w:bottom w:val="double" w:color="auto" w:sz="6" w:space="0"/>
            </w:tcBorders>
            <w:vAlign w:val="center"/>
          </w:tcPr>
          <w:p w14:paraId="620E19D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结构</w:t>
            </w:r>
          </w:p>
          <w:p w14:paraId="3AC71C96">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eastAsia" w:ascii="宋体" w:hAnsi="宋体"/>
                <w:szCs w:val="21"/>
              </w:rPr>
              <w:t>形式</w:t>
            </w:r>
          </w:p>
        </w:tc>
        <w:tc>
          <w:tcPr>
            <w:tcW w:w="568" w:type="dxa"/>
            <w:tcBorders>
              <w:top w:val="single" w:color="auto" w:sz="12" w:space="0"/>
              <w:bottom w:val="double" w:color="auto" w:sz="6" w:space="0"/>
            </w:tcBorders>
            <w:vAlign w:val="center"/>
          </w:tcPr>
          <w:p w14:paraId="563E85D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层数</w:t>
            </w:r>
          </w:p>
        </w:tc>
        <w:tc>
          <w:tcPr>
            <w:tcW w:w="840" w:type="dxa"/>
            <w:tcBorders>
              <w:top w:val="single" w:color="auto" w:sz="12" w:space="0"/>
              <w:bottom w:val="double" w:color="auto" w:sz="6" w:space="0"/>
            </w:tcBorders>
            <w:vAlign w:val="center"/>
          </w:tcPr>
          <w:p w14:paraId="49FB1B8F">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生产</w:t>
            </w:r>
          </w:p>
          <w:p w14:paraId="5F536FD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能力</w:t>
            </w:r>
          </w:p>
        </w:tc>
        <w:tc>
          <w:tcPr>
            <w:tcW w:w="0" w:type="auto"/>
            <w:tcBorders>
              <w:top w:val="single" w:color="auto" w:sz="12" w:space="0"/>
              <w:bottom w:val="double" w:color="auto" w:sz="6" w:space="0"/>
            </w:tcBorders>
            <w:vAlign w:val="center"/>
          </w:tcPr>
          <w:p w14:paraId="24F27DF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设备安装</w:t>
            </w:r>
          </w:p>
          <w:p w14:paraId="33CA5A3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内容</w:t>
            </w:r>
          </w:p>
        </w:tc>
        <w:tc>
          <w:tcPr>
            <w:tcW w:w="0" w:type="auto"/>
            <w:tcBorders>
              <w:top w:val="single" w:color="auto" w:sz="12" w:space="0"/>
              <w:bottom w:val="double" w:color="auto" w:sz="6" w:space="0"/>
            </w:tcBorders>
            <w:vAlign w:val="center"/>
          </w:tcPr>
          <w:p w14:paraId="0AD09900">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合同价格</w:t>
            </w:r>
          </w:p>
          <w:p w14:paraId="18D1717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（元）</w:t>
            </w:r>
          </w:p>
        </w:tc>
        <w:tc>
          <w:tcPr>
            <w:tcW w:w="0" w:type="auto"/>
            <w:tcBorders>
              <w:top w:val="single" w:color="auto" w:sz="12" w:space="0"/>
              <w:bottom w:val="double" w:color="auto" w:sz="6" w:space="0"/>
            </w:tcBorders>
            <w:vAlign w:val="center"/>
          </w:tcPr>
          <w:p w14:paraId="4BA9FA18">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开工</w:t>
            </w:r>
          </w:p>
          <w:p w14:paraId="52195FA5">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日期</w:t>
            </w:r>
          </w:p>
        </w:tc>
        <w:tc>
          <w:tcPr>
            <w:tcW w:w="0" w:type="auto"/>
            <w:tcBorders>
              <w:top w:val="single" w:color="auto" w:sz="12" w:space="0"/>
              <w:bottom w:val="double" w:color="auto" w:sz="6" w:space="0"/>
            </w:tcBorders>
            <w:vAlign w:val="center"/>
          </w:tcPr>
          <w:p w14:paraId="5CC55FE0">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竣工</w:t>
            </w:r>
          </w:p>
          <w:p w14:paraId="57D3CFF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日期</w:t>
            </w:r>
          </w:p>
        </w:tc>
      </w:tr>
      <w:tr w14:paraId="601FE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double" w:color="auto" w:sz="6" w:space="0"/>
              <w:bottom w:val="single" w:color="auto" w:sz="6" w:space="0"/>
            </w:tcBorders>
            <w:vAlign w:val="center"/>
          </w:tcPr>
          <w:p w14:paraId="0F7D02A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double" w:color="auto" w:sz="6" w:space="0"/>
              <w:bottom w:val="single" w:color="auto" w:sz="6" w:space="0"/>
            </w:tcBorders>
            <w:vAlign w:val="center"/>
          </w:tcPr>
          <w:p w14:paraId="7DBF28B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double" w:color="auto" w:sz="6" w:space="0"/>
              <w:bottom w:val="single" w:color="auto" w:sz="6" w:space="0"/>
            </w:tcBorders>
            <w:vAlign w:val="center"/>
          </w:tcPr>
          <w:p w14:paraId="785C626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double" w:color="auto" w:sz="6" w:space="0"/>
              <w:bottom w:val="single" w:color="auto" w:sz="6" w:space="0"/>
            </w:tcBorders>
            <w:vAlign w:val="center"/>
          </w:tcPr>
          <w:p w14:paraId="55D4FCB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double" w:color="auto" w:sz="6" w:space="0"/>
              <w:bottom w:val="single" w:color="auto" w:sz="6" w:space="0"/>
            </w:tcBorders>
            <w:vAlign w:val="center"/>
          </w:tcPr>
          <w:p w14:paraId="25E0D2B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double" w:color="auto" w:sz="6" w:space="0"/>
              <w:bottom w:val="single" w:color="auto" w:sz="6" w:space="0"/>
            </w:tcBorders>
            <w:vAlign w:val="center"/>
          </w:tcPr>
          <w:p w14:paraId="7493285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double" w:color="auto" w:sz="6" w:space="0"/>
              <w:bottom w:val="single" w:color="auto" w:sz="6" w:space="0"/>
            </w:tcBorders>
            <w:vAlign w:val="center"/>
          </w:tcPr>
          <w:p w14:paraId="3AD7CB6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double" w:color="auto" w:sz="6" w:space="0"/>
              <w:bottom w:val="single" w:color="auto" w:sz="6" w:space="0"/>
            </w:tcBorders>
            <w:vAlign w:val="center"/>
          </w:tcPr>
          <w:p w14:paraId="3F9E8D8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double" w:color="auto" w:sz="6" w:space="0"/>
              <w:bottom w:val="single" w:color="auto" w:sz="6" w:space="0"/>
            </w:tcBorders>
            <w:vAlign w:val="center"/>
          </w:tcPr>
          <w:p w14:paraId="5053128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double" w:color="auto" w:sz="6" w:space="0"/>
              <w:bottom w:val="single" w:color="auto" w:sz="6" w:space="0"/>
            </w:tcBorders>
            <w:vAlign w:val="center"/>
          </w:tcPr>
          <w:p w14:paraId="192E82D1">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DA63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nil"/>
            </w:tcBorders>
            <w:vAlign w:val="center"/>
          </w:tcPr>
          <w:p w14:paraId="764FD86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72C88BC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nil"/>
            </w:tcBorders>
            <w:vAlign w:val="center"/>
          </w:tcPr>
          <w:p w14:paraId="200D032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nil"/>
            </w:tcBorders>
            <w:vAlign w:val="center"/>
          </w:tcPr>
          <w:p w14:paraId="09C44CB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nil"/>
            </w:tcBorders>
            <w:vAlign w:val="center"/>
          </w:tcPr>
          <w:p w14:paraId="2853B38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nil"/>
            </w:tcBorders>
            <w:vAlign w:val="center"/>
          </w:tcPr>
          <w:p w14:paraId="71F54BC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1ED175B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4F49962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3E1D3B3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422EDC20">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87B8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nil"/>
            </w:tcBorders>
            <w:vAlign w:val="center"/>
          </w:tcPr>
          <w:p w14:paraId="72F40E2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7D31912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nil"/>
            </w:tcBorders>
            <w:vAlign w:val="center"/>
          </w:tcPr>
          <w:p w14:paraId="1D0692E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nil"/>
            </w:tcBorders>
            <w:vAlign w:val="center"/>
          </w:tcPr>
          <w:p w14:paraId="27CEF15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nil"/>
            </w:tcBorders>
            <w:vAlign w:val="center"/>
          </w:tcPr>
          <w:p w14:paraId="6983D6C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nil"/>
            </w:tcBorders>
            <w:vAlign w:val="center"/>
          </w:tcPr>
          <w:p w14:paraId="64A0431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5E616CE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1488180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7712AFD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2C275E26">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7BD90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vAlign w:val="center"/>
          </w:tcPr>
          <w:p w14:paraId="5740198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61B3B79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vAlign w:val="center"/>
          </w:tcPr>
          <w:p w14:paraId="0E2EEB3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vAlign w:val="center"/>
          </w:tcPr>
          <w:p w14:paraId="44A20C1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vAlign w:val="center"/>
          </w:tcPr>
          <w:p w14:paraId="16A1DDC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vAlign w:val="center"/>
          </w:tcPr>
          <w:p w14:paraId="05F91F5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146E949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5AC4D2D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7291D37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5BBDD295">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0FFDF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nil"/>
            </w:tcBorders>
            <w:vAlign w:val="center"/>
          </w:tcPr>
          <w:p w14:paraId="30A57F3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528FD57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nil"/>
            </w:tcBorders>
            <w:vAlign w:val="center"/>
          </w:tcPr>
          <w:p w14:paraId="4544BD2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nil"/>
            </w:tcBorders>
            <w:vAlign w:val="center"/>
          </w:tcPr>
          <w:p w14:paraId="0AF01F6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nil"/>
            </w:tcBorders>
            <w:vAlign w:val="center"/>
          </w:tcPr>
          <w:p w14:paraId="3E66239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nil"/>
            </w:tcBorders>
            <w:vAlign w:val="center"/>
          </w:tcPr>
          <w:p w14:paraId="5854616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42E54DA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7587C0E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1EEBF3B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19C698D7">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12D8C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vAlign w:val="center"/>
          </w:tcPr>
          <w:p w14:paraId="45F8B44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47E8EB3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vAlign w:val="center"/>
          </w:tcPr>
          <w:p w14:paraId="279B589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vAlign w:val="center"/>
          </w:tcPr>
          <w:p w14:paraId="5CC3ECD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vAlign w:val="center"/>
          </w:tcPr>
          <w:p w14:paraId="6945EFB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vAlign w:val="center"/>
          </w:tcPr>
          <w:p w14:paraId="3B67EA5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1306B86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211902C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075AA1E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5678E995">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777EE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nil"/>
            </w:tcBorders>
            <w:vAlign w:val="center"/>
          </w:tcPr>
          <w:p w14:paraId="7027B4A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661CC26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nil"/>
            </w:tcBorders>
            <w:vAlign w:val="center"/>
          </w:tcPr>
          <w:p w14:paraId="180E0D8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nil"/>
            </w:tcBorders>
            <w:vAlign w:val="center"/>
          </w:tcPr>
          <w:p w14:paraId="73AB0BA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nil"/>
            </w:tcBorders>
            <w:vAlign w:val="center"/>
          </w:tcPr>
          <w:p w14:paraId="36CF3C6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nil"/>
            </w:tcBorders>
            <w:vAlign w:val="center"/>
          </w:tcPr>
          <w:p w14:paraId="646142A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0CA7B8E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519ED2B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218F7C0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53F9B8A0">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14082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nil"/>
            </w:tcBorders>
            <w:vAlign w:val="center"/>
          </w:tcPr>
          <w:p w14:paraId="58ED0E0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35BEC92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nil"/>
            </w:tcBorders>
            <w:vAlign w:val="center"/>
          </w:tcPr>
          <w:p w14:paraId="42FD657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nil"/>
            </w:tcBorders>
            <w:vAlign w:val="center"/>
          </w:tcPr>
          <w:p w14:paraId="078D09C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nil"/>
            </w:tcBorders>
            <w:vAlign w:val="center"/>
          </w:tcPr>
          <w:p w14:paraId="15996B7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nil"/>
            </w:tcBorders>
            <w:vAlign w:val="center"/>
          </w:tcPr>
          <w:p w14:paraId="6DFA049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0FBAC90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71EC830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18D32B0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1F90B7FF">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62D0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vAlign w:val="center"/>
          </w:tcPr>
          <w:p w14:paraId="4679914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3C6F746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vAlign w:val="center"/>
          </w:tcPr>
          <w:p w14:paraId="12E7384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vAlign w:val="center"/>
          </w:tcPr>
          <w:p w14:paraId="4349EEE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vAlign w:val="center"/>
          </w:tcPr>
          <w:p w14:paraId="3379AB6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vAlign w:val="center"/>
          </w:tcPr>
          <w:p w14:paraId="2185B4A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25D7728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478FBE6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0DB265B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0CFFF4CA">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39FC0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tcBorders>
              <w:top w:val="nil"/>
            </w:tcBorders>
            <w:vAlign w:val="center"/>
          </w:tcPr>
          <w:p w14:paraId="36AB257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64AD347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tcBorders>
              <w:top w:val="nil"/>
            </w:tcBorders>
            <w:vAlign w:val="center"/>
          </w:tcPr>
          <w:p w14:paraId="03B26AF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tcBorders>
              <w:top w:val="nil"/>
            </w:tcBorders>
            <w:vAlign w:val="center"/>
          </w:tcPr>
          <w:p w14:paraId="5E0583F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tcBorders>
              <w:top w:val="nil"/>
            </w:tcBorders>
            <w:vAlign w:val="center"/>
          </w:tcPr>
          <w:p w14:paraId="5B485E3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tcBorders>
              <w:top w:val="nil"/>
            </w:tcBorders>
            <w:vAlign w:val="center"/>
          </w:tcPr>
          <w:p w14:paraId="17C1D2F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5A78EE8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491E529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071703A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tcBorders>
              <w:top w:val="nil"/>
            </w:tcBorders>
            <w:vAlign w:val="center"/>
          </w:tcPr>
          <w:p w14:paraId="47576520">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649F5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58" w:type="dxa"/>
            <w:vAlign w:val="center"/>
          </w:tcPr>
          <w:p w14:paraId="0B9B739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447A31C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11" w:type="dxa"/>
            <w:vAlign w:val="center"/>
          </w:tcPr>
          <w:p w14:paraId="3072DFB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32" w:type="dxa"/>
            <w:vAlign w:val="center"/>
          </w:tcPr>
          <w:p w14:paraId="08FDC69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568" w:type="dxa"/>
            <w:vAlign w:val="center"/>
          </w:tcPr>
          <w:p w14:paraId="71CE5CD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40" w:type="dxa"/>
            <w:vAlign w:val="center"/>
          </w:tcPr>
          <w:p w14:paraId="541841B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33A58EE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343BAF2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47CFCD8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0" w:type="auto"/>
            <w:vAlign w:val="center"/>
          </w:tcPr>
          <w:p w14:paraId="70E7B589">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bl>
    <w:p w14:paraId="685DCAA3">
      <w:pPr>
        <w:spacing w:line="440" w:lineRule="exact"/>
        <w:rPr>
          <w:rFonts w:eastAsia="仿宋_GB2312"/>
          <w:b/>
          <w:sz w:val="30"/>
          <w:szCs w:val="30"/>
        </w:rPr>
        <w:sectPr>
          <w:pgSz w:w="11906" w:h="16838"/>
          <w:pgMar w:top="1440" w:right="1797" w:bottom="1440" w:left="1797" w:header="851" w:footer="851" w:gutter="0"/>
          <w:cols w:space="720" w:num="1"/>
          <w:titlePg/>
          <w:docGrid w:linePitch="312" w:charSpace="0"/>
        </w:sectPr>
      </w:pPr>
    </w:p>
    <w:p w14:paraId="60183236">
      <w:pPr>
        <w:spacing w:before="120" w:beforeLines="50" w:after="120" w:afterLines="50" w:line="440" w:lineRule="exact"/>
        <w:jc w:val="left"/>
        <w:rPr>
          <w:rFonts w:ascii="宋体" w:hAnsi="宋体"/>
          <w:sz w:val="24"/>
        </w:rPr>
        <w:sectPr>
          <w:type w:val="continuous"/>
          <w:pgSz w:w="11906" w:h="16838"/>
          <w:pgMar w:top="1440" w:right="1797" w:bottom="1440" w:left="1797" w:header="851" w:footer="851" w:gutter="0"/>
          <w:cols w:space="720" w:num="1"/>
          <w:docGrid w:linePitch="312" w:charSpace="0"/>
        </w:sectPr>
      </w:pPr>
    </w:p>
    <w:p w14:paraId="22CA7ECB">
      <w:pPr>
        <w:spacing w:before="120" w:beforeLines="50" w:after="120" w:afterLines="50" w:line="440" w:lineRule="exact"/>
        <w:jc w:val="left"/>
        <w:rPr>
          <w:rFonts w:ascii="宋体" w:hAnsi="宋体"/>
          <w:sz w:val="24"/>
        </w:rPr>
      </w:pPr>
      <w:r>
        <w:rPr>
          <w:rFonts w:ascii="宋体" w:hAnsi="宋体"/>
          <w:sz w:val="24"/>
        </w:rPr>
        <w:t>附</w:t>
      </w:r>
      <w:bookmarkStart w:id="2137" w:name="_Toc296891053"/>
      <w:bookmarkStart w:id="2138" w:name="_Toc267261692"/>
      <w:bookmarkStart w:id="2139" w:name="_Toc296944564"/>
      <w:bookmarkStart w:id="2140" w:name="_Toc296503225"/>
      <w:bookmarkStart w:id="2141" w:name="_Toc296891265"/>
      <w:bookmarkStart w:id="2142" w:name="_Toc296346726"/>
      <w:bookmarkStart w:id="2143" w:name="_Toc296347224"/>
      <w:r>
        <w:rPr>
          <w:rFonts w:ascii="宋体" w:hAnsi="宋体"/>
          <w:sz w:val="24"/>
        </w:rPr>
        <w:t>件</w:t>
      </w:r>
      <w:r>
        <w:rPr>
          <w:sz w:val="24"/>
        </w:rPr>
        <w:t>2：</w:t>
      </w:r>
    </w:p>
    <w:bookmarkEnd w:id="2137"/>
    <w:bookmarkEnd w:id="2138"/>
    <w:bookmarkEnd w:id="2139"/>
    <w:bookmarkEnd w:id="2140"/>
    <w:bookmarkEnd w:id="2141"/>
    <w:bookmarkEnd w:id="2142"/>
    <w:bookmarkEnd w:id="2143"/>
    <w:p w14:paraId="242CD959">
      <w:pPr>
        <w:spacing w:before="120" w:beforeLines="50" w:after="120" w:afterLines="50" w:line="440" w:lineRule="exact"/>
        <w:jc w:val="center"/>
        <w:rPr>
          <w:rFonts w:eastAsia="黑体"/>
          <w:sz w:val="28"/>
          <w:szCs w:val="28"/>
        </w:rPr>
      </w:pPr>
      <w:r>
        <w:rPr>
          <w:rFonts w:eastAsia="黑体"/>
          <w:sz w:val="28"/>
          <w:szCs w:val="28"/>
        </w:rPr>
        <w:t>发包人供应材料设备一览表</w:t>
      </w:r>
    </w:p>
    <w:tbl>
      <w:tblPr>
        <w:tblStyle w:val="17"/>
        <w:tblW w:w="87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6"/>
        <w:gridCol w:w="1134"/>
        <w:gridCol w:w="851"/>
        <w:gridCol w:w="708"/>
        <w:gridCol w:w="709"/>
        <w:gridCol w:w="851"/>
        <w:gridCol w:w="850"/>
        <w:gridCol w:w="803"/>
        <w:gridCol w:w="1465"/>
        <w:gridCol w:w="803"/>
      </w:tblGrid>
      <w:tr w14:paraId="47056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66" w:type="dxa"/>
            <w:tcBorders>
              <w:top w:val="single" w:color="auto" w:sz="12" w:space="0"/>
              <w:bottom w:val="double" w:color="auto" w:sz="6" w:space="0"/>
            </w:tcBorders>
            <w:vAlign w:val="center"/>
          </w:tcPr>
          <w:p w14:paraId="43B40A0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序号</w:t>
            </w:r>
          </w:p>
        </w:tc>
        <w:tc>
          <w:tcPr>
            <w:tcW w:w="1134" w:type="dxa"/>
            <w:tcBorders>
              <w:top w:val="single" w:color="auto" w:sz="12" w:space="0"/>
              <w:bottom w:val="double" w:color="auto" w:sz="6" w:space="0"/>
            </w:tcBorders>
            <w:vAlign w:val="center"/>
          </w:tcPr>
          <w:p w14:paraId="5BFE29FE">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eastAsia" w:ascii="宋体" w:hAnsi="宋体"/>
                <w:szCs w:val="21"/>
              </w:rPr>
              <w:t xml:space="preserve">  </w:t>
            </w:r>
            <w:r>
              <w:rPr>
                <w:rFonts w:hint="default" w:ascii="宋体" w:hAnsi="宋体"/>
                <w:szCs w:val="21"/>
              </w:rPr>
              <w:t>材料、</w:t>
            </w:r>
          </w:p>
          <w:p w14:paraId="31FCEAD0">
            <w:pPr>
              <w:pStyle w:val="6"/>
              <w:keepNext/>
              <w:keepLines w:val="0"/>
              <w:suppressLineNumbers w:val="0"/>
              <w:spacing w:before="0" w:beforeAutospacing="0" w:after="0" w:afterAutospacing="0" w:line="440" w:lineRule="exact"/>
              <w:ind w:left="0" w:right="63"/>
              <w:jc w:val="center"/>
              <w:rPr>
                <w:rFonts w:hint="default" w:ascii="宋体" w:hAnsi="宋体"/>
                <w:szCs w:val="21"/>
              </w:rPr>
            </w:pPr>
            <w:r>
              <w:rPr>
                <w:rFonts w:hint="default" w:ascii="宋体" w:hAnsi="宋体"/>
                <w:szCs w:val="21"/>
              </w:rPr>
              <w:t>设备品种</w:t>
            </w:r>
          </w:p>
        </w:tc>
        <w:tc>
          <w:tcPr>
            <w:tcW w:w="851" w:type="dxa"/>
            <w:tcBorders>
              <w:top w:val="single" w:color="auto" w:sz="12" w:space="0"/>
              <w:bottom w:val="double" w:color="auto" w:sz="6" w:space="0"/>
            </w:tcBorders>
            <w:vAlign w:val="center"/>
          </w:tcPr>
          <w:p w14:paraId="155C57C0">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规格</w:t>
            </w:r>
          </w:p>
          <w:p w14:paraId="7EC5EA18">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型号</w:t>
            </w:r>
          </w:p>
        </w:tc>
        <w:tc>
          <w:tcPr>
            <w:tcW w:w="708" w:type="dxa"/>
            <w:tcBorders>
              <w:top w:val="single" w:color="auto" w:sz="12" w:space="0"/>
              <w:bottom w:val="double" w:color="auto" w:sz="6" w:space="0"/>
            </w:tcBorders>
            <w:vAlign w:val="center"/>
          </w:tcPr>
          <w:p w14:paraId="20F7F175">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单位</w:t>
            </w:r>
          </w:p>
        </w:tc>
        <w:tc>
          <w:tcPr>
            <w:tcW w:w="709" w:type="dxa"/>
            <w:tcBorders>
              <w:top w:val="single" w:color="auto" w:sz="12" w:space="0"/>
              <w:bottom w:val="double" w:color="auto" w:sz="6" w:space="0"/>
            </w:tcBorders>
            <w:vAlign w:val="center"/>
          </w:tcPr>
          <w:p w14:paraId="77FA047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数量</w:t>
            </w:r>
          </w:p>
        </w:tc>
        <w:tc>
          <w:tcPr>
            <w:tcW w:w="851" w:type="dxa"/>
            <w:tcBorders>
              <w:top w:val="single" w:color="auto" w:sz="12" w:space="0"/>
              <w:bottom w:val="double" w:color="auto" w:sz="6" w:space="0"/>
            </w:tcBorders>
            <w:vAlign w:val="center"/>
          </w:tcPr>
          <w:p w14:paraId="22503A25">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单价</w:t>
            </w:r>
            <w:r>
              <w:rPr>
                <w:rFonts w:hint="eastAsia" w:ascii="宋体" w:hAnsi="宋体"/>
                <w:szCs w:val="21"/>
              </w:rPr>
              <w:t>（元）</w:t>
            </w:r>
          </w:p>
        </w:tc>
        <w:tc>
          <w:tcPr>
            <w:tcW w:w="850" w:type="dxa"/>
            <w:tcBorders>
              <w:top w:val="single" w:color="auto" w:sz="12" w:space="0"/>
              <w:bottom w:val="double" w:color="auto" w:sz="6" w:space="0"/>
            </w:tcBorders>
            <w:vAlign w:val="center"/>
          </w:tcPr>
          <w:p w14:paraId="28E4190F">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质量</w:t>
            </w:r>
          </w:p>
          <w:p w14:paraId="24302A4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等级</w:t>
            </w:r>
          </w:p>
        </w:tc>
        <w:tc>
          <w:tcPr>
            <w:tcW w:w="803" w:type="dxa"/>
            <w:tcBorders>
              <w:top w:val="single" w:color="auto" w:sz="12" w:space="0"/>
              <w:bottom w:val="double" w:color="auto" w:sz="6" w:space="0"/>
            </w:tcBorders>
            <w:vAlign w:val="center"/>
          </w:tcPr>
          <w:p w14:paraId="5101E76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供应</w:t>
            </w:r>
          </w:p>
          <w:p w14:paraId="61768C3A">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时间</w:t>
            </w:r>
          </w:p>
        </w:tc>
        <w:tc>
          <w:tcPr>
            <w:tcW w:w="1465" w:type="dxa"/>
            <w:tcBorders>
              <w:top w:val="single" w:color="auto" w:sz="12" w:space="0"/>
              <w:bottom w:val="double" w:color="auto" w:sz="6" w:space="0"/>
            </w:tcBorders>
            <w:vAlign w:val="center"/>
          </w:tcPr>
          <w:p w14:paraId="539DDCE3">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送达地点</w:t>
            </w:r>
          </w:p>
        </w:tc>
        <w:tc>
          <w:tcPr>
            <w:tcW w:w="803" w:type="dxa"/>
            <w:tcBorders>
              <w:top w:val="single" w:color="auto" w:sz="12" w:space="0"/>
              <w:bottom w:val="double" w:color="auto" w:sz="6" w:space="0"/>
            </w:tcBorders>
            <w:vAlign w:val="center"/>
          </w:tcPr>
          <w:p w14:paraId="5F51F968">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备注</w:t>
            </w:r>
          </w:p>
        </w:tc>
      </w:tr>
      <w:tr w14:paraId="10444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tcBorders>
              <w:top w:val="double" w:color="auto" w:sz="6" w:space="0"/>
              <w:bottom w:val="single" w:color="auto" w:sz="6" w:space="0"/>
            </w:tcBorders>
            <w:vAlign w:val="center"/>
          </w:tcPr>
          <w:p w14:paraId="1F3BF64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tcBorders>
              <w:top w:val="double" w:color="auto" w:sz="6" w:space="0"/>
              <w:bottom w:val="single" w:color="auto" w:sz="6" w:space="0"/>
            </w:tcBorders>
            <w:vAlign w:val="center"/>
          </w:tcPr>
          <w:p w14:paraId="1B63DEB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double" w:color="auto" w:sz="6" w:space="0"/>
              <w:bottom w:val="single" w:color="auto" w:sz="6" w:space="0"/>
            </w:tcBorders>
            <w:vAlign w:val="center"/>
          </w:tcPr>
          <w:p w14:paraId="5A6379F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tcBorders>
              <w:top w:val="double" w:color="auto" w:sz="6" w:space="0"/>
              <w:bottom w:val="single" w:color="auto" w:sz="6" w:space="0"/>
            </w:tcBorders>
            <w:vAlign w:val="center"/>
          </w:tcPr>
          <w:p w14:paraId="4F264B9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double" w:color="auto" w:sz="6" w:space="0"/>
              <w:bottom w:val="single" w:color="auto" w:sz="6" w:space="0"/>
            </w:tcBorders>
            <w:vAlign w:val="center"/>
          </w:tcPr>
          <w:p w14:paraId="5107669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double" w:color="auto" w:sz="6" w:space="0"/>
              <w:bottom w:val="single" w:color="auto" w:sz="6" w:space="0"/>
            </w:tcBorders>
            <w:vAlign w:val="center"/>
          </w:tcPr>
          <w:p w14:paraId="2BAAB25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tcBorders>
              <w:top w:val="double" w:color="auto" w:sz="6" w:space="0"/>
              <w:bottom w:val="single" w:color="auto" w:sz="6" w:space="0"/>
            </w:tcBorders>
            <w:vAlign w:val="center"/>
          </w:tcPr>
          <w:p w14:paraId="6377E33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tcBorders>
              <w:top w:val="double" w:color="auto" w:sz="6" w:space="0"/>
              <w:bottom w:val="single" w:color="auto" w:sz="6" w:space="0"/>
            </w:tcBorders>
            <w:vAlign w:val="center"/>
          </w:tcPr>
          <w:p w14:paraId="26D4B68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tcBorders>
              <w:top w:val="double" w:color="auto" w:sz="6" w:space="0"/>
              <w:bottom w:val="single" w:color="auto" w:sz="6" w:space="0"/>
            </w:tcBorders>
            <w:vAlign w:val="center"/>
          </w:tcPr>
          <w:p w14:paraId="3AE5F89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tcBorders>
              <w:top w:val="double" w:color="auto" w:sz="6" w:space="0"/>
              <w:bottom w:val="single" w:color="auto" w:sz="6" w:space="0"/>
            </w:tcBorders>
            <w:vAlign w:val="center"/>
          </w:tcPr>
          <w:p w14:paraId="134AED1F">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4880D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tcBorders>
              <w:top w:val="nil"/>
            </w:tcBorders>
            <w:vAlign w:val="center"/>
          </w:tcPr>
          <w:p w14:paraId="6E8AF9F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tcBorders>
              <w:top w:val="nil"/>
            </w:tcBorders>
            <w:vAlign w:val="center"/>
          </w:tcPr>
          <w:p w14:paraId="78944AF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nil"/>
            </w:tcBorders>
            <w:vAlign w:val="center"/>
          </w:tcPr>
          <w:p w14:paraId="1A27CCD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tcBorders>
              <w:top w:val="nil"/>
            </w:tcBorders>
            <w:vAlign w:val="center"/>
          </w:tcPr>
          <w:p w14:paraId="1277843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04D3E54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nil"/>
            </w:tcBorders>
            <w:vAlign w:val="center"/>
          </w:tcPr>
          <w:p w14:paraId="286E4F8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tcBorders>
              <w:top w:val="nil"/>
            </w:tcBorders>
            <w:vAlign w:val="center"/>
          </w:tcPr>
          <w:p w14:paraId="41920B9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tcBorders>
              <w:top w:val="nil"/>
            </w:tcBorders>
            <w:vAlign w:val="center"/>
          </w:tcPr>
          <w:p w14:paraId="6C40E79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tcBorders>
              <w:top w:val="nil"/>
            </w:tcBorders>
            <w:vAlign w:val="center"/>
          </w:tcPr>
          <w:p w14:paraId="7CC832E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tcBorders>
              <w:top w:val="nil"/>
            </w:tcBorders>
            <w:vAlign w:val="center"/>
          </w:tcPr>
          <w:p w14:paraId="02541864">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4B89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3058B5E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035C5EB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4342F5E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5F69309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6F834A0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748F2BB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5B3787E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20477AB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4CB9A73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75EF02BF">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4764D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0398647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1F25CD4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7CB4351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0283853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6C05761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7C7F51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08C52BE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29FDCA1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38E7521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02F452B3">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44A82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1F5BC16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7EB0C88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49D80C7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283EF00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1CDBB37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0A3261F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418E779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1D4A625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6EADD94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5E3EF2EB">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570EC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25B3424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01B275D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3BBB0CA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4406A31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6CB66D1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75EC81B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1782A11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4A8753E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701DE40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4E2E07CB">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5BB00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6FE26F9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0DD29F9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5BC82F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0A9FF4D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290D8DC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261A9F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21A2BB2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339CC36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355A70B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3F5F12FF">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1C140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4BAF2DF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76C7EF1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2B5B6D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7A2E5EF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25548FA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0BA967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4CD52CA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24A5E1F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2C3DC2B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4556CA5E">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30669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3DEBB7A9">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004E6DB9">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0F69CC6C">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4A8F772A">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191AC699">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36856453">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51F41C47">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00CA3A82">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20E70C9A">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71533071">
            <w:pPr>
              <w:keepNext w:val="0"/>
              <w:keepLines w:val="0"/>
              <w:suppressLineNumbers w:val="0"/>
              <w:spacing w:before="0" w:beforeAutospacing="0" w:after="0" w:afterAutospacing="0"/>
              <w:ind w:left="0" w:right="0"/>
              <w:jc w:val="center"/>
              <w:rPr>
                <w:rFonts w:hint="default" w:eastAsia="仿宋_GB2312"/>
                <w:sz w:val="30"/>
                <w:szCs w:val="30"/>
              </w:rPr>
            </w:pPr>
          </w:p>
        </w:tc>
      </w:tr>
      <w:tr w14:paraId="0DF7B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0FAAC90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134" w:type="dxa"/>
            <w:vAlign w:val="center"/>
          </w:tcPr>
          <w:p w14:paraId="00FE24D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3F829CF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8" w:type="dxa"/>
            <w:vAlign w:val="center"/>
          </w:tcPr>
          <w:p w14:paraId="732F423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28D1F90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22293B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3343E0E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291250F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65" w:type="dxa"/>
            <w:vAlign w:val="center"/>
          </w:tcPr>
          <w:p w14:paraId="2A61E4F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03" w:type="dxa"/>
            <w:vAlign w:val="center"/>
          </w:tcPr>
          <w:p w14:paraId="3F547B7D">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57E2D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03391ED5">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2C6A7223">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7C3D1C24">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1F67587A">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13A23CE5">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7993588A">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19D2F57C">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1D290A92">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60C5A1D4">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69C1A044">
            <w:pPr>
              <w:keepNext w:val="0"/>
              <w:keepLines w:val="0"/>
              <w:suppressLineNumbers w:val="0"/>
              <w:spacing w:before="0" w:beforeAutospacing="0" w:after="0" w:afterAutospacing="0"/>
              <w:ind w:left="0" w:right="0"/>
              <w:jc w:val="center"/>
              <w:rPr>
                <w:rFonts w:hint="default" w:eastAsia="仿宋_GB2312"/>
                <w:sz w:val="30"/>
                <w:szCs w:val="30"/>
              </w:rPr>
            </w:pPr>
          </w:p>
        </w:tc>
      </w:tr>
      <w:tr w14:paraId="4D8D3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32E0AC34">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6AC08BE6">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06E6D2BB">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7FB5AFE1">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5AEC74A7">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1E2837C4">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3E8AE2E8">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5C4E7311">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536B16B7">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2DED1371">
            <w:pPr>
              <w:keepNext w:val="0"/>
              <w:keepLines w:val="0"/>
              <w:suppressLineNumbers w:val="0"/>
              <w:spacing w:before="0" w:beforeAutospacing="0" w:after="0" w:afterAutospacing="0"/>
              <w:ind w:left="0" w:right="0"/>
              <w:jc w:val="center"/>
              <w:rPr>
                <w:rFonts w:hint="default" w:eastAsia="仿宋_GB2312"/>
                <w:sz w:val="30"/>
                <w:szCs w:val="30"/>
              </w:rPr>
            </w:pPr>
          </w:p>
        </w:tc>
      </w:tr>
      <w:tr w14:paraId="47969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785C766F">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1D200D93">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43B1CD01">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6519B3DF">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2A6AA522">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30D52D6A">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0AA9E7A4">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2E605EB1">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623A850D">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5C9603D6">
            <w:pPr>
              <w:keepNext w:val="0"/>
              <w:keepLines w:val="0"/>
              <w:suppressLineNumbers w:val="0"/>
              <w:spacing w:before="0" w:beforeAutospacing="0" w:after="0" w:afterAutospacing="0"/>
              <w:ind w:left="0" w:right="0"/>
              <w:jc w:val="center"/>
              <w:rPr>
                <w:rFonts w:hint="default" w:eastAsia="仿宋_GB2312"/>
                <w:sz w:val="30"/>
                <w:szCs w:val="30"/>
              </w:rPr>
            </w:pPr>
          </w:p>
        </w:tc>
      </w:tr>
      <w:tr w14:paraId="71380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6C9B4BDC">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2AA8E998">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6E22DBA4">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0D17B11A">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1F2BD785">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54466DF2">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51CF8FAC">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7788C370">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096C3F5E">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1E7FAA5F">
            <w:pPr>
              <w:keepNext w:val="0"/>
              <w:keepLines w:val="0"/>
              <w:suppressLineNumbers w:val="0"/>
              <w:spacing w:before="0" w:beforeAutospacing="0" w:after="0" w:afterAutospacing="0"/>
              <w:ind w:left="0" w:right="0"/>
              <w:jc w:val="center"/>
              <w:rPr>
                <w:rFonts w:hint="default" w:eastAsia="仿宋_GB2312"/>
                <w:sz w:val="30"/>
                <w:szCs w:val="30"/>
              </w:rPr>
            </w:pPr>
          </w:p>
        </w:tc>
      </w:tr>
      <w:tr w14:paraId="26BEA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7BC1F23C">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54063A6D">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5C7395E6">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563208DC">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3EFB0E59">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6CA53016">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63C175CF">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0A19EC33">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267B25C5">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246EC227">
            <w:pPr>
              <w:keepNext w:val="0"/>
              <w:keepLines w:val="0"/>
              <w:suppressLineNumbers w:val="0"/>
              <w:spacing w:before="0" w:beforeAutospacing="0" w:after="0" w:afterAutospacing="0"/>
              <w:ind w:left="0" w:right="0"/>
              <w:jc w:val="center"/>
              <w:rPr>
                <w:rFonts w:hint="default" w:eastAsia="仿宋_GB2312"/>
                <w:sz w:val="30"/>
                <w:szCs w:val="30"/>
              </w:rPr>
            </w:pPr>
          </w:p>
        </w:tc>
      </w:tr>
      <w:tr w14:paraId="14AEE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4C428E10">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0E556D97">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3F6B205E">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0AB7A664">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163E97AA">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53F1A16F">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2B7587B5">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2D92DCCE">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7699E0D5">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3EB106E1">
            <w:pPr>
              <w:keepNext w:val="0"/>
              <w:keepLines w:val="0"/>
              <w:suppressLineNumbers w:val="0"/>
              <w:spacing w:before="0" w:beforeAutospacing="0" w:after="0" w:afterAutospacing="0"/>
              <w:ind w:left="0" w:right="0"/>
              <w:jc w:val="center"/>
              <w:rPr>
                <w:rFonts w:hint="default" w:eastAsia="仿宋_GB2312"/>
                <w:sz w:val="30"/>
                <w:szCs w:val="30"/>
              </w:rPr>
            </w:pPr>
          </w:p>
        </w:tc>
      </w:tr>
      <w:tr w14:paraId="632E7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69402D18">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42A746E7">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160A5A72">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031EDA68">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5C875EA7">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689C404F">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1F7569CE">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502B92AC">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78799C4F">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3799A6BC">
            <w:pPr>
              <w:keepNext w:val="0"/>
              <w:keepLines w:val="0"/>
              <w:suppressLineNumbers w:val="0"/>
              <w:spacing w:before="0" w:beforeAutospacing="0" w:after="0" w:afterAutospacing="0"/>
              <w:ind w:left="0" w:right="0"/>
              <w:jc w:val="center"/>
              <w:rPr>
                <w:rFonts w:hint="default" w:eastAsia="仿宋_GB2312"/>
                <w:sz w:val="30"/>
                <w:szCs w:val="30"/>
              </w:rPr>
            </w:pPr>
          </w:p>
        </w:tc>
      </w:tr>
      <w:tr w14:paraId="7C91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66" w:type="dxa"/>
            <w:vAlign w:val="center"/>
          </w:tcPr>
          <w:p w14:paraId="3126BFA3">
            <w:pPr>
              <w:keepNext w:val="0"/>
              <w:keepLines w:val="0"/>
              <w:suppressLineNumbers w:val="0"/>
              <w:spacing w:before="0" w:beforeAutospacing="0" w:after="0" w:afterAutospacing="0"/>
              <w:ind w:left="0" w:right="0"/>
              <w:jc w:val="center"/>
              <w:rPr>
                <w:rFonts w:hint="default" w:eastAsia="仿宋_GB2312"/>
                <w:sz w:val="30"/>
                <w:szCs w:val="30"/>
              </w:rPr>
            </w:pPr>
          </w:p>
        </w:tc>
        <w:tc>
          <w:tcPr>
            <w:tcW w:w="1134" w:type="dxa"/>
            <w:vAlign w:val="center"/>
          </w:tcPr>
          <w:p w14:paraId="7C2479C7">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3EA38EA5">
            <w:pPr>
              <w:keepNext w:val="0"/>
              <w:keepLines w:val="0"/>
              <w:suppressLineNumbers w:val="0"/>
              <w:spacing w:before="0" w:beforeAutospacing="0" w:after="0" w:afterAutospacing="0"/>
              <w:ind w:left="0" w:right="0"/>
              <w:jc w:val="center"/>
              <w:rPr>
                <w:rFonts w:hint="default" w:eastAsia="仿宋_GB2312"/>
                <w:sz w:val="30"/>
                <w:szCs w:val="30"/>
              </w:rPr>
            </w:pPr>
          </w:p>
        </w:tc>
        <w:tc>
          <w:tcPr>
            <w:tcW w:w="708" w:type="dxa"/>
            <w:vAlign w:val="center"/>
          </w:tcPr>
          <w:p w14:paraId="0B7DDDE7">
            <w:pPr>
              <w:keepNext w:val="0"/>
              <w:keepLines w:val="0"/>
              <w:suppressLineNumbers w:val="0"/>
              <w:spacing w:before="0" w:beforeAutospacing="0" w:after="0" w:afterAutospacing="0"/>
              <w:ind w:left="0" w:right="0"/>
              <w:jc w:val="center"/>
              <w:rPr>
                <w:rFonts w:hint="default" w:eastAsia="仿宋_GB2312"/>
                <w:sz w:val="30"/>
                <w:szCs w:val="30"/>
              </w:rPr>
            </w:pPr>
          </w:p>
        </w:tc>
        <w:tc>
          <w:tcPr>
            <w:tcW w:w="709" w:type="dxa"/>
            <w:vAlign w:val="center"/>
          </w:tcPr>
          <w:p w14:paraId="18FEF479">
            <w:pPr>
              <w:keepNext w:val="0"/>
              <w:keepLines w:val="0"/>
              <w:suppressLineNumbers w:val="0"/>
              <w:spacing w:before="0" w:beforeAutospacing="0" w:after="0" w:afterAutospacing="0"/>
              <w:ind w:left="0" w:right="0"/>
              <w:jc w:val="center"/>
              <w:rPr>
                <w:rFonts w:hint="default" w:eastAsia="仿宋_GB2312"/>
                <w:sz w:val="30"/>
                <w:szCs w:val="30"/>
              </w:rPr>
            </w:pPr>
          </w:p>
        </w:tc>
        <w:tc>
          <w:tcPr>
            <w:tcW w:w="851" w:type="dxa"/>
            <w:vAlign w:val="center"/>
          </w:tcPr>
          <w:p w14:paraId="019E15EC">
            <w:pPr>
              <w:keepNext w:val="0"/>
              <w:keepLines w:val="0"/>
              <w:suppressLineNumbers w:val="0"/>
              <w:spacing w:before="0" w:beforeAutospacing="0" w:after="0" w:afterAutospacing="0"/>
              <w:ind w:left="0" w:right="0"/>
              <w:jc w:val="center"/>
              <w:rPr>
                <w:rFonts w:hint="default" w:eastAsia="仿宋_GB2312"/>
                <w:sz w:val="30"/>
                <w:szCs w:val="30"/>
              </w:rPr>
            </w:pPr>
          </w:p>
        </w:tc>
        <w:tc>
          <w:tcPr>
            <w:tcW w:w="850" w:type="dxa"/>
            <w:vAlign w:val="center"/>
          </w:tcPr>
          <w:p w14:paraId="30D61B43">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272D0E4D">
            <w:pPr>
              <w:keepNext w:val="0"/>
              <w:keepLines w:val="0"/>
              <w:suppressLineNumbers w:val="0"/>
              <w:spacing w:before="0" w:beforeAutospacing="0" w:after="0" w:afterAutospacing="0"/>
              <w:ind w:left="0" w:right="0"/>
              <w:jc w:val="center"/>
              <w:rPr>
                <w:rFonts w:hint="default" w:eastAsia="仿宋_GB2312"/>
                <w:sz w:val="30"/>
                <w:szCs w:val="30"/>
              </w:rPr>
            </w:pPr>
          </w:p>
        </w:tc>
        <w:tc>
          <w:tcPr>
            <w:tcW w:w="1465" w:type="dxa"/>
            <w:vAlign w:val="center"/>
          </w:tcPr>
          <w:p w14:paraId="49BA6A50">
            <w:pPr>
              <w:keepNext w:val="0"/>
              <w:keepLines w:val="0"/>
              <w:suppressLineNumbers w:val="0"/>
              <w:spacing w:before="0" w:beforeAutospacing="0" w:after="0" w:afterAutospacing="0"/>
              <w:ind w:left="0" w:right="0"/>
              <w:jc w:val="center"/>
              <w:rPr>
                <w:rFonts w:hint="default" w:eastAsia="仿宋_GB2312"/>
                <w:sz w:val="30"/>
                <w:szCs w:val="30"/>
              </w:rPr>
            </w:pPr>
          </w:p>
        </w:tc>
        <w:tc>
          <w:tcPr>
            <w:tcW w:w="803" w:type="dxa"/>
            <w:vAlign w:val="center"/>
          </w:tcPr>
          <w:p w14:paraId="162B8550">
            <w:pPr>
              <w:keepNext w:val="0"/>
              <w:keepLines w:val="0"/>
              <w:suppressLineNumbers w:val="0"/>
              <w:spacing w:before="0" w:beforeAutospacing="0" w:after="0" w:afterAutospacing="0"/>
              <w:ind w:left="0" w:right="0"/>
              <w:jc w:val="center"/>
              <w:rPr>
                <w:rFonts w:hint="default" w:eastAsia="仿宋_GB2312"/>
                <w:sz w:val="30"/>
                <w:szCs w:val="30"/>
              </w:rPr>
            </w:pPr>
          </w:p>
        </w:tc>
      </w:tr>
    </w:tbl>
    <w:p w14:paraId="12453E1F">
      <w:pPr>
        <w:spacing w:line="440" w:lineRule="exact"/>
        <w:rPr>
          <w:rFonts w:eastAsia="仿宋_GB2312"/>
          <w:sz w:val="30"/>
          <w:szCs w:val="30"/>
        </w:rPr>
      </w:pPr>
    </w:p>
    <w:p w14:paraId="04811AEB">
      <w:pPr>
        <w:spacing w:before="120" w:beforeLines="50" w:after="120" w:afterLines="50" w:line="440" w:lineRule="exact"/>
        <w:jc w:val="left"/>
        <w:rPr>
          <w:rFonts w:ascii="宋体" w:hAnsi="宋体"/>
          <w:sz w:val="24"/>
        </w:rPr>
        <w:sectPr>
          <w:pgSz w:w="11906" w:h="16838"/>
          <w:pgMar w:top="1440" w:right="1797" w:bottom="1440" w:left="1797" w:header="851" w:footer="851" w:gutter="0"/>
          <w:cols w:space="720" w:num="1"/>
          <w:docGrid w:linePitch="312" w:charSpace="0"/>
        </w:sectPr>
      </w:pPr>
    </w:p>
    <w:p w14:paraId="0DA6B8CF">
      <w:pPr>
        <w:spacing w:before="120" w:beforeLines="50" w:after="120" w:afterLines="50" w:line="440" w:lineRule="exact"/>
        <w:jc w:val="left"/>
        <w:rPr>
          <w:rFonts w:ascii="宋体" w:hAnsi="宋体"/>
          <w:sz w:val="24"/>
        </w:rPr>
      </w:pPr>
      <w:r>
        <w:rPr>
          <w:rFonts w:ascii="宋体" w:hAnsi="宋体"/>
          <w:sz w:val="24"/>
        </w:rPr>
        <w:t>附</w:t>
      </w:r>
      <w:bookmarkStart w:id="2144" w:name="_Toc296503226"/>
      <w:bookmarkStart w:id="2145" w:name="_Toc296944565"/>
      <w:bookmarkStart w:id="2146" w:name="_Toc296891054"/>
      <w:bookmarkStart w:id="2147" w:name="_Toc296347225"/>
      <w:bookmarkStart w:id="2148" w:name="_Toc296346727"/>
      <w:bookmarkStart w:id="2149" w:name="_Toc296891266"/>
      <w:bookmarkStart w:id="2150" w:name="_Toc267261693"/>
      <w:r>
        <w:rPr>
          <w:rFonts w:ascii="宋体" w:hAnsi="宋体"/>
          <w:sz w:val="24"/>
        </w:rPr>
        <w:t>件</w:t>
      </w:r>
      <w:r>
        <w:rPr>
          <w:sz w:val="24"/>
        </w:rPr>
        <w:t>3：</w:t>
      </w:r>
      <w:bookmarkEnd w:id="2144"/>
      <w:bookmarkEnd w:id="2145"/>
      <w:bookmarkEnd w:id="2146"/>
      <w:bookmarkEnd w:id="2147"/>
      <w:bookmarkEnd w:id="2148"/>
      <w:bookmarkEnd w:id="2149"/>
      <w:bookmarkEnd w:id="2150"/>
      <w:r>
        <w:rPr>
          <w:sz w:val="24"/>
        </w:rPr>
        <w:t xml:space="preserve">  </w:t>
      </w:r>
      <w:r>
        <w:rPr>
          <w:rFonts w:ascii="宋体" w:hAnsi="宋体"/>
          <w:sz w:val="24"/>
        </w:rPr>
        <w:t xml:space="preserve">  </w:t>
      </w:r>
    </w:p>
    <w:p w14:paraId="7559D7B0">
      <w:pPr>
        <w:spacing w:before="120" w:beforeLines="50" w:after="120" w:afterLines="50" w:line="440" w:lineRule="exact"/>
        <w:jc w:val="center"/>
        <w:rPr>
          <w:rFonts w:eastAsia="黑体"/>
          <w:sz w:val="28"/>
          <w:szCs w:val="28"/>
        </w:rPr>
      </w:pPr>
      <w:r>
        <w:rPr>
          <w:rFonts w:eastAsia="黑体"/>
          <w:sz w:val="28"/>
          <w:szCs w:val="28"/>
        </w:rPr>
        <w:t>工程质量保修书</w:t>
      </w:r>
    </w:p>
    <w:p w14:paraId="69849246">
      <w:pPr>
        <w:spacing w:line="360" w:lineRule="auto"/>
        <w:ind w:firstLine="420" w:firstLineChars="200"/>
        <w:rPr>
          <w:rFonts w:ascii="宋体" w:hAnsi="宋体"/>
          <w:szCs w:val="21"/>
        </w:rPr>
      </w:pPr>
      <w:r>
        <w:rPr>
          <w:rFonts w:ascii="宋体" w:hAnsi="宋体"/>
          <w:szCs w:val="21"/>
        </w:rPr>
        <w:t>发包人（全称）：</w:t>
      </w:r>
      <w:r>
        <w:rPr>
          <w:rFonts w:ascii="宋体" w:hAnsi="宋体"/>
          <w:szCs w:val="21"/>
          <w:u w:val="single"/>
        </w:rPr>
        <w:t xml:space="preserve">                                </w:t>
      </w:r>
      <w:r>
        <w:rPr>
          <w:rFonts w:ascii="宋体" w:hAnsi="宋体"/>
          <w:szCs w:val="21"/>
        </w:rPr>
        <w:t xml:space="preserve"> </w:t>
      </w:r>
    </w:p>
    <w:p w14:paraId="7069260B">
      <w:pPr>
        <w:spacing w:line="360" w:lineRule="auto"/>
        <w:ind w:firstLine="200"/>
        <w:rPr>
          <w:rFonts w:ascii="宋体" w:hAnsi="宋体"/>
          <w:szCs w:val="21"/>
        </w:rPr>
      </w:pPr>
      <w:r>
        <w:rPr>
          <w:rFonts w:ascii="宋体" w:hAnsi="宋体"/>
          <w:szCs w:val="21"/>
        </w:rPr>
        <w:t>　承包人（全称）：</w:t>
      </w:r>
      <w:r>
        <w:rPr>
          <w:rFonts w:ascii="宋体" w:hAnsi="宋体"/>
          <w:szCs w:val="21"/>
          <w:u w:val="single"/>
        </w:rPr>
        <w:t xml:space="preserve">                                </w:t>
      </w:r>
      <w:r>
        <w:rPr>
          <w:rFonts w:ascii="宋体" w:hAnsi="宋体"/>
          <w:szCs w:val="21"/>
        </w:rPr>
        <w:t xml:space="preserve"> </w:t>
      </w:r>
    </w:p>
    <w:p w14:paraId="6BC745D2">
      <w:pPr>
        <w:spacing w:line="360" w:lineRule="auto"/>
        <w:ind w:firstLine="200"/>
        <w:rPr>
          <w:rFonts w:ascii="宋体" w:hAnsi="宋体"/>
          <w:szCs w:val="21"/>
        </w:rPr>
      </w:pPr>
    </w:p>
    <w:p w14:paraId="453E5D68">
      <w:pPr>
        <w:spacing w:line="360" w:lineRule="auto"/>
        <w:ind w:firstLine="200"/>
        <w:rPr>
          <w:rFonts w:eastAsia="黑体"/>
          <w:szCs w:val="21"/>
        </w:rPr>
      </w:pPr>
      <w:r>
        <w:rPr>
          <w:rFonts w:ascii="宋体" w:hAnsi="宋体"/>
          <w:szCs w:val="21"/>
        </w:rPr>
        <w:t>　发包人和承包人根据《中华人民共和国建筑法》和《建设工程质量管理条例》，经协商一致就</w:t>
      </w:r>
      <w:r>
        <w:rPr>
          <w:rFonts w:ascii="宋体" w:hAnsi="宋体"/>
          <w:szCs w:val="21"/>
          <w:u w:val="single"/>
        </w:rPr>
        <w:t xml:space="preserve">                </w:t>
      </w:r>
      <w:r>
        <w:rPr>
          <w:rFonts w:ascii="宋体" w:hAnsi="宋体"/>
          <w:szCs w:val="21"/>
        </w:rPr>
        <w:t>（工程全称）签订工程质量保修书。</w:t>
      </w:r>
    </w:p>
    <w:p w14:paraId="2C676D2A">
      <w:pPr>
        <w:spacing w:line="360" w:lineRule="auto"/>
        <w:ind w:firstLine="420" w:firstLineChars="0"/>
        <w:rPr>
          <w:rFonts w:eastAsia="黑体"/>
          <w:szCs w:val="21"/>
        </w:rPr>
      </w:pPr>
      <w:r>
        <w:rPr>
          <w:rFonts w:eastAsia="黑体"/>
          <w:szCs w:val="21"/>
        </w:rPr>
        <w:t>一、工程质量保修范围和内容</w:t>
      </w:r>
    </w:p>
    <w:p w14:paraId="551CB526">
      <w:pPr>
        <w:spacing w:line="360" w:lineRule="auto"/>
        <w:ind w:firstLine="200"/>
        <w:rPr>
          <w:rFonts w:ascii="宋体" w:hAnsi="宋体"/>
          <w:szCs w:val="21"/>
        </w:rPr>
      </w:pPr>
      <w:r>
        <w:rPr>
          <w:rFonts w:eastAsia="仿宋_GB2312"/>
          <w:szCs w:val="21"/>
        </w:rPr>
        <w:t>　</w:t>
      </w:r>
      <w:r>
        <w:rPr>
          <w:rFonts w:ascii="宋体" w:hAnsi="宋体"/>
          <w:szCs w:val="21"/>
        </w:rPr>
        <w:t>承包人在质量保修期内，按照有关法律规定和合同约定，承担工程质量保修责任。</w:t>
      </w:r>
    </w:p>
    <w:p w14:paraId="68D12CF3">
      <w:pPr>
        <w:spacing w:line="360" w:lineRule="auto"/>
        <w:ind w:firstLine="200"/>
        <w:rPr>
          <w:rFonts w:ascii="宋体" w:hAnsi="宋体"/>
          <w:szCs w:val="21"/>
        </w:rPr>
      </w:pPr>
      <w:r>
        <w:rPr>
          <w:rFonts w:ascii="宋体" w:hAnsi="宋体"/>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1DE4C86">
      <w:pPr>
        <w:spacing w:line="360" w:lineRule="auto"/>
        <w:ind w:firstLine="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77285851">
      <w:pPr>
        <w:spacing w:line="360" w:lineRule="auto"/>
        <w:ind w:firstLine="420" w:firstLineChars="0"/>
        <w:rPr>
          <w:rFonts w:eastAsia="黑体"/>
          <w:szCs w:val="21"/>
        </w:rPr>
      </w:pPr>
      <w:r>
        <w:rPr>
          <w:rFonts w:eastAsia="黑体"/>
          <w:szCs w:val="21"/>
        </w:rPr>
        <w:t>二、质量保修期</w:t>
      </w:r>
    </w:p>
    <w:p w14:paraId="277C81A2">
      <w:pPr>
        <w:spacing w:line="360" w:lineRule="auto"/>
        <w:ind w:firstLine="420" w:firstLineChars="200"/>
        <w:rPr>
          <w:rFonts w:ascii="宋体" w:hAnsi="宋体"/>
          <w:szCs w:val="21"/>
        </w:rPr>
      </w:pPr>
      <w:r>
        <w:rPr>
          <w:rFonts w:ascii="宋体" w:hAnsi="宋体"/>
          <w:szCs w:val="21"/>
        </w:rPr>
        <w:t>根据《建设工程质量管理条例》及有关规定，工程的质量保修期如下：</w:t>
      </w:r>
    </w:p>
    <w:p w14:paraId="5C3E8F86">
      <w:pPr>
        <w:spacing w:line="360" w:lineRule="auto"/>
        <w:ind w:firstLine="420" w:firstLineChars="200"/>
        <w:rPr>
          <w:rFonts w:ascii="宋体" w:hAnsi="宋体"/>
          <w:szCs w:val="21"/>
        </w:rPr>
      </w:pPr>
      <w:r>
        <w:rPr>
          <w:rFonts w:hint="eastAsia"/>
          <w:szCs w:val="21"/>
        </w:rPr>
        <w:t>1．</w:t>
      </w:r>
      <w:r>
        <w:rPr>
          <w:rFonts w:hint="eastAsia" w:ascii="宋体" w:hAnsi="宋体"/>
          <w:szCs w:val="21"/>
        </w:rPr>
        <w:t>地基基础工程和主体结构工程为设计文件规定的工程合理使用年限；</w:t>
      </w:r>
    </w:p>
    <w:p w14:paraId="59BF6820">
      <w:pPr>
        <w:spacing w:line="360" w:lineRule="auto"/>
        <w:ind w:firstLine="420" w:firstLineChars="200"/>
        <w:rPr>
          <w:rFonts w:ascii="宋体" w:hAnsi="宋体"/>
          <w:szCs w:val="21"/>
        </w:rPr>
      </w:pPr>
      <w:r>
        <w:rPr>
          <w:rFonts w:hint="eastAsia"/>
          <w:szCs w:val="21"/>
        </w:rPr>
        <w:t>2．</w:t>
      </w:r>
      <w:r>
        <w:rPr>
          <w:rFonts w:ascii="宋体" w:hAnsi="宋体"/>
          <w:szCs w:val="21"/>
        </w:rPr>
        <w:t>屋面防水工程、有防水要求的卫生间、房间和外墙面的防渗</w:t>
      </w:r>
      <w:r>
        <w:rPr>
          <w:rFonts w:hint="eastAsia" w:ascii="宋体" w:hAnsi="宋体"/>
          <w:szCs w:val="21"/>
        </w:rPr>
        <w:t>为</w:t>
      </w:r>
      <w:r>
        <w:rPr>
          <w:rFonts w:hint="eastAsia" w:ascii="宋体" w:hAnsi="宋体"/>
          <w:szCs w:val="21"/>
          <w:u w:val="single"/>
        </w:rPr>
        <w:t xml:space="preserve">        </w:t>
      </w:r>
      <w:r>
        <w:rPr>
          <w:rFonts w:ascii="宋体" w:hAnsi="宋体"/>
          <w:szCs w:val="21"/>
        </w:rPr>
        <w:t>年；</w:t>
      </w:r>
    </w:p>
    <w:p w14:paraId="3588A287">
      <w:pPr>
        <w:spacing w:line="360" w:lineRule="auto"/>
        <w:ind w:firstLine="420" w:firstLineChars="200"/>
        <w:rPr>
          <w:rFonts w:ascii="宋体" w:hAnsi="宋体"/>
          <w:szCs w:val="21"/>
        </w:rPr>
      </w:pPr>
      <w:r>
        <w:rPr>
          <w:rFonts w:hint="eastAsia"/>
          <w:szCs w:val="21"/>
        </w:rPr>
        <w:t>3．</w:t>
      </w:r>
      <w:r>
        <w:rPr>
          <w:rFonts w:ascii="宋体" w:hAnsi="宋体"/>
          <w:szCs w:val="21"/>
        </w:rPr>
        <w:t>装修工程为</w:t>
      </w:r>
      <w:r>
        <w:rPr>
          <w:rFonts w:ascii="宋体" w:hAnsi="宋体"/>
          <w:szCs w:val="21"/>
          <w:u w:val="single"/>
        </w:rPr>
        <w:t xml:space="preserve">         </w:t>
      </w:r>
      <w:r>
        <w:rPr>
          <w:rFonts w:ascii="宋体" w:hAnsi="宋体"/>
          <w:szCs w:val="21"/>
        </w:rPr>
        <w:t>年；</w:t>
      </w:r>
    </w:p>
    <w:p w14:paraId="284910F6">
      <w:pPr>
        <w:spacing w:line="360" w:lineRule="auto"/>
        <w:ind w:firstLine="420" w:firstLineChars="200"/>
        <w:rPr>
          <w:rFonts w:ascii="宋体" w:hAnsi="宋体"/>
          <w:szCs w:val="21"/>
        </w:rPr>
      </w:pPr>
      <w:r>
        <w:rPr>
          <w:rFonts w:hint="eastAsia"/>
          <w:szCs w:val="21"/>
        </w:rPr>
        <w:t>4．</w:t>
      </w:r>
      <w:r>
        <w:rPr>
          <w:rFonts w:ascii="宋体" w:hAnsi="宋体"/>
          <w:szCs w:val="21"/>
        </w:rPr>
        <w:t>电气管线、给排水管道、设备安装工程为</w:t>
      </w:r>
      <w:r>
        <w:rPr>
          <w:rFonts w:ascii="宋体" w:hAnsi="宋体"/>
          <w:szCs w:val="21"/>
          <w:u w:val="single"/>
        </w:rPr>
        <w:t xml:space="preserve">         </w:t>
      </w:r>
      <w:r>
        <w:rPr>
          <w:rFonts w:ascii="宋体" w:hAnsi="宋体"/>
          <w:szCs w:val="21"/>
        </w:rPr>
        <w:t>年；</w:t>
      </w:r>
    </w:p>
    <w:p w14:paraId="3E5DE602">
      <w:pPr>
        <w:spacing w:line="360" w:lineRule="auto"/>
        <w:ind w:firstLine="420" w:firstLineChars="200"/>
        <w:rPr>
          <w:rFonts w:ascii="宋体" w:hAnsi="宋体"/>
          <w:szCs w:val="21"/>
        </w:rPr>
      </w:pPr>
      <w:r>
        <w:rPr>
          <w:rFonts w:hint="eastAsia"/>
          <w:szCs w:val="21"/>
        </w:rPr>
        <w:t>5．</w:t>
      </w:r>
      <w:r>
        <w:rPr>
          <w:rFonts w:ascii="宋体" w:hAnsi="宋体"/>
          <w:szCs w:val="21"/>
        </w:rPr>
        <w:t>供热与供冷系统为</w:t>
      </w:r>
      <w:r>
        <w:rPr>
          <w:rFonts w:ascii="宋体" w:hAnsi="宋体"/>
          <w:szCs w:val="21"/>
          <w:u w:val="single"/>
        </w:rPr>
        <w:t xml:space="preserve">         </w:t>
      </w:r>
      <w:r>
        <w:rPr>
          <w:rFonts w:ascii="宋体" w:hAnsi="宋体"/>
          <w:szCs w:val="21"/>
        </w:rPr>
        <w:t>个采暖期、供冷期；</w:t>
      </w:r>
    </w:p>
    <w:p w14:paraId="3AFB6671">
      <w:pPr>
        <w:spacing w:line="360" w:lineRule="auto"/>
        <w:ind w:firstLine="420" w:firstLineChars="200"/>
        <w:rPr>
          <w:rFonts w:ascii="宋体" w:hAnsi="宋体"/>
          <w:szCs w:val="21"/>
        </w:rPr>
      </w:pPr>
      <w:r>
        <w:rPr>
          <w:rFonts w:hint="eastAsia"/>
          <w:szCs w:val="21"/>
        </w:rPr>
        <w:t>6．</w:t>
      </w:r>
      <w:r>
        <w:rPr>
          <w:rFonts w:ascii="宋体" w:hAnsi="宋体"/>
          <w:szCs w:val="21"/>
        </w:rPr>
        <w:t>住宅小区内的给排水设施、道路等配套工程为</w:t>
      </w:r>
      <w:r>
        <w:rPr>
          <w:rFonts w:ascii="宋体" w:hAnsi="宋体"/>
          <w:szCs w:val="21"/>
          <w:u w:val="single"/>
        </w:rPr>
        <w:t xml:space="preserve">         </w:t>
      </w:r>
      <w:r>
        <w:rPr>
          <w:rFonts w:ascii="宋体" w:hAnsi="宋体"/>
          <w:szCs w:val="21"/>
        </w:rPr>
        <w:t>年；</w:t>
      </w:r>
    </w:p>
    <w:p w14:paraId="2521661A">
      <w:pPr>
        <w:spacing w:line="360" w:lineRule="auto"/>
        <w:ind w:firstLine="420" w:firstLineChars="200"/>
        <w:rPr>
          <w:rFonts w:ascii="宋体" w:hAnsi="宋体"/>
          <w:szCs w:val="21"/>
        </w:rPr>
      </w:pPr>
      <w:r>
        <w:rPr>
          <w:rFonts w:hint="eastAsia"/>
          <w:szCs w:val="21"/>
        </w:rPr>
        <w:t>7．</w:t>
      </w:r>
      <w:r>
        <w:rPr>
          <w:rFonts w:ascii="宋体" w:hAnsi="宋体"/>
          <w:szCs w:val="21"/>
        </w:rPr>
        <w:t>其他项目保修期限约定如下：</w:t>
      </w:r>
    </w:p>
    <w:p w14:paraId="65975CF6">
      <w:pPr>
        <w:spacing w:line="360" w:lineRule="auto"/>
        <w:ind w:firstLine="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03FDD0D4">
      <w:pPr>
        <w:spacing w:line="360" w:lineRule="auto"/>
        <w:ind w:firstLine="200"/>
        <w:rPr>
          <w:rFonts w:ascii="宋体" w:hAnsi="宋体"/>
          <w:szCs w:val="21"/>
        </w:rPr>
      </w:pPr>
      <w:r>
        <w:rPr>
          <w:rFonts w:eastAsia="仿宋_GB2312"/>
          <w:szCs w:val="21"/>
        </w:rPr>
        <w:t>　</w:t>
      </w:r>
      <w:r>
        <w:rPr>
          <w:rFonts w:ascii="宋体" w:hAnsi="宋体"/>
          <w:szCs w:val="21"/>
        </w:rPr>
        <w:t>质量保修期自工程竣工验收合格之日起计算。</w:t>
      </w:r>
    </w:p>
    <w:p w14:paraId="62F496A0">
      <w:pPr>
        <w:spacing w:line="360" w:lineRule="auto"/>
        <w:ind w:firstLine="420" w:firstLineChars="0"/>
        <w:rPr>
          <w:rFonts w:eastAsia="黑体"/>
          <w:szCs w:val="21"/>
        </w:rPr>
      </w:pPr>
      <w:r>
        <w:rPr>
          <w:rFonts w:eastAsia="黑体"/>
          <w:szCs w:val="21"/>
        </w:rPr>
        <w:t>三、缺陷责任期</w:t>
      </w:r>
    </w:p>
    <w:p w14:paraId="1D3CA9FE">
      <w:pPr>
        <w:spacing w:line="360" w:lineRule="auto"/>
        <w:ind w:firstLine="420" w:firstLineChars="200"/>
        <w:rPr>
          <w:rFonts w:ascii="宋体" w:hAnsi="宋体"/>
          <w:szCs w:val="21"/>
        </w:rPr>
      </w:pPr>
      <w:r>
        <w:rPr>
          <w:rFonts w:ascii="宋体" w:hAnsi="宋体"/>
          <w:szCs w:val="21"/>
        </w:rPr>
        <w:t>工程缺陷责任期为</w:t>
      </w:r>
      <w:r>
        <w:rPr>
          <w:rFonts w:ascii="宋体" w:hAnsi="宋体"/>
          <w:szCs w:val="21"/>
          <w:u w:val="single"/>
        </w:rPr>
        <w:t xml:space="preserve">         </w:t>
      </w:r>
      <w:r>
        <w:rPr>
          <w:rFonts w:ascii="宋体" w:hAnsi="宋体"/>
          <w:szCs w:val="21"/>
        </w:rPr>
        <w:t>个月，缺陷责任期自工程</w:t>
      </w:r>
      <w:r>
        <w:rPr>
          <w:rFonts w:hint="eastAsia" w:ascii="宋体" w:hAnsi="宋体"/>
          <w:szCs w:val="21"/>
        </w:rPr>
        <w:t>通过竣工验收</w:t>
      </w:r>
      <w:r>
        <w:rPr>
          <w:rFonts w:ascii="宋体" w:hAnsi="宋体"/>
          <w:szCs w:val="21"/>
        </w:rPr>
        <w:t>之日起计算。单位工程先于全部工程进行验收，单位工程缺陷责任期自单位工程验收合格之日起算。</w:t>
      </w:r>
    </w:p>
    <w:p w14:paraId="06443E7A">
      <w:pPr>
        <w:spacing w:line="360" w:lineRule="auto"/>
        <w:ind w:firstLine="420" w:firstLineChars="200"/>
        <w:rPr>
          <w:rFonts w:ascii="宋体" w:hAnsi="宋体"/>
          <w:szCs w:val="21"/>
        </w:rPr>
      </w:pPr>
      <w:r>
        <w:rPr>
          <w:rFonts w:ascii="宋体" w:hAnsi="宋体"/>
          <w:szCs w:val="21"/>
        </w:rPr>
        <w:t>缺陷责任期终止后，发包人应退还剩余的质量保证金。</w:t>
      </w:r>
    </w:p>
    <w:p w14:paraId="1374D3B5">
      <w:pPr>
        <w:spacing w:line="360" w:lineRule="auto"/>
        <w:ind w:firstLine="420" w:firstLineChars="0"/>
        <w:rPr>
          <w:rFonts w:eastAsia="黑体"/>
          <w:szCs w:val="21"/>
        </w:rPr>
      </w:pPr>
      <w:r>
        <w:rPr>
          <w:rFonts w:eastAsia="黑体"/>
          <w:szCs w:val="21"/>
        </w:rPr>
        <w:t>四、质量保修责任</w:t>
      </w:r>
    </w:p>
    <w:p w14:paraId="5F5C1B3B">
      <w:pPr>
        <w:spacing w:line="360" w:lineRule="auto"/>
        <w:ind w:firstLine="430" w:firstLineChars="205"/>
        <w:rPr>
          <w:rFonts w:ascii="宋体" w:hAnsi="宋体"/>
          <w:szCs w:val="21"/>
        </w:rPr>
      </w:pPr>
      <w:r>
        <w:rPr>
          <w:rFonts w:hint="eastAsia"/>
          <w:szCs w:val="21"/>
        </w:rPr>
        <w:t>1．</w:t>
      </w:r>
      <w:r>
        <w:rPr>
          <w:rFonts w:ascii="宋体" w:hAnsi="宋体"/>
          <w:szCs w:val="21"/>
        </w:rPr>
        <w:t>属于保修范围、内容的项目，承包人应当在接到保修通知之日起7天内派人保修。承包人不在约定期限内派人保修的，发包人可以委托他人修理。</w:t>
      </w:r>
    </w:p>
    <w:p w14:paraId="7D274C71">
      <w:pPr>
        <w:spacing w:line="360" w:lineRule="auto"/>
        <w:ind w:firstLine="430" w:firstLineChars="205"/>
        <w:rPr>
          <w:rFonts w:ascii="宋体" w:hAnsi="宋体"/>
          <w:szCs w:val="21"/>
        </w:rPr>
      </w:pPr>
      <w:r>
        <w:rPr>
          <w:rFonts w:hint="eastAsia"/>
          <w:szCs w:val="21"/>
        </w:rPr>
        <w:t>2．</w:t>
      </w:r>
      <w:r>
        <w:rPr>
          <w:rFonts w:ascii="宋体" w:hAnsi="宋体"/>
          <w:szCs w:val="21"/>
        </w:rPr>
        <w:t>发生紧急事故需抢修的，承包人在接到事故通知后，应当立即到达事故现场抢修。</w:t>
      </w:r>
    </w:p>
    <w:p w14:paraId="56C1636F">
      <w:pPr>
        <w:spacing w:line="360" w:lineRule="auto"/>
        <w:ind w:firstLine="430" w:firstLineChars="205"/>
        <w:rPr>
          <w:rFonts w:ascii="宋体" w:hAnsi="宋体"/>
          <w:szCs w:val="21"/>
        </w:rPr>
      </w:pPr>
      <w:r>
        <w:rPr>
          <w:rFonts w:hint="eastAsia"/>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1B250F6">
      <w:pPr>
        <w:spacing w:line="360" w:lineRule="auto"/>
        <w:ind w:firstLine="420" w:firstLineChars="200"/>
        <w:rPr>
          <w:rFonts w:ascii="宋体" w:hAnsi="宋体"/>
          <w:szCs w:val="21"/>
        </w:rPr>
      </w:pPr>
      <w:r>
        <w:rPr>
          <w:rFonts w:hint="eastAsia"/>
          <w:szCs w:val="21"/>
        </w:rPr>
        <w:t>4．</w:t>
      </w:r>
      <w:r>
        <w:rPr>
          <w:szCs w:val="21"/>
        </w:rPr>
        <w:t>质</w:t>
      </w:r>
      <w:r>
        <w:rPr>
          <w:rFonts w:ascii="宋体" w:hAnsi="宋体"/>
          <w:szCs w:val="21"/>
        </w:rPr>
        <w:t>量保修完成后，由发包人组织验收。</w:t>
      </w:r>
    </w:p>
    <w:p w14:paraId="067F6F97">
      <w:pPr>
        <w:spacing w:line="360" w:lineRule="auto"/>
        <w:ind w:firstLine="420" w:firstLineChars="0"/>
        <w:rPr>
          <w:rFonts w:eastAsia="黑体"/>
          <w:szCs w:val="21"/>
        </w:rPr>
      </w:pPr>
      <w:r>
        <w:rPr>
          <w:rFonts w:eastAsia="黑体"/>
          <w:szCs w:val="21"/>
        </w:rPr>
        <w:t>五、保修费用</w:t>
      </w:r>
    </w:p>
    <w:p w14:paraId="52A9A210">
      <w:pPr>
        <w:spacing w:line="360" w:lineRule="auto"/>
        <w:ind w:firstLine="200"/>
        <w:rPr>
          <w:rFonts w:ascii="宋体" w:hAnsi="宋体"/>
          <w:szCs w:val="21"/>
        </w:rPr>
      </w:pPr>
      <w:r>
        <w:rPr>
          <w:rFonts w:eastAsia="仿宋_GB2312"/>
          <w:szCs w:val="21"/>
        </w:rPr>
        <w:t>　</w:t>
      </w:r>
      <w:r>
        <w:rPr>
          <w:rFonts w:ascii="宋体" w:hAnsi="宋体"/>
          <w:szCs w:val="21"/>
        </w:rPr>
        <w:t>保修费用由造成质量缺陷的责任方承担。</w:t>
      </w:r>
    </w:p>
    <w:p w14:paraId="278B6FE4">
      <w:pPr>
        <w:spacing w:line="360" w:lineRule="auto"/>
        <w:ind w:firstLine="420" w:firstLineChars="0"/>
        <w:rPr>
          <w:rFonts w:eastAsia="黑体"/>
          <w:szCs w:val="21"/>
        </w:rPr>
      </w:pPr>
      <w:r>
        <w:rPr>
          <w:rFonts w:eastAsia="黑体"/>
          <w:szCs w:val="21"/>
        </w:rPr>
        <w:t>六、双方约定的其他工程质量保修事项：</w:t>
      </w:r>
    </w:p>
    <w:p w14:paraId="72CEEC69">
      <w:pPr>
        <w:bidi w:val="0"/>
        <w:rPr>
          <w:rFonts w:eastAsia="仿宋_GB2312"/>
          <w:szCs w:val="21"/>
        </w:rPr>
      </w:pPr>
      <w:r>
        <w:rPr>
          <w:rFonts w:eastAsia="仿宋_GB2312"/>
          <w:szCs w:val="21"/>
          <w:u w:val="single"/>
        </w:rPr>
        <w:t xml:space="preserve">                                                                           </w:t>
      </w:r>
      <w:r>
        <w:rPr>
          <w:rFonts w:hint="eastAsia" w:eastAsia="仿宋_GB2312"/>
          <w:szCs w:val="21"/>
          <w:u w:val="single"/>
        </w:rPr>
        <w:t xml:space="preserve">             </w:t>
      </w:r>
      <w:r>
        <w:rPr>
          <w:rFonts w:eastAsia="仿宋_GB2312"/>
          <w:szCs w:val="21"/>
          <w:u w:val="single"/>
        </w:rPr>
        <w:t xml:space="preserve">        </w:t>
      </w:r>
      <w:r>
        <w:rPr>
          <w:rFonts w:hint="eastAsia" w:eastAsia="仿宋_GB2312"/>
          <w:szCs w:val="21"/>
          <w:u w:val="single"/>
        </w:rPr>
        <w:t xml:space="preserve">                                                       </w:t>
      </w:r>
      <w:r>
        <w:rPr>
          <w:rFonts w:eastAsia="仿宋_GB2312"/>
          <w:szCs w:val="21"/>
          <w:u w:val="single"/>
        </w:rPr>
        <w:t xml:space="preserve">  </w:t>
      </w:r>
      <w:r>
        <w:rPr>
          <w:rFonts w:eastAsia="仿宋_GB2312"/>
          <w:szCs w:val="21"/>
        </w:rPr>
        <w:t>。</w:t>
      </w:r>
    </w:p>
    <w:p w14:paraId="34F49156">
      <w:pPr>
        <w:spacing w:line="360" w:lineRule="auto"/>
        <w:ind w:firstLine="399" w:firstLineChars="190"/>
        <w:rPr>
          <w:rFonts w:ascii="宋体" w:hAnsi="宋体"/>
          <w:szCs w:val="21"/>
        </w:rPr>
      </w:pPr>
      <w:r>
        <w:rPr>
          <w:rFonts w:ascii="宋体" w:hAnsi="宋体"/>
          <w:szCs w:val="21"/>
        </w:rPr>
        <w:t>工程质量保修书由发包人、承包人在工程竣工验收前共同签署，作为施工合同附件，其有效期限至保修期满。</w:t>
      </w:r>
    </w:p>
    <w:p w14:paraId="47E73F92">
      <w:pPr>
        <w:spacing w:line="360" w:lineRule="auto"/>
        <w:ind w:firstLine="399" w:firstLineChars="190"/>
        <w:rPr>
          <w:rFonts w:ascii="宋体" w:hAnsi="宋体"/>
          <w:szCs w:val="21"/>
        </w:rPr>
      </w:pPr>
    </w:p>
    <w:p w14:paraId="3E888D14">
      <w:pPr>
        <w:spacing w:line="360" w:lineRule="auto"/>
        <w:ind w:firstLine="399" w:firstLineChars="190"/>
        <w:rPr>
          <w:rFonts w:ascii="宋体" w:hAnsi="宋体"/>
          <w:szCs w:val="21"/>
        </w:rPr>
      </w:pPr>
    </w:p>
    <w:p w14:paraId="36BDC85F">
      <w:pPr>
        <w:spacing w:line="360" w:lineRule="auto"/>
        <w:ind w:firstLine="420"/>
        <w:rPr>
          <w:rFonts w:ascii="宋体" w:hAnsi="宋体"/>
          <w:szCs w:val="21"/>
        </w:rPr>
      </w:pPr>
    </w:p>
    <w:p w14:paraId="3A178F7E">
      <w:pPr>
        <w:spacing w:line="360" w:lineRule="auto"/>
        <w:ind w:firstLine="630" w:firstLineChars="300"/>
        <w:rPr>
          <w:rFonts w:ascii="宋体" w:hAnsi="宋体"/>
          <w:szCs w:val="21"/>
        </w:rPr>
      </w:pPr>
      <w:r>
        <w:rPr>
          <w:rFonts w:ascii="宋体" w:hAnsi="宋体"/>
          <w:szCs w:val="21"/>
        </w:rPr>
        <w:t>发包人（公章）：</w:t>
      </w:r>
      <w:r>
        <w:rPr>
          <w:rFonts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承包人（公章）：</w:t>
      </w:r>
      <w:r>
        <w:rPr>
          <w:rFonts w:hint="eastAsia" w:ascii="宋体" w:hAnsi="宋体"/>
          <w:szCs w:val="21"/>
          <w:u w:val="single"/>
          <w:lang w:eastAsia="zh-CN"/>
        </w:rPr>
        <w:t xml:space="preserve">  </w:t>
      </w:r>
      <w:r>
        <w:rPr>
          <w:rFonts w:hint="eastAsia"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p>
    <w:p w14:paraId="02E1B70C">
      <w:pPr>
        <w:spacing w:line="360" w:lineRule="auto"/>
        <w:ind w:firstLine="630" w:firstLineChars="300"/>
        <w:rPr>
          <w:rFonts w:ascii="宋体" w:hAnsi="宋体"/>
          <w:szCs w:val="21"/>
        </w:rPr>
      </w:pPr>
      <w:r>
        <w:rPr>
          <w:rFonts w:ascii="宋体" w:hAnsi="宋体"/>
          <w:szCs w:val="21"/>
        </w:rPr>
        <w:t>地  址：</w:t>
      </w:r>
      <w:r>
        <w:rPr>
          <w:rFonts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地  址：</w:t>
      </w:r>
      <w:r>
        <w:rPr>
          <w:rFonts w:hint="eastAsia" w:ascii="宋体" w:hAnsi="宋体"/>
          <w:szCs w:val="21"/>
          <w:u w:val="single"/>
          <w:lang w:eastAsia="zh-CN"/>
        </w:rPr>
        <w:t xml:space="preserve">            </w:t>
      </w:r>
      <w:r>
        <w:rPr>
          <w:rFonts w:hint="eastAsia"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6CB4B231">
      <w:pPr>
        <w:spacing w:line="360" w:lineRule="auto"/>
        <w:ind w:firstLine="630" w:firstLineChars="300"/>
        <w:rPr>
          <w:rFonts w:ascii="宋体" w:hAnsi="宋体"/>
          <w:szCs w:val="21"/>
        </w:rPr>
      </w:pPr>
      <w:r>
        <w:rPr>
          <w:rFonts w:ascii="宋体" w:hAnsi="宋体"/>
          <w:szCs w:val="21"/>
        </w:rPr>
        <w:t>法定代表人（签字）：</w:t>
      </w:r>
      <w:r>
        <w:rPr>
          <w:rFonts w:hint="eastAsia" w:ascii="宋体" w:hAnsi="宋体"/>
          <w:szCs w:val="21"/>
          <w:u w:val="single"/>
          <w:lang w:eastAsia="zh-CN"/>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法定代表人（签字）：</w:t>
      </w:r>
      <w:r>
        <w:rPr>
          <w:rFonts w:hint="eastAsia" w:ascii="宋体" w:hAnsi="宋体"/>
          <w:szCs w:val="21"/>
          <w:u w:val="single"/>
          <w:lang w:eastAsia="zh-CN"/>
        </w:rPr>
        <w:t xml:space="preserve">    </w:t>
      </w:r>
      <w:r>
        <w:rPr>
          <w:rFonts w:hint="eastAsia" w:ascii="宋体" w:hAnsi="宋体"/>
          <w:szCs w:val="21"/>
          <w:u w:val="single"/>
        </w:rPr>
        <w:t xml:space="preserve">      </w:t>
      </w:r>
      <w:r>
        <w:rPr>
          <w:rFonts w:ascii="宋体" w:hAnsi="宋体"/>
          <w:szCs w:val="21"/>
          <w:u w:val="single"/>
        </w:rPr>
        <w:t xml:space="preserve"> </w:t>
      </w:r>
    </w:p>
    <w:p w14:paraId="22DA0874">
      <w:pPr>
        <w:spacing w:line="360" w:lineRule="auto"/>
        <w:ind w:firstLine="630" w:firstLineChars="300"/>
        <w:rPr>
          <w:rFonts w:ascii="宋体" w:hAnsi="宋体"/>
          <w:szCs w:val="21"/>
        </w:rPr>
      </w:pPr>
      <w:r>
        <w:rPr>
          <w:rFonts w:ascii="宋体" w:hAnsi="宋体"/>
          <w:szCs w:val="21"/>
        </w:rPr>
        <w:t>委托代理人（签字）：</w:t>
      </w:r>
      <w:r>
        <w:rPr>
          <w:rFonts w:hint="eastAsia" w:ascii="宋体" w:hAnsi="宋体"/>
          <w:szCs w:val="21"/>
          <w:u w:val="single"/>
          <w:lang w:eastAsia="zh-CN"/>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委托代理人（签字）：</w:t>
      </w:r>
      <w:r>
        <w:rPr>
          <w:rFonts w:hint="eastAsia" w:ascii="宋体" w:hAnsi="宋体"/>
          <w:szCs w:val="21"/>
          <w:u w:val="single"/>
          <w:lang w:eastAsia="zh-CN"/>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0CCBB96">
      <w:pPr>
        <w:spacing w:line="360" w:lineRule="auto"/>
        <w:ind w:firstLine="630" w:firstLineChars="300"/>
        <w:rPr>
          <w:rFonts w:ascii="宋体" w:hAnsi="宋体"/>
          <w:szCs w:val="21"/>
        </w:rPr>
      </w:pPr>
      <w:r>
        <w:rPr>
          <w:rFonts w:ascii="宋体" w:hAnsi="宋体"/>
          <w:szCs w:val="21"/>
        </w:rPr>
        <w:t>电  话：</w:t>
      </w:r>
      <w:r>
        <w:rPr>
          <w:rFonts w:hint="eastAsia" w:ascii="宋体" w:hAnsi="宋体"/>
          <w:szCs w:val="21"/>
          <w:u w:val="single"/>
          <w:lang w:eastAsia="zh-CN"/>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hint="eastAsia" w:ascii="宋体" w:hAnsi="宋体"/>
          <w:szCs w:val="21"/>
          <w:u w:val="single"/>
          <w:lang w:eastAsia="zh-CN"/>
        </w:rPr>
        <w:t xml:space="preserve">                </w:t>
      </w:r>
      <w:r>
        <w:rPr>
          <w:rFonts w:hint="eastAsia" w:ascii="宋体" w:hAnsi="宋体"/>
          <w:szCs w:val="21"/>
          <w:u w:val="single"/>
        </w:rPr>
        <w:t xml:space="preserve">  </w:t>
      </w:r>
      <w:r>
        <w:rPr>
          <w:rFonts w:ascii="宋体" w:hAnsi="宋体"/>
          <w:szCs w:val="21"/>
          <w:u w:val="single"/>
        </w:rPr>
        <w:t xml:space="preserve">   </w:t>
      </w:r>
    </w:p>
    <w:p w14:paraId="4594B790">
      <w:pPr>
        <w:spacing w:line="360" w:lineRule="auto"/>
        <w:ind w:firstLine="630" w:firstLineChars="300"/>
        <w:rPr>
          <w:rFonts w:ascii="宋体" w:hAnsi="宋体"/>
          <w:szCs w:val="21"/>
        </w:rPr>
      </w:pPr>
      <w:r>
        <w:rPr>
          <w:rFonts w:ascii="宋体" w:hAnsi="宋体"/>
          <w:szCs w:val="21"/>
        </w:rPr>
        <w:t>传  真：</w:t>
      </w:r>
      <w:r>
        <w:rPr>
          <w:rFonts w:hint="eastAsia" w:ascii="宋体" w:hAnsi="宋体"/>
          <w:szCs w:val="21"/>
          <w:u w:val="single"/>
          <w:lang w:eastAsia="zh-CN"/>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传  真：</w:t>
      </w:r>
      <w:r>
        <w:rPr>
          <w:rFonts w:hint="eastAsia" w:ascii="宋体" w:hAnsi="宋体"/>
          <w:szCs w:val="21"/>
          <w:u w:val="single"/>
          <w:lang w:eastAsia="zh-CN"/>
        </w:rPr>
        <w:t xml:space="preserve">              </w:t>
      </w:r>
      <w:r>
        <w:rPr>
          <w:rFonts w:hint="eastAsia"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p>
    <w:p w14:paraId="5F79F107">
      <w:pPr>
        <w:spacing w:line="360" w:lineRule="auto"/>
        <w:ind w:firstLine="630" w:firstLineChars="300"/>
        <w:rPr>
          <w:rFonts w:ascii="宋体" w:hAnsi="宋体"/>
          <w:szCs w:val="21"/>
        </w:rPr>
      </w:pPr>
      <w:r>
        <w:rPr>
          <w:rFonts w:ascii="宋体" w:hAnsi="宋体"/>
          <w:szCs w:val="21"/>
        </w:rPr>
        <w:t>开户银行：</w:t>
      </w:r>
      <w:r>
        <w:rPr>
          <w:rFonts w:hint="eastAsia" w:ascii="宋体" w:hAnsi="宋体"/>
          <w:szCs w:val="21"/>
          <w:u w:val="single"/>
          <w:lang w:eastAsia="zh-CN"/>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开户银行：</w:t>
      </w:r>
      <w:r>
        <w:rPr>
          <w:rFonts w:hint="eastAsia" w:ascii="宋体" w:hAnsi="宋体"/>
          <w:szCs w:val="21"/>
          <w:u w:val="single"/>
          <w:lang w:eastAsia="zh-CN"/>
        </w:rPr>
        <w:t xml:space="preserve">                </w:t>
      </w:r>
      <w:r>
        <w:rPr>
          <w:rFonts w:ascii="宋体" w:hAnsi="宋体"/>
          <w:szCs w:val="21"/>
          <w:u w:val="single"/>
        </w:rPr>
        <w:t xml:space="preserve">   </w:t>
      </w:r>
    </w:p>
    <w:p w14:paraId="76216BDB">
      <w:pPr>
        <w:spacing w:line="360" w:lineRule="auto"/>
        <w:ind w:firstLine="630" w:firstLineChars="300"/>
        <w:rPr>
          <w:rFonts w:ascii="宋体" w:hAnsi="宋体"/>
          <w:szCs w:val="21"/>
        </w:rPr>
      </w:pPr>
      <w:r>
        <w:rPr>
          <w:rFonts w:ascii="宋体" w:hAnsi="宋体"/>
          <w:szCs w:val="21"/>
        </w:rPr>
        <w:t>账  号：</w:t>
      </w:r>
      <w:r>
        <w:rPr>
          <w:rFonts w:hint="eastAsia" w:ascii="宋体" w:hAnsi="宋体"/>
          <w:szCs w:val="21"/>
          <w:u w:val="single"/>
          <w:lang w:eastAsia="zh-CN"/>
        </w:rPr>
        <w:t xml:space="preserve">          </w:t>
      </w:r>
      <w:r>
        <w:rPr>
          <w:rFonts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账</w:t>
      </w:r>
      <w:r>
        <w:rPr>
          <w:rFonts w:hint="eastAsia" w:ascii="宋体" w:hAnsi="宋体"/>
          <w:szCs w:val="21"/>
        </w:rPr>
        <w:t xml:space="preserve"> </w:t>
      </w:r>
      <w:r>
        <w:rPr>
          <w:rFonts w:ascii="宋体" w:hAnsi="宋体"/>
          <w:szCs w:val="21"/>
        </w:rPr>
        <w:t xml:space="preserve"> 号：</w:t>
      </w:r>
      <w:r>
        <w:rPr>
          <w:rFonts w:hint="eastAsia" w:ascii="宋体" w:hAnsi="宋体"/>
          <w:szCs w:val="21"/>
          <w:u w:val="single"/>
          <w:lang w:eastAsia="zh-CN"/>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07AD0B6">
      <w:pPr>
        <w:spacing w:line="360" w:lineRule="auto"/>
        <w:ind w:firstLine="630" w:firstLineChars="300"/>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lang w:eastAsia="zh-CN"/>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hint="eastAsia" w:ascii="宋体" w:hAnsi="宋体"/>
          <w:szCs w:val="21"/>
          <w:u w:val="single"/>
          <w:lang w:eastAsia="zh-CN"/>
        </w:rPr>
        <w:t xml:space="preserve">                </w:t>
      </w:r>
      <w:r>
        <w:rPr>
          <w:rFonts w:ascii="宋体" w:hAnsi="宋体"/>
          <w:szCs w:val="21"/>
          <w:u w:val="single"/>
        </w:rPr>
        <w:t xml:space="preserve">   </w:t>
      </w:r>
    </w:p>
    <w:p w14:paraId="5313AC8D">
      <w:pPr>
        <w:spacing w:before="120" w:beforeLines="50" w:after="120" w:afterLines="50" w:line="440" w:lineRule="exact"/>
        <w:jc w:val="left"/>
        <w:rPr>
          <w:rFonts w:eastAsia="黑体"/>
          <w:sz w:val="30"/>
          <w:szCs w:val="30"/>
        </w:rPr>
      </w:pPr>
      <w:r>
        <w:rPr>
          <w:rFonts w:eastAsia="仿宋_GB2312"/>
          <w:b/>
          <w:szCs w:val="21"/>
        </w:rPr>
        <w:br w:type="page"/>
      </w:r>
      <w:r>
        <w:rPr>
          <w:rFonts w:ascii="宋体" w:hAnsi="宋体"/>
          <w:sz w:val="24"/>
        </w:rPr>
        <w:t>附件</w:t>
      </w:r>
      <w:r>
        <w:rPr>
          <w:sz w:val="24"/>
        </w:rPr>
        <w:t>4：</w:t>
      </w:r>
    </w:p>
    <w:p w14:paraId="55EFEB4A">
      <w:pPr>
        <w:spacing w:before="120" w:beforeLines="50" w:after="120" w:afterLines="50" w:line="440" w:lineRule="exact"/>
        <w:jc w:val="center"/>
        <w:rPr>
          <w:rFonts w:eastAsia="黑体"/>
          <w:sz w:val="28"/>
          <w:szCs w:val="28"/>
        </w:rPr>
      </w:pPr>
      <w:r>
        <w:rPr>
          <w:rFonts w:eastAsia="黑体"/>
          <w:sz w:val="28"/>
          <w:szCs w:val="28"/>
        </w:rPr>
        <w:t>主要建设工程文件目录</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F77A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314D64D">
            <w:pPr>
              <w:pStyle w:val="6"/>
              <w:keepNext/>
              <w:keepLines w:val="0"/>
              <w:suppressLineNumbers w:val="0"/>
              <w:spacing w:before="0" w:beforeAutospacing="0" w:after="0" w:afterAutospacing="0" w:line="440" w:lineRule="exact"/>
              <w:ind w:left="63" w:right="63"/>
              <w:rPr>
                <w:rFonts w:hint="default" w:ascii="宋体" w:hAnsi="宋体"/>
                <w:szCs w:val="21"/>
              </w:rPr>
            </w:pPr>
            <w:r>
              <w:rPr>
                <w:rFonts w:hint="default" w:ascii="宋体" w:hAnsi="宋体"/>
                <w:szCs w:val="21"/>
              </w:rPr>
              <w:t>文件名称</w:t>
            </w:r>
          </w:p>
        </w:tc>
        <w:tc>
          <w:tcPr>
            <w:tcW w:w="1276" w:type="dxa"/>
            <w:tcBorders>
              <w:top w:val="single" w:color="auto" w:sz="12" w:space="0"/>
              <w:bottom w:val="double" w:color="auto" w:sz="6" w:space="0"/>
            </w:tcBorders>
            <w:vAlign w:val="center"/>
          </w:tcPr>
          <w:p w14:paraId="519A2397">
            <w:pPr>
              <w:pStyle w:val="6"/>
              <w:keepNext/>
              <w:keepLines w:val="0"/>
              <w:suppressLineNumbers w:val="0"/>
              <w:spacing w:before="0" w:beforeAutospacing="0" w:after="0" w:afterAutospacing="0" w:line="440" w:lineRule="exact"/>
              <w:ind w:left="63" w:right="63"/>
              <w:rPr>
                <w:rFonts w:hint="default" w:ascii="宋体" w:hAnsi="宋体"/>
                <w:szCs w:val="21"/>
              </w:rPr>
            </w:pPr>
            <w:r>
              <w:rPr>
                <w:rFonts w:hint="default" w:ascii="宋体" w:hAnsi="宋体"/>
                <w:szCs w:val="21"/>
              </w:rPr>
              <w:t>套数</w:t>
            </w:r>
          </w:p>
        </w:tc>
        <w:tc>
          <w:tcPr>
            <w:tcW w:w="1450" w:type="dxa"/>
            <w:tcBorders>
              <w:top w:val="single" w:color="auto" w:sz="12" w:space="0"/>
              <w:bottom w:val="double" w:color="auto" w:sz="6" w:space="0"/>
            </w:tcBorders>
            <w:vAlign w:val="center"/>
          </w:tcPr>
          <w:p w14:paraId="2BF78FAE">
            <w:pPr>
              <w:pStyle w:val="6"/>
              <w:keepNext/>
              <w:keepLines w:val="0"/>
              <w:suppressLineNumbers w:val="0"/>
              <w:spacing w:before="0" w:beforeAutospacing="0" w:after="0" w:afterAutospacing="0" w:line="440" w:lineRule="exact"/>
              <w:ind w:left="63" w:right="63"/>
              <w:rPr>
                <w:rFonts w:hint="default" w:ascii="宋体" w:hAnsi="宋体"/>
                <w:szCs w:val="21"/>
              </w:rPr>
            </w:pPr>
            <w:r>
              <w:rPr>
                <w:rFonts w:hint="default" w:ascii="宋体" w:hAnsi="宋体"/>
                <w:szCs w:val="21"/>
              </w:rPr>
              <w:t>费用</w:t>
            </w:r>
            <w:r>
              <w:rPr>
                <w:rFonts w:hint="eastAsia" w:ascii="宋体" w:hAnsi="宋体"/>
                <w:szCs w:val="21"/>
              </w:rPr>
              <w:t>（元）</w:t>
            </w:r>
          </w:p>
        </w:tc>
        <w:tc>
          <w:tcPr>
            <w:tcW w:w="1243" w:type="dxa"/>
            <w:tcBorders>
              <w:top w:val="single" w:color="auto" w:sz="12" w:space="0"/>
              <w:bottom w:val="double" w:color="auto" w:sz="6" w:space="0"/>
            </w:tcBorders>
            <w:vAlign w:val="center"/>
          </w:tcPr>
          <w:p w14:paraId="3F7C2241">
            <w:pPr>
              <w:pStyle w:val="6"/>
              <w:keepNext/>
              <w:keepLines w:val="0"/>
              <w:suppressLineNumbers w:val="0"/>
              <w:spacing w:before="0" w:beforeAutospacing="0" w:after="0" w:afterAutospacing="0" w:line="440" w:lineRule="exact"/>
              <w:ind w:left="63" w:right="63"/>
              <w:rPr>
                <w:rFonts w:hint="default" w:ascii="宋体" w:hAnsi="宋体"/>
                <w:szCs w:val="21"/>
              </w:rPr>
            </w:pPr>
            <w:r>
              <w:rPr>
                <w:rFonts w:hint="default" w:ascii="宋体" w:hAnsi="宋体"/>
                <w:szCs w:val="21"/>
              </w:rPr>
              <w:t>质量</w:t>
            </w:r>
          </w:p>
        </w:tc>
        <w:tc>
          <w:tcPr>
            <w:tcW w:w="1450" w:type="dxa"/>
            <w:tcBorders>
              <w:top w:val="single" w:color="auto" w:sz="12" w:space="0"/>
              <w:bottom w:val="double" w:color="auto" w:sz="6" w:space="0"/>
            </w:tcBorders>
          </w:tcPr>
          <w:p w14:paraId="13754663">
            <w:pPr>
              <w:keepNext w:val="0"/>
              <w:keepLines w:val="0"/>
              <w:suppressLineNumbers w:val="0"/>
              <w:spacing w:before="0" w:beforeAutospacing="0" w:after="0" w:afterAutospacing="0" w:line="440" w:lineRule="exact"/>
              <w:ind w:left="0" w:right="0"/>
              <w:jc w:val="center"/>
              <w:rPr>
                <w:rFonts w:hint="default" w:ascii="宋体" w:hAnsi="宋体"/>
                <w:szCs w:val="21"/>
              </w:rPr>
            </w:pPr>
            <w:r>
              <w:rPr>
                <w:rFonts w:hint="default" w:ascii="宋体" w:hAnsi="宋体"/>
                <w:szCs w:val="21"/>
              </w:rPr>
              <w:t>移交时间</w:t>
            </w:r>
          </w:p>
        </w:tc>
        <w:tc>
          <w:tcPr>
            <w:tcW w:w="1667" w:type="dxa"/>
            <w:tcBorders>
              <w:top w:val="single" w:color="auto" w:sz="12" w:space="0"/>
              <w:bottom w:val="double" w:color="auto" w:sz="6" w:space="0"/>
            </w:tcBorders>
          </w:tcPr>
          <w:p w14:paraId="466DF108">
            <w:pPr>
              <w:keepNext w:val="0"/>
              <w:keepLines w:val="0"/>
              <w:suppressLineNumbers w:val="0"/>
              <w:spacing w:before="0" w:beforeAutospacing="0" w:after="0" w:afterAutospacing="0" w:line="440" w:lineRule="exact"/>
              <w:ind w:left="0" w:right="0"/>
              <w:jc w:val="center"/>
              <w:rPr>
                <w:rFonts w:hint="default" w:ascii="宋体" w:hAnsi="宋体"/>
                <w:szCs w:val="21"/>
              </w:rPr>
            </w:pPr>
            <w:r>
              <w:rPr>
                <w:rFonts w:hint="default" w:ascii="宋体" w:hAnsi="宋体"/>
                <w:szCs w:val="21"/>
              </w:rPr>
              <w:t>责任人</w:t>
            </w:r>
          </w:p>
        </w:tc>
      </w:tr>
      <w:tr w14:paraId="0B0A2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E29F8C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tcBorders>
              <w:top w:val="double" w:color="auto" w:sz="6" w:space="0"/>
              <w:bottom w:val="single" w:color="auto" w:sz="6" w:space="0"/>
            </w:tcBorders>
            <w:vAlign w:val="center"/>
          </w:tcPr>
          <w:p w14:paraId="4E21D73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tcBorders>
              <w:top w:val="double" w:color="auto" w:sz="6" w:space="0"/>
              <w:bottom w:val="single" w:color="auto" w:sz="6" w:space="0"/>
            </w:tcBorders>
            <w:vAlign w:val="center"/>
          </w:tcPr>
          <w:p w14:paraId="68D78F0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tcBorders>
              <w:top w:val="double" w:color="auto" w:sz="6" w:space="0"/>
              <w:bottom w:val="single" w:color="auto" w:sz="6" w:space="0"/>
            </w:tcBorders>
            <w:vAlign w:val="center"/>
          </w:tcPr>
          <w:p w14:paraId="570D557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tcBorders>
              <w:top w:val="double" w:color="auto" w:sz="6" w:space="0"/>
              <w:bottom w:val="single" w:color="auto" w:sz="6" w:space="0"/>
            </w:tcBorders>
            <w:vAlign w:val="center"/>
          </w:tcPr>
          <w:p w14:paraId="27203D1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tcBorders>
              <w:top w:val="double" w:color="auto" w:sz="6" w:space="0"/>
              <w:bottom w:val="single" w:color="auto" w:sz="6" w:space="0"/>
            </w:tcBorders>
            <w:vAlign w:val="center"/>
          </w:tcPr>
          <w:p w14:paraId="13979DD4">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60A2E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5FE7ACA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tcBorders>
              <w:top w:val="nil"/>
            </w:tcBorders>
            <w:vAlign w:val="center"/>
          </w:tcPr>
          <w:p w14:paraId="5B789A5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tcBorders>
              <w:top w:val="nil"/>
            </w:tcBorders>
            <w:vAlign w:val="center"/>
          </w:tcPr>
          <w:p w14:paraId="4DCD1F0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tcBorders>
              <w:top w:val="nil"/>
            </w:tcBorders>
            <w:vAlign w:val="center"/>
          </w:tcPr>
          <w:p w14:paraId="0573022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tcBorders>
              <w:top w:val="nil"/>
            </w:tcBorders>
            <w:vAlign w:val="center"/>
          </w:tcPr>
          <w:p w14:paraId="121AC7C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tcBorders>
              <w:top w:val="nil"/>
            </w:tcBorders>
            <w:vAlign w:val="center"/>
          </w:tcPr>
          <w:p w14:paraId="19EDDE69">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76C2F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14416F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1CB88B6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3B6121F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48BD8FB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7201AA8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1B1AC58E">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49F4E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9E47F3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2481999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47690DB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304B3CB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73BD86A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2747AA82">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652B6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1F5467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4D56664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70584BB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1ADAF56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5A7C4B8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78F6C4D2">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5CD04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BDF067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7BADB10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73666C6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319B000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38EA838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51E620CF">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7FE6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28C3A9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56569D5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2A2A4DB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5E55FD2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3E4D28D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4ABDA7C3">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F42E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DB7942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4612090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6FA50CF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238DC32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58B4A75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429362CE">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14DB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08B94B7">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02D8F54D">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4DCE3A62">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24BAE02B">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48475E35">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4A0CDBFE">
            <w:pPr>
              <w:keepNext w:val="0"/>
              <w:keepLines w:val="0"/>
              <w:suppressLineNumbers w:val="0"/>
              <w:spacing w:before="0" w:beforeAutospacing="0" w:after="0" w:afterAutospacing="0"/>
              <w:ind w:left="0" w:right="0"/>
              <w:rPr>
                <w:rFonts w:hint="default" w:eastAsia="仿宋_GB2312"/>
                <w:sz w:val="30"/>
                <w:szCs w:val="30"/>
              </w:rPr>
            </w:pPr>
          </w:p>
        </w:tc>
      </w:tr>
      <w:tr w14:paraId="0B696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EEE63D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1A11AFD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780D2EF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43" w:type="dxa"/>
            <w:vAlign w:val="center"/>
          </w:tcPr>
          <w:p w14:paraId="58908AC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50" w:type="dxa"/>
            <w:vAlign w:val="center"/>
          </w:tcPr>
          <w:p w14:paraId="723C5DC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667" w:type="dxa"/>
            <w:vAlign w:val="center"/>
          </w:tcPr>
          <w:p w14:paraId="185FC982">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7D3A0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3591BF2">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7BDE264C">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037F3471">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0159367D">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2A0CE3C0">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4E1EBA63">
            <w:pPr>
              <w:keepNext w:val="0"/>
              <w:keepLines w:val="0"/>
              <w:suppressLineNumbers w:val="0"/>
              <w:spacing w:before="0" w:beforeAutospacing="0" w:after="0" w:afterAutospacing="0"/>
              <w:ind w:left="0" w:right="0"/>
              <w:rPr>
                <w:rFonts w:hint="default" w:eastAsia="仿宋_GB2312"/>
                <w:sz w:val="30"/>
                <w:szCs w:val="30"/>
              </w:rPr>
            </w:pPr>
          </w:p>
        </w:tc>
      </w:tr>
      <w:tr w14:paraId="6C053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4CA293">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1D5996F5">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410CB397">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56ED9BD0">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2FFCBB49">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6800099F">
            <w:pPr>
              <w:keepNext w:val="0"/>
              <w:keepLines w:val="0"/>
              <w:suppressLineNumbers w:val="0"/>
              <w:spacing w:before="0" w:beforeAutospacing="0" w:after="0" w:afterAutospacing="0"/>
              <w:ind w:left="0" w:right="0"/>
              <w:rPr>
                <w:rFonts w:hint="default" w:eastAsia="仿宋_GB2312"/>
                <w:sz w:val="30"/>
                <w:szCs w:val="30"/>
              </w:rPr>
            </w:pPr>
          </w:p>
        </w:tc>
      </w:tr>
      <w:tr w14:paraId="553C3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8D37A59">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30FEE1A5">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5E050CB7">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5DB97A80">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321CE3AE">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08150FFC">
            <w:pPr>
              <w:keepNext w:val="0"/>
              <w:keepLines w:val="0"/>
              <w:suppressLineNumbers w:val="0"/>
              <w:spacing w:before="0" w:beforeAutospacing="0" w:after="0" w:afterAutospacing="0"/>
              <w:ind w:left="0" w:right="0"/>
              <w:rPr>
                <w:rFonts w:hint="default" w:eastAsia="仿宋_GB2312"/>
                <w:sz w:val="30"/>
                <w:szCs w:val="30"/>
              </w:rPr>
            </w:pPr>
          </w:p>
        </w:tc>
      </w:tr>
      <w:tr w14:paraId="0D0BC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EBFC07">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27E438A8">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591C40DC">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3E905FB2">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53D6AAA0">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6168E3F8">
            <w:pPr>
              <w:keepNext w:val="0"/>
              <w:keepLines w:val="0"/>
              <w:suppressLineNumbers w:val="0"/>
              <w:spacing w:before="0" w:beforeAutospacing="0" w:after="0" w:afterAutospacing="0"/>
              <w:ind w:left="0" w:right="0"/>
              <w:rPr>
                <w:rFonts w:hint="default" w:eastAsia="仿宋_GB2312"/>
                <w:sz w:val="30"/>
                <w:szCs w:val="30"/>
              </w:rPr>
            </w:pPr>
          </w:p>
        </w:tc>
      </w:tr>
      <w:tr w14:paraId="78C33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6592DE6">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4D4D59C1">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4902FB0F">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7542F64A">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587B9CC7">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35B2CE7A">
            <w:pPr>
              <w:keepNext w:val="0"/>
              <w:keepLines w:val="0"/>
              <w:suppressLineNumbers w:val="0"/>
              <w:spacing w:before="0" w:beforeAutospacing="0" w:after="0" w:afterAutospacing="0"/>
              <w:ind w:left="0" w:right="0"/>
              <w:rPr>
                <w:rFonts w:hint="default" w:eastAsia="仿宋_GB2312"/>
                <w:sz w:val="30"/>
                <w:szCs w:val="30"/>
              </w:rPr>
            </w:pPr>
          </w:p>
        </w:tc>
      </w:tr>
      <w:tr w14:paraId="19314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7E57751">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1730C46C">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05E32E83">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2B4B4365">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66B76918">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45B9E85F">
            <w:pPr>
              <w:keepNext w:val="0"/>
              <w:keepLines w:val="0"/>
              <w:suppressLineNumbers w:val="0"/>
              <w:spacing w:before="0" w:beforeAutospacing="0" w:after="0" w:afterAutospacing="0"/>
              <w:ind w:left="0" w:right="0"/>
              <w:rPr>
                <w:rFonts w:hint="default" w:eastAsia="仿宋_GB2312"/>
                <w:sz w:val="30"/>
                <w:szCs w:val="30"/>
              </w:rPr>
            </w:pPr>
          </w:p>
        </w:tc>
      </w:tr>
      <w:tr w14:paraId="11ECE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5095B7B">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665FBFFB">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3B9F183E">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2C884F3C">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077A05AF">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614BD674">
            <w:pPr>
              <w:keepNext w:val="0"/>
              <w:keepLines w:val="0"/>
              <w:suppressLineNumbers w:val="0"/>
              <w:spacing w:before="0" w:beforeAutospacing="0" w:after="0" w:afterAutospacing="0"/>
              <w:ind w:left="0" w:right="0"/>
              <w:rPr>
                <w:rFonts w:hint="default" w:eastAsia="仿宋_GB2312"/>
                <w:sz w:val="30"/>
                <w:szCs w:val="30"/>
              </w:rPr>
            </w:pPr>
          </w:p>
        </w:tc>
      </w:tr>
      <w:tr w14:paraId="2ADAF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78D0919">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2236D9A5">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2F390A30">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7B6B2462">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24C0A107">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7EBD3746">
            <w:pPr>
              <w:keepNext w:val="0"/>
              <w:keepLines w:val="0"/>
              <w:suppressLineNumbers w:val="0"/>
              <w:spacing w:before="0" w:beforeAutospacing="0" w:after="0" w:afterAutospacing="0"/>
              <w:ind w:left="0" w:right="0"/>
              <w:rPr>
                <w:rFonts w:hint="default" w:eastAsia="仿宋_GB2312"/>
                <w:sz w:val="30"/>
                <w:szCs w:val="30"/>
              </w:rPr>
            </w:pPr>
          </w:p>
        </w:tc>
      </w:tr>
      <w:tr w14:paraId="7AD0A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CB0396A">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5F1B9F08">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64064229">
            <w:pPr>
              <w:keepNext w:val="0"/>
              <w:keepLines w:val="0"/>
              <w:suppressLineNumbers w:val="0"/>
              <w:spacing w:before="0" w:beforeAutospacing="0" w:after="0" w:afterAutospacing="0"/>
              <w:ind w:left="0" w:right="0"/>
              <w:rPr>
                <w:rFonts w:hint="default" w:eastAsia="仿宋_GB2312"/>
                <w:sz w:val="30"/>
                <w:szCs w:val="30"/>
              </w:rPr>
            </w:pPr>
          </w:p>
        </w:tc>
        <w:tc>
          <w:tcPr>
            <w:tcW w:w="1243" w:type="dxa"/>
          </w:tcPr>
          <w:p w14:paraId="3D22F986">
            <w:pPr>
              <w:keepNext w:val="0"/>
              <w:keepLines w:val="0"/>
              <w:suppressLineNumbers w:val="0"/>
              <w:spacing w:before="0" w:beforeAutospacing="0" w:after="0" w:afterAutospacing="0"/>
              <w:ind w:left="0" w:right="0"/>
              <w:rPr>
                <w:rFonts w:hint="default" w:eastAsia="仿宋_GB2312"/>
                <w:sz w:val="30"/>
                <w:szCs w:val="30"/>
              </w:rPr>
            </w:pPr>
          </w:p>
        </w:tc>
        <w:tc>
          <w:tcPr>
            <w:tcW w:w="1450" w:type="dxa"/>
          </w:tcPr>
          <w:p w14:paraId="60A1F74A">
            <w:pPr>
              <w:keepNext w:val="0"/>
              <w:keepLines w:val="0"/>
              <w:suppressLineNumbers w:val="0"/>
              <w:spacing w:before="0" w:beforeAutospacing="0" w:after="0" w:afterAutospacing="0"/>
              <w:ind w:left="0" w:right="0"/>
              <w:rPr>
                <w:rFonts w:hint="default" w:eastAsia="仿宋_GB2312"/>
                <w:sz w:val="30"/>
                <w:szCs w:val="30"/>
              </w:rPr>
            </w:pPr>
          </w:p>
        </w:tc>
        <w:tc>
          <w:tcPr>
            <w:tcW w:w="1667" w:type="dxa"/>
          </w:tcPr>
          <w:p w14:paraId="46EBC895">
            <w:pPr>
              <w:keepNext w:val="0"/>
              <w:keepLines w:val="0"/>
              <w:suppressLineNumbers w:val="0"/>
              <w:spacing w:before="0" w:beforeAutospacing="0" w:after="0" w:afterAutospacing="0"/>
              <w:ind w:left="0" w:right="0"/>
              <w:rPr>
                <w:rFonts w:hint="default" w:eastAsia="仿宋_GB2312"/>
                <w:sz w:val="30"/>
                <w:szCs w:val="30"/>
              </w:rPr>
            </w:pPr>
          </w:p>
        </w:tc>
      </w:tr>
    </w:tbl>
    <w:p w14:paraId="6720C627">
      <w:pPr>
        <w:spacing w:line="440" w:lineRule="exact"/>
        <w:rPr>
          <w:rFonts w:eastAsia="仿宋_GB2312"/>
          <w:sz w:val="30"/>
          <w:szCs w:val="30"/>
        </w:rPr>
      </w:pPr>
    </w:p>
    <w:p w14:paraId="0A38B384">
      <w:pPr>
        <w:spacing w:before="120" w:beforeLines="50" w:after="120" w:afterLines="50" w:line="440" w:lineRule="exact"/>
        <w:jc w:val="left"/>
        <w:rPr>
          <w:rFonts w:eastAsia="黑体"/>
          <w:sz w:val="30"/>
          <w:szCs w:val="30"/>
        </w:rPr>
      </w:pPr>
      <w:r>
        <w:rPr>
          <w:rFonts w:eastAsia="仿宋_GB2312"/>
          <w:sz w:val="30"/>
          <w:szCs w:val="30"/>
        </w:rPr>
        <w:br w:type="page"/>
      </w:r>
      <w:r>
        <w:rPr>
          <w:rFonts w:ascii="宋体" w:hAnsi="宋体"/>
          <w:sz w:val="24"/>
        </w:rPr>
        <w:t>附</w:t>
      </w:r>
      <w:bookmarkStart w:id="2151" w:name="_Toc296503227"/>
      <w:bookmarkStart w:id="2152" w:name="_Toc267261698"/>
      <w:bookmarkStart w:id="2153" w:name="_Toc296891055"/>
      <w:bookmarkStart w:id="2154" w:name="_Toc296944566"/>
      <w:bookmarkStart w:id="2155" w:name="_Toc296346728"/>
      <w:bookmarkStart w:id="2156" w:name="_Toc296891267"/>
      <w:bookmarkStart w:id="2157" w:name="_Toc296347226"/>
      <w:r>
        <w:rPr>
          <w:sz w:val="24"/>
        </w:rPr>
        <w:t>件5：</w:t>
      </w:r>
    </w:p>
    <w:bookmarkEnd w:id="2151"/>
    <w:bookmarkEnd w:id="2152"/>
    <w:bookmarkEnd w:id="2153"/>
    <w:bookmarkEnd w:id="2154"/>
    <w:bookmarkEnd w:id="2155"/>
    <w:bookmarkEnd w:id="2156"/>
    <w:bookmarkEnd w:id="2157"/>
    <w:p w14:paraId="4157A0F7">
      <w:pPr>
        <w:spacing w:before="120" w:beforeLines="50" w:after="120" w:afterLines="50" w:line="440" w:lineRule="exact"/>
        <w:jc w:val="center"/>
        <w:rPr>
          <w:rFonts w:eastAsia="黑体"/>
          <w:sz w:val="28"/>
          <w:szCs w:val="28"/>
        </w:rPr>
      </w:pPr>
      <w:r>
        <w:rPr>
          <w:rFonts w:eastAsia="黑体"/>
          <w:sz w:val="28"/>
          <w:szCs w:val="28"/>
        </w:rPr>
        <w:t>承包人用于本工程施工的机械设备表</w:t>
      </w:r>
    </w:p>
    <w:tbl>
      <w:tblPr>
        <w:tblStyle w:val="17"/>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8"/>
        <w:gridCol w:w="1417"/>
        <w:gridCol w:w="851"/>
        <w:gridCol w:w="709"/>
        <w:gridCol w:w="850"/>
        <w:gridCol w:w="851"/>
        <w:gridCol w:w="1276"/>
        <w:gridCol w:w="1275"/>
        <w:gridCol w:w="992"/>
      </w:tblGrid>
      <w:tr w14:paraId="038C9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8" w:type="dxa"/>
            <w:tcBorders>
              <w:top w:val="single" w:color="auto" w:sz="12" w:space="0"/>
              <w:bottom w:val="double" w:color="auto" w:sz="6" w:space="0"/>
            </w:tcBorders>
            <w:vAlign w:val="center"/>
          </w:tcPr>
          <w:p w14:paraId="2723CBBA">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序号</w:t>
            </w:r>
          </w:p>
        </w:tc>
        <w:tc>
          <w:tcPr>
            <w:tcW w:w="1417" w:type="dxa"/>
            <w:tcBorders>
              <w:top w:val="single" w:color="auto" w:sz="12" w:space="0"/>
              <w:bottom w:val="double" w:color="auto" w:sz="6" w:space="0"/>
            </w:tcBorders>
            <w:vAlign w:val="center"/>
          </w:tcPr>
          <w:p w14:paraId="07690C86">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机械或设备名称</w:t>
            </w:r>
          </w:p>
        </w:tc>
        <w:tc>
          <w:tcPr>
            <w:tcW w:w="851" w:type="dxa"/>
            <w:tcBorders>
              <w:top w:val="single" w:color="auto" w:sz="12" w:space="0"/>
              <w:bottom w:val="double" w:color="auto" w:sz="6" w:space="0"/>
            </w:tcBorders>
            <w:vAlign w:val="center"/>
          </w:tcPr>
          <w:p w14:paraId="67A3419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规格</w:t>
            </w:r>
          </w:p>
          <w:p w14:paraId="648EE4B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型号</w:t>
            </w:r>
          </w:p>
        </w:tc>
        <w:tc>
          <w:tcPr>
            <w:tcW w:w="709" w:type="dxa"/>
            <w:tcBorders>
              <w:top w:val="single" w:color="auto" w:sz="12" w:space="0"/>
              <w:bottom w:val="double" w:color="auto" w:sz="6" w:space="0"/>
            </w:tcBorders>
            <w:vAlign w:val="center"/>
          </w:tcPr>
          <w:p w14:paraId="70172D9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数量</w:t>
            </w:r>
          </w:p>
        </w:tc>
        <w:tc>
          <w:tcPr>
            <w:tcW w:w="850" w:type="dxa"/>
            <w:tcBorders>
              <w:top w:val="single" w:color="auto" w:sz="12" w:space="0"/>
              <w:bottom w:val="double" w:color="auto" w:sz="6" w:space="0"/>
            </w:tcBorders>
            <w:vAlign w:val="center"/>
          </w:tcPr>
          <w:p w14:paraId="2B61A40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产地</w:t>
            </w:r>
          </w:p>
        </w:tc>
        <w:tc>
          <w:tcPr>
            <w:tcW w:w="851" w:type="dxa"/>
            <w:tcBorders>
              <w:top w:val="single" w:color="auto" w:sz="12" w:space="0"/>
              <w:bottom w:val="double" w:color="auto" w:sz="6" w:space="0"/>
            </w:tcBorders>
            <w:vAlign w:val="center"/>
          </w:tcPr>
          <w:p w14:paraId="60E6933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制造</w:t>
            </w:r>
          </w:p>
          <w:p w14:paraId="5EEEAA5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年份</w:t>
            </w:r>
          </w:p>
        </w:tc>
        <w:tc>
          <w:tcPr>
            <w:tcW w:w="1276" w:type="dxa"/>
            <w:tcBorders>
              <w:top w:val="single" w:color="auto" w:sz="12" w:space="0"/>
              <w:bottom w:val="double" w:color="auto" w:sz="6" w:space="0"/>
            </w:tcBorders>
            <w:vAlign w:val="center"/>
          </w:tcPr>
          <w:p w14:paraId="564280A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额定功率（kW）</w:t>
            </w:r>
          </w:p>
        </w:tc>
        <w:tc>
          <w:tcPr>
            <w:tcW w:w="1275" w:type="dxa"/>
            <w:tcBorders>
              <w:top w:val="single" w:color="auto" w:sz="12" w:space="0"/>
              <w:bottom w:val="double" w:color="auto" w:sz="6" w:space="0"/>
            </w:tcBorders>
            <w:vAlign w:val="center"/>
          </w:tcPr>
          <w:p w14:paraId="3785FFA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生产能力</w:t>
            </w:r>
          </w:p>
        </w:tc>
        <w:tc>
          <w:tcPr>
            <w:tcW w:w="992" w:type="dxa"/>
            <w:tcBorders>
              <w:top w:val="single" w:color="auto" w:sz="12" w:space="0"/>
              <w:bottom w:val="double" w:color="auto" w:sz="6" w:space="0"/>
            </w:tcBorders>
            <w:vAlign w:val="center"/>
          </w:tcPr>
          <w:p w14:paraId="1EA059B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备注</w:t>
            </w:r>
          </w:p>
        </w:tc>
      </w:tr>
      <w:tr w14:paraId="1130C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Borders>
              <w:top w:val="double" w:color="auto" w:sz="6" w:space="0"/>
              <w:bottom w:val="single" w:color="auto" w:sz="6" w:space="0"/>
            </w:tcBorders>
            <w:vAlign w:val="center"/>
          </w:tcPr>
          <w:p w14:paraId="0436D31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tcBorders>
              <w:top w:val="double" w:color="auto" w:sz="6" w:space="0"/>
              <w:bottom w:val="single" w:color="auto" w:sz="6" w:space="0"/>
            </w:tcBorders>
            <w:vAlign w:val="center"/>
          </w:tcPr>
          <w:p w14:paraId="6772717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double" w:color="auto" w:sz="6" w:space="0"/>
              <w:bottom w:val="single" w:color="auto" w:sz="6" w:space="0"/>
            </w:tcBorders>
            <w:vAlign w:val="center"/>
          </w:tcPr>
          <w:p w14:paraId="3312A37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double" w:color="auto" w:sz="6" w:space="0"/>
              <w:bottom w:val="single" w:color="auto" w:sz="6" w:space="0"/>
            </w:tcBorders>
            <w:vAlign w:val="center"/>
          </w:tcPr>
          <w:p w14:paraId="3462469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tcBorders>
              <w:top w:val="double" w:color="auto" w:sz="6" w:space="0"/>
              <w:bottom w:val="single" w:color="auto" w:sz="6" w:space="0"/>
            </w:tcBorders>
            <w:vAlign w:val="center"/>
          </w:tcPr>
          <w:p w14:paraId="5826CF4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double" w:color="auto" w:sz="6" w:space="0"/>
              <w:bottom w:val="single" w:color="auto" w:sz="6" w:space="0"/>
            </w:tcBorders>
            <w:vAlign w:val="center"/>
          </w:tcPr>
          <w:p w14:paraId="3F71E8D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tcBorders>
              <w:top w:val="double" w:color="auto" w:sz="6" w:space="0"/>
              <w:bottom w:val="single" w:color="auto" w:sz="6" w:space="0"/>
            </w:tcBorders>
            <w:vAlign w:val="center"/>
          </w:tcPr>
          <w:p w14:paraId="7B60BE5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tcBorders>
              <w:top w:val="double" w:color="auto" w:sz="6" w:space="0"/>
              <w:bottom w:val="single" w:color="auto" w:sz="6" w:space="0"/>
            </w:tcBorders>
            <w:vAlign w:val="center"/>
          </w:tcPr>
          <w:p w14:paraId="3BAD8C1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tcBorders>
              <w:top w:val="double" w:color="auto" w:sz="6" w:space="0"/>
              <w:bottom w:val="single" w:color="auto" w:sz="6" w:space="0"/>
            </w:tcBorders>
            <w:vAlign w:val="center"/>
          </w:tcPr>
          <w:p w14:paraId="47F3F877">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49F37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Borders>
              <w:top w:val="nil"/>
            </w:tcBorders>
            <w:vAlign w:val="center"/>
          </w:tcPr>
          <w:p w14:paraId="2BE2318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tcBorders>
              <w:top w:val="nil"/>
            </w:tcBorders>
            <w:vAlign w:val="center"/>
          </w:tcPr>
          <w:p w14:paraId="4C4F509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nil"/>
            </w:tcBorders>
            <w:vAlign w:val="center"/>
          </w:tcPr>
          <w:p w14:paraId="7970ACD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tcBorders>
              <w:top w:val="nil"/>
            </w:tcBorders>
            <w:vAlign w:val="center"/>
          </w:tcPr>
          <w:p w14:paraId="6FD5157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tcBorders>
              <w:top w:val="nil"/>
            </w:tcBorders>
            <w:vAlign w:val="center"/>
          </w:tcPr>
          <w:p w14:paraId="6616C72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tcBorders>
              <w:top w:val="nil"/>
            </w:tcBorders>
            <w:vAlign w:val="center"/>
          </w:tcPr>
          <w:p w14:paraId="2DCA05C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tcBorders>
              <w:top w:val="nil"/>
            </w:tcBorders>
            <w:vAlign w:val="center"/>
          </w:tcPr>
          <w:p w14:paraId="7AEECB6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tcBorders>
              <w:top w:val="nil"/>
            </w:tcBorders>
            <w:vAlign w:val="center"/>
          </w:tcPr>
          <w:p w14:paraId="287B704F">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tcBorders>
              <w:top w:val="nil"/>
            </w:tcBorders>
            <w:vAlign w:val="center"/>
          </w:tcPr>
          <w:p w14:paraId="3FAED853">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6FD78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vAlign w:val="center"/>
          </w:tcPr>
          <w:p w14:paraId="115CA82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032BC29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357738F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4609C0E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7E6A9FF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07651C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4B2A34F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5DFAFF5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262BA79D">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1341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vAlign w:val="center"/>
          </w:tcPr>
          <w:p w14:paraId="7CD84E2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7E40867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207343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0779DC9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1B1E75D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D3F0FF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62F812E4">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1404571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2B770020">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0A291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vAlign w:val="center"/>
          </w:tcPr>
          <w:p w14:paraId="4A051E4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682D81B2">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7B48A83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6D986F8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16ADF0D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8DF2AD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350874D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3126E8F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07E7C27D">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64020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vAlign w:val="center"/>
          </w:tcPr>
          <w:p w14:paraId="2818529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3774A4B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E58F4E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7BB68C0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28D4D79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0B4B968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528FAC7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7D52D73E">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1E6B4969">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77624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738" w:type="dxa"/>
            <w:vAlign w:val="center"/>
          </w:tcPr>
          <w:p w14:paraId="36ECB6DD">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36B21ABC">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3DCE584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3323227B">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006374F7">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07F7DF3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043F875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28EA8C6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28B13747">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2FC90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vAlign w:val="center"/>
          </w:tcPr>
          <w:p w14:paraId="412B4A6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50A972F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2CC8CC98">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77B6344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1DB94A9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61B688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79B24FB6">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45BC5C29">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53126426">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0BCFC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4E27893B">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41B33CAE">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40D50927">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3EB088CE">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1300B6FC">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56A61FC4">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367659D0">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46A10EF7">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460523D6">
            <w:pPr>
              <w:keepNext w:val="0"/>
              <w:keepLines w:val="0"/>
              <w:suppressLineNumbers w:val="0"/>
              <w:spacing w:before="0" w:beforeAutospacing="0" w:after="0" w:afterAutospacing="0"/>
              <w:ind w:left="0" w:right="0"/>
              <w:rPr>
                <w:rFonts w:hint="default" w:eastAsia="仿宋_GB2312"/>
                <w:sz w:val="30"/>
                <w:szCs w:val="30"/>
              </w:rPr>
            </w:pPr>
          </w:p>
        </w:tc>
      </w:tr>
      <w:tr w14:paraId="4EBED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vAlign w:val="center"/>
          </w:tcPr>
          <w:p w14:paraId="50CF3E8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417" w:type="dxa"/>
            <w:vAlign w:val="center"/>
          </w:tcPr>
          <w:p w14:paraId="1485371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12826FA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709" w:type="dxa"/>
            <w:vAlign w:val="center"/>
          </w:tcPr>
          <w:p w14:paraId="14FCBE93">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0" w:type="dxa"/>
            <w:vAlign w:val="center"/>
          </w:tcPr>
          <w:p w14:paraId="3253867A">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851" w:type="dxa"/>
            <w:vAlign w:val="center"/>
          </w:tcPr>
          <w:p w14:paraId="01D52771">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6" w:type="dxa"/>
            <w:vAlign w:val="center"/>
          </w:tcPr>
          <w:p w14:paraId="5435E240">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1275" w:type="dxa"/>
            <w:vAlign w:val="center"/>
          </w:tcPr>
          <w:p w14:paraId="25006275">
            <w:pPr>
              <w:pStyle w:val="6"/>
              <w:keepNext/>
              <w:keepLines w:val="0"/>
              <w:suppressLineNumbers w:val="0"/>
              <w:spacing w:before="0" w:beforeAutospacing="0" w:after="0" w:afterAutospacing="0" w:line="440" w:lineRule="exact"/>
              <w:ind w:left="63" w:right="63"/>
              <w:rPr>
                <w:rFonts w:hint="default" w:eastAsia="仿宋_GB2312"/>
                <w:sz w:val="30"/>
                <w:szCs w:val="30"/>
              </w:rPr>
            </w:pPr>
          </w:p>
        </w:tc>
        <w:tc>
          <w:tcPr>
            <w:tcW w:w="992" w:type="dxa"/>
            <w:vAlign w:val="center"/>
          </w:tcPr>
          <w:p w14:paraId="1F5D10FE">
            <w:pPr>
              <w:pStyle w:val="6"/>
              <w:keepNext/>
              <w:keepLines w:val="0"/>
              <w:suppressLineNumbers w:val="0"/>
              <w:spacing w:before="0" w:beforeAutospacing="0" w:after="0" w:afterAutospacing="0" w:line="440" w:lineRule="exact"/>
              <w:ind w:left="63" w:right="63"/>
              <w:rPr>
                <w:rFonts w:hint="default" w:eastAsia="仿宋_GB2312"/>
                <w:sz w:val="30"/>
                <w:szCs w:val="30"/>
              </w:rPr>
            </w:pPr>
          </w:p>
        </w:tc>
      </w:tr>
      <w:tr w14:paraId="1A152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6D92CB28">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7EFEF831">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4D93F3FD">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73A2B1C1">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259341E0">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7D4B0EC3">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4E47DDA2">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744628FA">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16B5CD56">
            <w:pPr>
              <w:keepNext w:val="0"/>
              <w:keepLines w:val="0"/>
              <w:suppressLineNumbers w:val="0"/>
              <w:spacing w:before="0" w:beforeAutospacing="0" w:after="0" w:afterAutospacing="0"/>
              <w:ind w:left="0" w:right="0"/>
              <w:rPr>
                <w:rFonts w:hint="default" w:eastAsia="仿宋_GB2312"/>
                <w:sz w:val="30"/>
                <w:szCs w:val="30"/>
              </w:rPr>
            </w:pPr>
          </w:p>
        </w:tc>
      </w:tr>
      <w:tr w14:paraId="0CA2C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245FB188">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3BEF2F93">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4FDEBEA5">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07C92EE2">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3DE79FB1">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10D1947A">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5DEC8A1E">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36FD5DF5">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19DAE2A1">
            <w:pPr>
              <w:keepNext w:val="0"/>
              <w:keepLines w:val="0"/>
              <w:suppressLineNumbers w:val="0"/>
              <w:spacing w:before="0" w:beforeAutospacing="0" w:after="0" w:afterAutospacing="0"/>
              <w:ind w:left="0" w:right="0"/>
              <w:rPr>
                <w:rFonts w:hint="default" w:eastAsia="仿宋_GB2312"/>
                <w:sz w:val="30"/>
                <w:szCs w:val="30"/>
              </w:rPr>
            </w:pPr>
          </w:p>
        </w:tc>
      </w:tr>
      <w:tr w14:paraId="0C39E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3727D0B8">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7BEB5CF6">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04BA8C8A">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19761AA4">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1268FE4A">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66148FD0">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55F101B6">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67992DDB">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71FC1B48">
            <w:pPr>
              <w:keepNext w:val="0"/>
              <w:keepLines w:val="0"/>
              <w:suppressLineNumbers w:val="0"/>
              <w:spacing w:before="0" w:beforeAutospacing="0" w:after="0" w:afterAutospacing="0"/>
              <w:ind w:left="0" w:right="0"/>
              <w:rPr>
                <w:rFonts w:hint="default" w:eastAsia="仿宋_GB2312"/>
                <w:sz w:val="30"/>
                <w:szCs w:val="30"/>
              </w:rPr>
            </w:pPr>
          </w:p>
        </w:tc>
      </w:tr>
      <w:tr w14:paraId="173C8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6078A9FD">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381E709C">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4A7CAB63">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7EB352A6">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337A7722">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2683AD9A">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66E61DC3">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45A6F793">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2EFD12FF">
            <w:pPr>
              <w:keepNext w:val="0"/>
              <w:keepLines w:val="0"/>
              <w:suppressLineNumbers w:val="0"/>
              <w:spacing w:before="0" w:beforeAutospacing="0" w:after="0" w:afterAutospacing="0"/>
              <w:ind w:left="0" w:right="0"/>
              <w:rPr>
                <w:rFonts w:hint="default" w:eastAsia="仿宋_GB2312"/>
                <w:sz w:val="30"/>
                <w:szCs w:val="30"/>
              </w:rPr>
            </w:pPr>
          </w:p>
        </w:tc>
      </w:tr>
      <w:tr w14:paraId="6CE98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1AC198F9">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43F11213">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535E2F44">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5145B4E5">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7455839B">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598B7721">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7C005615">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758637E0">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4260BD88">
            <w:pPr>
              <w:keepNext w:val="0"/>
              <w:keepLines w:val="0"/>
              <w:suppressLineNumbers w:val="0"/>
              <w:spacing w:before="0" w:beforeAutospacing="0" w:after="0" w:afterAutospacing="0"/>
              <w:ind w:left="0" w:right="0"/>
              <w:rPr>
                <w:rFonts w:hint="default" w:eastAsia="仿宋_GB2312"/>
                <w:sz w:val="30"/>
                <w:szCs w:val="30"/>
              </w:rPr>
            </w:pPr>
          </w:p>
        </w:tc>
      </w:tr>
      <w:tr w14:paraId="36817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100F977D">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57C9B9F0">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24E87733">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4044D249">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3381234F">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05EC31C3">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5DBA5C7A">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2B7B07A1">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56069A05">
            <w:pPr>
              <w:keepNext w:val="0"/>
              <w:keepLines w:val="0"/>
              <w:suppressLineNumbers w:val="0"/>
              <w:spacing w:before="0" w:beforeAutospacing="0" w:after="0" w:afterAutospacing="0"/>
              <w:ind w:left="0" w:right="0"/>
              <w:rPr>
                <w:rFonts w:hint="default" w:eastAsia="仿宋_GB2312"/>
                <w:sz w:val="30"/>
                <w:szCs w:val="30"/>
              </w:rPr>
            </w:pPr>
          </w:p>
        </w:tc>
      </w:tr>
      <w:tr w14:paraId="0B8A2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3D9021ED">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4925A44F">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1CAA354A">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34CCEA22">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59C31E3D">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7F47261C">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5086427E">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14791121">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785CE18E">
            <w:pPr>
              <w:keepNext w:val="0"/>
              <w:keepLines w:val="0"/>
              <w:suppressLineNumbers w:val="0"/>
              <w:spacing w:before="0" w:beforeAutospacing="0" w:after="0" w:afterAutospacing="0"/>
              <w:ind w:left="0" w:right="0"/>
              <w:rPr>
                <w:rFonts w:hint="default" w:eastAsia="仿宋_GB2312"/>
                <w:sz w:val="30"/>
                <w:szCs w:val="30"/>
              </w:rPr>
            </w:pPr>
          </w:p>
        </w:tc>
      </w:tr>
      <w:tr w14:paraId="4114D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404137D8">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6C0FFA3D">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5A66AF68">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75E7D9DC">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0C7781FE">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372A5CE3">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1A278077">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10EF9798">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06C0B580">
            <w:pPr>
              <w:keepNext w:val="0"/>
              <w:keepLines w:val="0"/>
              <w:suppressLineNumbers w:val="0"/>
              <w:spacing w:before="0" w:beforeAutospacing="0" w:after="0" w:afterAutospacing="0"/>
              <w:ind w:left="0" w:right="0"/>
              <w:rPr>
                <w:rFonts w:hint="default" w:eastAsia="仿宋_GB2312"/>
                <w:sz w:val="30"/>
                <w:szCs w:val="30"/>
              </w:rPr>
            </w:pPr>
          </w:p>
        </w:tc>
      </w:tr>
      <w:tr w14:paraId="65452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8" w:type="dxa"/>
          </w:tcPr>
          <w:p w14:paraId="1FE9F93C">
            <w:pPr>
              <w:keepNext w:val="0"/>
              <w:keepLines w:val="0"/>
              <w:suppressLineNumbers w:val="0"/>
              <w:spacing w:before="0" w:beforeAutospacing="0" w:after="0" w:afterAutospacing="0"/>
              <w:ind w:left="0" w:right="0"/>
              <w:rPr>
                <w:rFonts w:hint="default" w:eastAsia="仿宋_GB2312"/>
                <w:sz w:val="30"/>
                <w:szCs w:val="30"/>
              </w:rPr>
            </w:pPr>
          </w:p>
        </w:tc>
        <w:tc>
          <w:tcPr>
            <w:tcW w:w="1417" w:type="dxa"/>
          </w:tcPr>
          <w:p w14:paraId="66EECD98">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4FE88C66">
            <w:pPr>
              <w:keepNext w:val="0"/>
              <w:keepLines w:val="0"/>
              <w:suppressLineNumbers w:val="0"/>
              <w:spacing w:before="0" w:beforeAutospacing="0" w:after="0" w:afterAutospacing="0"/>
              <w:ind w:left="0" w:right="0"/>
              <w:rPr>
                <w:rFonts w:hint="default" w:eastAsia="仿宋_GB2312"/>
                <w:sz w:val="30"/>
                <w:szCs w:val="30"/>
              </w:rPr>
            </w:pPr>
          </w:p>
        </w:tc>
        <w:tc>
          <w:tcPr>
            <w:tcW w:w="709" w:type="dxa"/>
          </w:tcPr>
          <w:p w14:paraId="69D35806">
            <w:pPr>
              <w:keepNext w:val="0"/>
              <w:keepLines w:val="0"/>
              <w:suppressLineNumbers w:val="0"/>
              <w:spacing w:before="0" w:beforeAutospacing="0" w:after="0" w:afterAutospacing="0"/>
              <w:ind w:left="0" w:right="0"/>
              <w:rPr>
                <w:rFonts w:hint="default" w:eastAsia="仿宋_GB2312"/>
                <w:sz w:val="30"/>
                <w:szCs w:val="30"/>
              </w:rPr>
            </w:pPr>
          </w:p>
        </w:tc>
        <w:tc>
          <w:tcPr>
            <w:tcW w:w="850" w:type="dxa"/>
          </w:tcPr>
          <w:p w14:paraId="6AF6594C">
            <w:pPr>
              <w:keepNext w:val="0"/>
              <w:keepLines w:val="0"/>
              <w:suppressLineNumbers w:val="0"/>
              <w:spacing w:before="0" w:beforeAutospacing="0" w:after="0" w:afterAutospacing="0"/>
              <w:ind w:left="0" w:right="0"/>
              <w:rPr>
                <w:rFonts w:hint="default" w:eastAsia="仿宋_GB2312"/>
                <w:sz w:val="30"/>
                <w:szCs w:val="30"/>
              </w:rPr>
            </w:pPr>
          </w:p>
        </w:tc>
        <w:tc>
          <w:tcPr>
            <w:tcW w:w="851" w:type="dxa"/>
          </w:tcPr>
          <w:p w14:paraId="053AC79B">
            <w:pPr>
              <w:keepNext w:val="0"/>
              <w:keepLines w:val="0"/>
              <w:suppressLineNumbers w:val="0"/>
              <w:spacing w:before="0" w:beforeAutospacing="0" w:after="0" w:afterAutospacing="0"/>
              <w:ind w:left="0" w:right="0"/>
              <w:rPr>
                <w:rFonts w:hint="default" w:eastAsia="仿宋_GB2312"/>
                <w:sz w:val="30"/>
                <w:szCs w:val="30"/>
              </w:rPr>
            </w:pPr>
          </w:p>
        </w:tc>
        <w:tc>
          <w:tcPr>
            <w:tcW w:w="1276" w:type="dxa"/>
          </w:tcPr>
          <w:p w14:paraId="2DFF367A">
            <w:pPr>
              <w:keepNext w:val="0"/>
              <w:keepLines w:val="0"/>
              <w:suppressLineNumbers w:val="0"/>
              <w:spacing w:before="0" w:beforeAutospacing="0" w:after="0" w:afterAutospacing="0"/>
              <w:ind w:left="0" w:right="0"/>
              <w:rPr>
                <w:rFonts w:hint="default" w:eastAsia="仿宋_GB2312"/>
                <w:sz w:val="30"/>
                <w:szCs w:val="30"/>
              </w:rPr>
            </w:pPr>
          </w:p>
        </w:tc>
        <w:tc>
          <w:tcPr>
            <w:tcW w:w="1275" w:type="dxa"/>
          </w:tcPr>
          <w:p w14:paraId="13CA624F">
            <w:pPr>
              <w:keepNext w:val="0"/>
              <w:keepLines w:val="0"/>
              <w:suppressLineNumbers w:val="0"/>
              <w:spacing w:before="0" w:beforeAutospacing="0" w:after="0" w:afterAutospacing="0"/>
              <w:ind w:left="0" w:right="0"/>
              <w:rPr>
                <w:rFonts w:hint="default" w:eastAsia="仿宋_GB2312"/>
                <w:sz w:val="30"/>
                <w:szCs w:val="30"/>
              </w:rPr>
            </w:pPr>
          </w:p>
        </w:tc>
        <w:tc>
          <w:tcPr>
            <w:tcW w:w="992" w:type="dxa"/>
          </w:tcPr>
          <w:p w14:paraId="2DB02477">
            <w:pPr>
              <w:keepNext w:val="0"/>
              <w:keepLines w:val="0"/>
              <w:suppressLineNumbers w:val="0"/>
              <w:spacing w:before="0" w:beforeAutospacing="0" w:after="0" w:afterAutospacing="0"/>
              <w:ind w:left="0" w:right="0"/>
              <w:rPr>
                <w:rFonts w:hint="default" w:eastAsia="仿宋_GB2312"/>
                <w:sz w:val="30"/>
                <w:szCs w:val="30"/>
              </w:rPr>
            </w:pPr>
          </w:p>
        </w:tc>
      </w:tr>
    </w:tbl>
    <w:p w14:paraId="1169B423">
      <w:pPr>
        <w:spacing w:before="120" w:beforeLines="50" w:after="120" w:afterLines="50" w:line="440" w:lineRule="exact"/>
        <w:jc w:val="left"/>
        <w:rPr>
          <w:rFonts w:ascii="宋体" w:hAnsi="宋体"/>
          <w:sz w:val="24"/>
        </w:rPr>
        <w:sectPr>
          <w:pgSz w:w="11906" w:h="16838"/>
          <w:pgMar w:top="1440" w:right="1797" w:bottom="1440" w:left="1797" w:header="851" w:footer="851" w:gutter="0"/>
          <w:cols w:space="720" w:num="1"/>
          <w:docGrid w:linePitch="312" w:charSpace="0"/>
        </w:sectPr>
      </w:pPr>
    </w:p>
    <w:p w14:paraId="1881A440">
      <w:pPr>
        <w:spacing w:before="120" w:beforeLines="50" w:after="120" w:afterLines="50" w:line="440" w:lineRule="exact"/>
        <w:jc w:val="left"/>
        <w:rPr>
          <w:rFonts w:ascii="宋体" w:hAnsi="宋体"/>
          <w:sz w:val="24"/>
        </w:rPr>
      </w:pPr>
      <w:r>
        <w:rPr>
          <w:rFonts w:ascii="宋体" w:hAnsi="宋体"/>
          <w:sz w:val="24"/>
        </w:rPr>
        <w:t>附</w:t>
      </w:r>
      <w:bookmarkStart w:id="2158" w:name="_Toc296891056"/>
      <w:bookmarkStart w:id="2159" w:name="_Toc296346729"/>
      <w:bookmarkStart w:id="2160" w:name="_Toc296503228"/>
      <w:bookmarkStart w:id="2161" w:name="_Toc267261699"/>
      <w:bookmarkStart w:id="2162" w:name="_Toc296347227"/>
      <w:bookmarkStart w:id="2163" w:name="_Toc296944567"/>
      <w:bookmarkStart w:id="2164" w:name="_Toc296891268"/>
      <w:r>
        <w:rPr>
          <w:rFonts w:ascii="宋体" w:hAnsi="宋体"/>
          <w:sz w:val="24"/>
        </w:rPr>
        <w:t>件</w:t>
      </w:r>
      <w:r>
        <w:rPr>
          <w:sz w:val="24"/>
        </w:rPr>
        <w:t>6：</w:t>
      </w:r>
      <w:bookmarkEnd w:id="2158"/>
      <w:bookmarkEnd w:id="2159"/>
      <w:bookmarkEnd w:id="2160"/>
      <w:bookmarkEnd w:id="2161"/>
      <w:bookmarkEnd w:id="2162"/>
      <w:bookmarkEnd w:id="2163"/>
      <w:bookmarkEnd w:id="2164"/>
    </w:p>
    <w:p w14:paraId="68F3C070">
      <w:pPr>
        <w:spacing w:before="120" w:beforeLines="50" w:after="120" w:afterLines="50" w:line="440" w:lineRule="exact"/>
        <w:jc w:val="center"/>
        <w:rPr>
          <w:rFonts w:eastAsia="黑体"/>
          <w:sz w:val="28"/>
          <w:szCs w:val="28"/>
        </w:rPr>
      </w:pPr>
      <w:r>
        <w:rPr>
          <w:rFonts w:eastAsia="黑体"/>
          <w:sz w:val="28"/>
          <w:szCs w:val="28"/>
        </w:rPr>
        <w:t>承包人主要施工管理人员表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5619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87D6A0F">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名    称</w:t>
            </w:r>
          </w:p>
        </w:tc>
        <w:tc>
          <w:tcPr>
            <w:tcW w:w="1418" w:type="dxa"/>
            <w:tcBorders>
              <w:top w:val="single" w:color="auto" w:sz="12" w:space="0"/>
              <w:bottom w:val="double" w:color="auto" w:sz="6" w:space="0"/>
            </w:tcBorders>
            <w:vAlign w:val="center"/>
          </w:tcPr>
          <w:p w14:paraId="13A2B2D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姓名</w:t>
            </w:r>
          </w:p>
        </w:tc>
        <w:tc>
          <w:tcPr>
            <w:tcW w:w="1134" w:type="dxa"/>
            <w:tcBorders>
              <w:top w:val="single" w:color="auto" w:sz="12" w:space="0"/>
              <w:bottom w:val="double" w:color="auto" w:sz="6" w:space="0"/>
            </w:tcBorders>
            <w:vAlign w:val="center"/>
          </w:tcPr>
          <w:p w14:paraId="3BD0FD62">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职务</w:t>
            </w:r>
          </w:p>
        </w:tc>
        <w:tc>
          <w:tcPr>
            <w:tcW w:w="1134" w:type="dxa"/>
            <w:tcBorders>
              <w:top w:val="single" w:color="auto" w:sz="12" w:space="0"/>
              <w:bottom w:val="double" w:color="auto" w:sz="6" w:space="0"/>
            </w:tcBorders>
            <w:vAlign w:val="center"/>
          </w:tcPr>
          <w:p w14:paraId="6119F246">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职称</w:t>
            </w:r>
          </w:p>
        </w:tc>
        <w:tc>
          <w:tcPr>
            <w:tcW w:w="4252" w:type="dxa"/>
            <w:tcBorders>
              <w:top w:val="single" w:color="auto" w:sz="12" w:space="0"/>
              <w:bottom w:val="double" w:color="auto" w:sz="6" w:space="0"/>
            </w:tcBorders>
            <w:vAlign w:val="center"/>
          </w:tcPr>
          <w:p w14:paraId="1E4464C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主要资历、经验及承担过的项目</w:t>
            </w:r>
          </w:p>
        </w:tc>
      </w:tr>
      <w:tr w14:paraId="3EC88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6F4415AC">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一、总部人员</w:t>
            </w:r>
          </w:p>
        </w:tc>
      </w:tr>
      <w:tr w14:paraId="500CF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ABA6E3C">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项目主管</w:t>
            </w:r>
          </w:p>
        </w:tc>
        <w:tc>
          <w:tcPr>
            <w:tcW w:w="1418" w:type="dxa"/>
            <w:tcBorders>
              <w:top w:val="nil"/>
            </w:tcBorders>
            <w:vAlign w:val="center"/>
          </w:tcPr>
          <w:p w14:paraId="44E9AD1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top w:val="nil"/>
            </w:tcBorders>
            <w:vAlign w:val="center"/>
          </w:tcPr>
          <w:p w14:paraId="339A3DF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top w:val="nil"/>
            </w:tcBorders>
            <w:vAlign w:val="center"/>
          </w:tcPr>
          <w:p w14:paraId="72C7E46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tcBorders>
              <w:top w:val="nil"/>
            </w:tcBorders>
            <w:vAlign w:val="center"/>
          </w:tcPr>
          <w:p w14:paraId="4A58492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BB61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527C4B2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02EB43D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10150D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669B0B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7685C50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05F6C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67344B2">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其他人员</w:t>
            </w:r>
          </w:p>
        </w:tc>
        <w:tc>
          <w:tcPr>
            <w:tcW w:w="1418" w:type="dxa"/>
            <w:vAlign w:val="center"/>
          </w:tcPr>
          <w:p w14:paraId="21E507E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040448E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3BDF661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7EE98C9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CD7A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8C83C9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582E9FE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2B23D23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3ADAD2F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18CCF999">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A785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31674382">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二、现场人员</w:t>
            </w:r>
          </w:p>
        </w:tc>
      </w:tr>
      <w:tr w14:paraId="23BAE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54759F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项目经理</w:t>
            </w:r>
          </w:p>
        </w:tc>
        <w:tc>
          <w:tcPr>
            <w:tcW w:w="1418" w:type="dxa"/>
            <w:vAlign w:val="center"/>
          </w:tcPr>
          <w:p w14:paraId="493C18E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F1AD84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8C5ADA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22C9C19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BBAD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111131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项目副经理</w:t>
            </w:r>
          </w:p>
        </w:tc>
        <w:tc>
          <w:tcPr>
            <w:tcW w:w="1418" w:type="dxa"/>
            <w:vAlign w:val="center"/>
          </w:tcPr>
          <w:p w14:paraId="5D7B2FB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39A0B2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302D1F9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1D2FFF5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1A7F5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CDA3815">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技术负责人</w:t>
            </w:r>
          </w:p>
        </w:tc>
        <w:tc>
          <w:tcPr>
            <w:tcW w:w="1418" w:type="dxa"/>
            <w:vAlign w:val="center"/>
          </w:tcPr>
          <w:p w14:paraId="1849D8D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FEE373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0487916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161A806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5856D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D8D8F8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造价管理</w:t>
            </w:r>
          </w:p>
        </w:tc>
        <w:tc>
          <w:tcPr>
            <w:tcW w:w="1418" w:type="dxa"/>
            <w:vAlign w:val="center"/>
          </w:tcPr>
          <w:p w14:paraId="78D7DCA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E0020C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2D9430E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31938DD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19CD8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299AF03">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质量管理</w:t>
            </w:r>
          </w:p>
        </w:tc>
        <w:tc>
          <w:tcPr>
            <w:tcW w:w="1418" w:type="dxa"/>
            <w:vAlign w:val="center"/>
          </w:tcPr>
          <w:p w14:paraId="216AAA4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EE0CDB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4CC80D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611F659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38A96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A348C6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材料管理</w:t>
            </w:r>
          </w:p>
        </w:tc>
        <w:tc>
          <w:tcPr>
            <w:tcW w:w="1418" w:type="dxa"/>
            <w:vAlign w:val="center"/>
          </w:tcPr>
          <w:p w14:paraId="684250C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6F7F71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52B6978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1E516E1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D261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ADF7EA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计划管理</w:t>
            </w:r>
          </w:p>
        </w:tc>
        <w:tc>
          <w:tcPr>
            <w:tcW w:w="1418" w:type="dxa"/>
            <w:vAlign w:val="center"/>
          </w:tcPr>
          <w:p w14:paraId="50AD0EB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645004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03C1739">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0D2CCCE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034A2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07CEB2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安全管理</w:t>
            </w:r>
          </w:p>
        </w:tc>
        <w:tc>
          <w:tcPr>
            <w:tcW w:w="1418" w:type="dxa"/>
            <w:vAlign w:val="center"/>
          </w:tcPr>
          <w:p w14:paraId="4F1B36E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38816CB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2F74B1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1FA2F78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31C49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DE765D2">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其他人员</w:t>
            </w:r>
          </w:p>
        </w:tc>
        <w:tc>
          <w:tcPr>
            <w:tcW w:w="1418" w:type="dxa"/>
            <w:vAlign w:val="center"/>
          </w:tcPr>
          <w:p w14:paraId="2A1DCD1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27BC9BC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354E66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6B0EA2C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03647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51CCC4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tcBorders>
              <w:bottom w:val="nil"/>
            </w:tcBorders>
            <w:vAlign w:val="center"/>
          </w:tcPr>
          <w:p w14:paraId="283EEB9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nil"/>
            </w:tcBorders>
            <w:vAlign w:val="center"/>
          </w:tcPr>
          <w:p w14:paraId="30E1AC0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nil"/>
            </w:tcBorders>
            <w:vAlign w:val="center"/>
          </w:tcPr>
          <w:p w14:paraId="58771F3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tcBorders>
              <w:bottom w:val="nil"/>
            </w:tcBorders>
            <w:vAlign w:val="center"/>
          </w:tcPr>
          <w:p w14:paraId="67858E7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0A38B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BFD95B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7BFE0F1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89E045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5463691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6BF1C23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0CD11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E96BC29">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3AF73AD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28890DD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223F5E1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09EF644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167E5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7060D0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44C713D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FB8185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270E831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2E36289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497B5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C5DF04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tcBorders>
              <w:bottom w:val="single" w:color="auto" w:sz="12" w:space="0"/>
            </w:tcBorders>
            <w:vAlign w:val="center"/>
          </w:tcPr>
          <w:p w14:paraId="32F9185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single" w:color="auto" w:sz="12" w:space="0"/>
            </w:tcBorders>
            <w:vAlign w:val="center"/>
          </w:tcPr>
          <w:p w14:paraId="22D0D22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single" w:color="auto" w:sz="12" w:space="0"/>
            </w:tcBorders>
            <w:vAlign w:val="center"/>
          </w:tcPr>
          <w:p w14:paraId="642BC51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tcBorders>
              <w:bottom w:val="single" w:color="auto" w:sz="12" w:space="0"/>
            </w:tcBorders>
            <w:vAlign w:val="center"/>
          </w:tcPr>
          <w:p w14:paraId="0C0DCE0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bl>
    <w:p w14:paraId="66A41A71">
      <w:pPr>
        <w:spacing w:before="120" w:beforeLines="50" w:after="120" w:afterLines="50" w:line="440" w:lineRule="exact"/>
        <w:jc w:val="left"/>
        <w:rPr>
          <w:rFonts w:eastAsia="黑体"/>
          <w:sz w:val="30"/>
          <w:szCs w:val="30"/>
        </w:rPr>
      </w:pPr>
      <w:r>
        <w:rPr>
          <w:rFonts w:eastAsia="仿宋_GB2312"/>
          <w:sz w:val="30"/>
          <w:szCs w:val="30"/>
        </w:rPr>
        <w:br w:type="page"/>
      </w:r>
      <w:r>
        <w:rPr>
          <w:rFonts w:ascii="宋体" w:hAnsi="宋体"/>
          <w:sz w:val="24"/>
        </w:rPr>
        <w:t>附</w:t>
      </w:r>
      <w:bookmarkStart w:id="2165" w:name="_Toc296503229"/>
      <w:bookmarkStart w:id="2166" w:name="_Toc296347228"/>
      <w:bookmarkStart w:id="2167" w:name="_Toc296944568"/>
      <w:bookmarkStart w:id="2168" w:name="_Toc296891269"/>
      <w:bookmarkStart w:id="2169" w:name="_Toc296891057"/>
      <w:bookmarkStart w:id="2170" w:name="_Toc296346730"/>
      <w:r>
        <w:rPr>
          <w:sz w:val="24"/>
        </w:rPr>
        <w:t>件7：</w:t>
      </w:r>
    </w:p>
    <w:bookmarkEnd w:id="2165"/>
    <w:bookmarkEnd w:id="2166"/>
    <w:bookmarkEnd w:id="2167"/>
    <w:bookmarkEnd w:id="2168"/>
    <w:bookmarkEnd w:id="2169"/>
    <w:bookmarkEnd w:id="2170"/>
    <w:p w14:paraId="6367EF1D">
      <w:pPr>
        <w:spacing w:before="120" w:beforeLines="50" w:after="120" w:afterLines="50" w:line="440" w:lineRule="exact"/>
        <w:jc w:val="center"/>
        <w:rPr>
          <w:rFonts w:eastAsia="黑体"/>
          <w:sz w:val="28"/>
          <w:szCs w:val="28"/>
        </w:rPr>
      </w:pPr>
      <w:r>
        <w:rPr>
          <w:rFonts w:eastAsia="黑体"/>
          <w:sz w:val="28"/>
          <w:szCs w:val="28"/>
        </w:rPr>
        <w:t>分包人主要施工管理人员表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200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9F522B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名    称</w:t>
            </w:r>
          </w:p>
        </w:tc>
        <w:tc>
          <w:tcPr>
            <w:tcW w:w="1418" w:type="dxa"/>
            <w:tcBorders>
              <w:top w:val="single" w:color="auto" w:sz="12" w:space="0"/>
              <w:bottom w:val="double" w:color="auto" w:sz="6" w:space="0"/>
            </w:tcBorders>
            <w:vAlign w:val="center"/>
          </w:tcPr>
          <w:p w14:paraId="36F20276">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姓名</w:t>
            </w:r>
          </w:p>
        </w:tc>
        <w:tc>
          <w:tcPr>
            <w:tcW w:w="1134" w:type="dxa"/>
            <w:tcBorders>
              <w:top w:val="single" w:color="auto" w:sz="12" w:space="0"/>
              <w:bottom w:val="double" w:color="auto" w:sz="6" w:space="0"/>
            </w:tcBorders>
            <w:vAlign w:val="center"/>
          </w:tcPr>
          <w:p w14:paraId="4723688F">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职务</w:t>
            </w:r>
          </w:p>
        </w:tc>
        <w:tc>
          <w:tcPr>
            <w:tcW w:w="1134" w:type="dxa"/>
            <w:tcBorders>
              <w:top w:val="single" w:color="auto" w:sz="12" w:space="0"/>
              <w:bottom w:val="double" w:color="auto" w:sz="6" w:space="0"/>
            </w:tcBorders>
            <w:vAlign w:val="center"/>
          </w:tcPr>
          <w:p w14:paraId="07B2BAB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职称</w:t>
            </w:r>
          </w:p>
        </w:tc>
        <w:tc>
          <w:tcPr>
            <w:tcW w:w="4252" w:type="dxa"/>
            <w:tcBorders>
              <w:top w:val="single" w:color="auto" w:sz="12" w:space="0"/>
              <w:bottom w:val="double" w:color="auto" w:sz="6" w:space="0"/>
            </w:tcBorders>
            <w:vAlign w:val="center"/>
          </w:tcPr>
          <w:p w14:paraId="7820BABE">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主要资历、经验及承担过的项目</w:t>
            </w:r>
          </w:p>
        </w:tc>
      </w:tr>
      <w:tr w14:paraId="519BE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1C7271F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一、总部人员</w:t>
            </w:r>
          </w:p>
        </w:tc>
      </w:tr>
      <w:tr w14:paraId="11913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CE21F9C">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项目主管</w:t>
            </w:r>
          </w:p>
        </w:tc>
        <w:tc>
          <w:tcPr>
            <w:tcW w:w="1418" w:type="dxa"/>
            <w:tcBorders>
              <w:top w:val="nil"/>
            </w:tcBorders>
            <w:vAlign w:val="center"/>
          </w:tcPr>
          <w:p w14:paraId="0FA369C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top w:val="nil"/>
            </w:tcBorders>
            <w:vAlign w:val="center"/>
          </w:tcPr>
          <w:p w14:paraId="76A177A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top w:val="nil"/>
            </w:tcBorders>
            <w:vAlign w:val="center"/>
          </w:tcPr>
          <w:p w14:paraId="0451DC4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tcBorders>
              <w:top w:val="nil"/>
            </w:tcBorders>
            <w:vAlign w:val="center"/>
          </w:tcPr>
          <w:p w14:paraId="6073F0C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672D1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80FB14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147B510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B14782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C6DFE8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51731C7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5A0CA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5F9E658">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其他人员</w:t>
            </w:r>
          </w:p>
        </w:tc>
        <w:tc>
          <w:tcPr>
            <w:tcW w:w="1418" w:type="dxa"/>
            <w:vAlign w:val="center"/>
          </w:tcPr>
          <w:p w14:paraId="26B17F4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370C017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B670FB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6EC62B5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2837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73944D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3519581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383421F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6B92A6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28F866B9">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73A4E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D734586">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二、现场人员</w:t>
            </w:r>
          </w:p>
        </w:tc>
      </w:tr>
      <w:tr w14:paraId="61254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94A02A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项目经理</w:t>
            </w:r>
          </w:p>
        </w:tc>
        <w:tc>
          <w:tcPr>
            <w:tcW w:w="1418" w:type="dxa"/>
            <w:vAlign w:val="center"/>
          </w:tcPr>
          <w:p w14:paraId="5AB91D4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51152B8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964462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5F130AB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7BC50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D5D6E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项目副经理</w:t>
            </w:r>
          </w:p>
        </w:tc>
        <w:tc>
          <w:tcPr>
            <w:tcW w:w="1418" w:type="dxa"/>
            <w:vAlign w:val="center"/>
          </w:tcPr>
          <w:p w14:paraId="5BE3C35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60ADA8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8C768A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319C773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3170D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BA01BAE">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技术负责人</w:t>
            </w:r>
          </w:p>
        </w:tc>
        <w:tc>
          <w:tcPr>
            <w:tcW w:w="1418" w:type="dxa"/>
            <w:vAlign w:val="center"/>
          </w:tcPr>
          <w:p w14:paraId="340B439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0C72FE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C163C1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781CD98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0E5F9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171EB1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造价管理</w:t>
            </w:r>
          </w:p>
        </w:tc>
        <w:tc>
          <w:tcPr>
            <w:tcW w:w="1418" w:type="dxa"/>
            <w:vAlign w:val="center"/>
          </w:tcPr>
          <w:p w14:paraId="6EDE691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05FB6A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63B73A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154118BA">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3ECF7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0947C0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质量管理</w:t>
            </w:r>
          </w:p>
        </w:tc>
        <w:tc>
          <w:tcPr>
            <w:tcW w:w="1418" w:type="dxa"/>
            <w:vAlign w:val="center"/>
          </w:tcPr>
          <w:p w14:paraId="6589ED4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0259AEA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E43AD0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35352E1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1BEB6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0C786B4C">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材料管理</w:t>
            </w:r>
          </w:p>
        </w:tc>
        <w:tc>
          <w:tcPr>
            <w:tcW w:w="1418" w:type="dxa"/>
            <w:vAlign w:val="center"/>
          </w:tcPr>
          <w:p w14:paraId="1408758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E1D6EC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292AC3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766F121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65E87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7B33F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计划管理</w:t>
            </w:r>
          </w:p>
        </w:tc>
        <w:tc>
          <w:tcPr>
            <w:tcW w:w="1418" w:type="dxa"/>
            <w:vAlign w:val="center"/>
          </w:tcPr>
          <w:p w14:paraId="5DB8990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82BEFD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8A2A74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773E02E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62BE5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F4893B3">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安全管理</w:t>
            </w:r>
          </w:p>
        </w:tc>
        <w:tc>
          <w:tcPr>
            <w:tcW w:w="1418" w:type="dxa"/>
            <w:vAlign w:val="center"/>
          </w:tcPr>
          <w:p w14:paraId="6F5975E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02ABB075">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57D9EC6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352EAD1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3EE8B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305A801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其他人员</w:t>
            </w:r>
          </w:p>
        </w:tc>
        <w:tc>
          <w:tcPr>
            <w:tcW w:w="1418" w:type="dxa"/>
            <w:vAlign w:val="center"/>
          </w:tcPr>
          <w:p w14:paraId="636D4D1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ABA7BBC">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4DF4939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713F4B6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73514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C830E6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tcBorders>
              <w:bottom w:val="nil"/>
            </w:tcBorders>
            <w:vAlign w:val="center"/>
          </w:tcPr>
          <w:p w14:paraId="6F74566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nil"/>
            </w:tcBorders>
            <w:vAlign w:val="center"/>
          </w:tcPr>
          <w:p w14:paraId="7268DD0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nil"/>
            </w:tcBorders>
            <w:vAlign w:val="center"/>
          </w:tcPr>
          <w:p w14:paraId="4ED6946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tcBorders>
              <w:bottom w:val="nil"/>
            </w:tcBorders>
            <w:vAlign w:val="center"/>
          </w:tcPr>
          <w:p w14:paraId="444A4B8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585A5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4156F0D">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21E1F2F3">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29EA41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5599C3BE">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5CBF301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393F3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14:paraId="05113BB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06F82EE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16462A8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714ACB04">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3F75AC56">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2A495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23205F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vAlign w:val="center"/>
          </w:tcPr>
          <w:p w14:paraId="28A81A6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0DD303B8">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vAlign w:val="center"/>
          </w:tcPr>
          <w:p w14:paraId="6C06C9A0">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vAlign w:val="center"/>
          </w:tcPr>
          <w:p w14:paraId="664AD46F">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r w14:paraId="41102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A889E61">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418" w:type="dxa"/>
            <w:tcBorders>
              <w:bottom w:val="single" w:color="auto" w:sz="12" w:space="0"/>
            </w:tcBorders>
            <w:vAlign w:val="center"/>
          </w:tcPr>
          <w:p w14:paraId="6A0445C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single" w:color="auto" w:sz="12" w:space="0"/>
            </w:tcBorders>
            <w:vAlign w:val="center"/>
          </w:tcPr>
          <w:p w14:paraId="6FEC79C2">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1134" w:type="dxa"/>
            <w:tcBorders>
              <w:bottom w:val="single" w:color="auto" w:sz="12" w:space="0"/>
            </w:tcBorders>
            <w:vAlign w:val="center"/>
          </w:tcPr>
          <w:p w14:paraId="4699EDF7">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c>
          <w:tcPr>
            <w:tcW w:w="4252" w:type="dxa"/>
            <w:tcBorders>
              <w:bottom w:val="single" w:color="auto" w:sz="12" w:space="0"/>
            </w:tcBorders>
            <w:vAlign w:val="center"/>
          </w:tcPr>
          <w:p w14:paraId="5C344FBB">
            <w:pPr>
              <w:pStyle w:val="6"/>
              <w:keepNext/>
              <w:keepLines w:val="0"/>
              <w:suppressLineNumbers w:val="0"/>
              <w:spacing w:before="0" w:beforeAutospacing="0" w:after="0" w:afterAutospacing="0" w:line="440" w:lineRule="exact"/>
              <w:ind w:left="63" w:right="63"/>
              <w:jc w:val="center"/>
              <w:rPr>
                <w:rFonts w:hint="default" w:ascii="宋体" w:hAnsi="宋体"/>
                <w:szCs w:val="21"/>
              </w:rPr>
            </w:pPr>
          </w:p>
        </w:tc>
      </w:tr>
    </w:tbl>
    <w:p w14:paraId="1B59AC89">
      <w:pPr>
        <w:spacing w:before="120" w:beforeLines="50" w:after="120" w:afterLines="50" w:line="440" w:lineRule="exact"/>
        <w:jc w:val="left"/>
        <w:rPr>
          <w:rFonts w:eastAsia="黑体"/>
          <w:sz w:val="30"/>
          <w:szCs w:val="30"/>
        </w:rPr>
      </w:pPr>
      <w:r>
        <w:rPr>
          <w:rFonts w:eastAsia="仿宋_GB2312"/>
          <w:sz w:val="30"/>
          <w:szCs w:val="30"/>
        </w:rPr>
        <w:br w:type="page"/>
      </w:r>
      <w:bookmarkStart w:id="2171" w:name="_Toc267261701"/>
      <w:r>
        <w:rPr>
          <w:rFonts w:ascii="宋体" w:hAnsi="宋体"/>
          <w:sz w:val="24"/>
        </w:rPr>
        <w:t>附</w:t>
      </w:r>
      <w:bookmarkStart w:id="2172" w:name="_Toc296347230"/>
      <w:bookmarkStart w:id="2173" w:name="_Toc296891059"/>
      <w:bookmarkStart w:id="2174" w:name="_Toc296891271"/>
      <w:bookmarkStart w:id="2175" w:name="_Toc296944570"/>
      <w:bookmarkStart w:id="2176" w:name="_Toc296503231"/>
      <w:bookmarkStart w:id="2177" w:name="_Toc296346732"/>
      <w:r>
        <w:rPr>
          <w:rFonts w:ascii="宋体" w:hAnsi="宋体"/>
          <w:sz w:val="24"/>
        </w:rPr>
        <w:t>件</w:t>
      </w:r>
      <w:r>
        <w:rPr>
          <w:sz w:val="24"/>
        </w:rPr>
        <w:t>8：</w:t>
      </w:r>
    </w:p>
    <w:bookmarkEnd w:id="2171"/>
    <w:bookmarkEnd w:id="2172"/>
    <w:bookmarkEnd w:id="2173"/>
    <w:bookmarkEnd w:id="2174"/>
    <w:bookmarkEnd w:id="2175"/>
    <w:bookmarkEnd w:id="2176"/>
    <w:bookmarkEnd w:id="2177"/>
    <w:p w14:paraId="594626E6">
      <w:pPr>
        <w:spacing w:before="120" w:beforeLines="50" w:after="120" w:afterLines="50" w:line="440" w:lineRule="exact"/>
        <w:jc w:val="center"/>
        <w:rPr>
          <w:rFonts w:eastAsia="黑体"/>
          <w:sz w:val="28"/>
          <w:szCs w:val="28"/>
        </w:rPr>
      </w:pPr>
      <w:r>
        <w:rPr>
          <w:rFonts w:hint="eastAsia" w:eastAsia="黑体"/>
          <w:sz w:val="28"/>
          <w:szCs w:val="28"/>
        </w:rPr>
        <w:t>履约担保格式</w:t>
      </w:r>
    </w:p>
    <w:p w14:paraId="768009CA">
      <w:pPr>
        <w:wordWrap w:val="0"/>
        <w:spacing w:line="360" w:lineRule="auto"/>
        <w:jc w:val="right"/>
        <w:rPr>
          <w:rFonts w:ascii="宋体" w:hAnsi="宋体"/>
          <w:szCs w:val="21"/>
        </w:rPr>
      </w:pPr>
      <w:bookmarkStart w:id="2178" w:name="_Hlk157160134"/>
      <w:r>
        <w:rPr>
          <w:rFonts w:hint="eastAsia" w:ascii="宋体" w:hAnsi="宋体"/>
          <w:szCs w:val="21"/>
        </w:rPr>
        <w:t xml:space="preserve">编号： </w:t>
      </w:r>
      <w:r>
        <w:rPr>
          <w:rFonts w:ascii="宋体" w:hAnsi="宋体"/>
          <w:szCs w:val="21"/>
        </w:rPr>
        <w:t xml:space="preserve">          </w:t>
      </w:r>
    </w:p>
    <w:p w14:paraId="13F76E92">
      <w:pPr>
        <w:spacing w:line="360" w:lineRule="auto"/>
        <w:rPr>
          <w:rFonts w:ascii="宋体" w:hAnsi="宋体"/>
          <w:szCs w:val="21"/>
        </w:rPr>
      </w:pPr>
      <w:r>
        <w:rPr>
          <w:rFonts w:hint="eastAsia" w:ascii="宋体" w:hAnsi="宋体"/>
          <w:szCs w:val="21"/>
        </w:rPr>
        <w:t>申请人：</w:t>
      </w:r>
    </w:p>
    <w:p w14:paraId="0C12B54F">
      <w:pPr>
        <w:spacing w:line="360" w:lineRule="auto"/>
        <w:rPr>
          <w:rFonts w:ascii="宋体" w:hAnsi="宋体"/>
          <w:szCs w:val="21"/>
        </w:rPr>
      </w:pPr>
      <w:r>
        <w:rPr>
          <w:rFonts w:hint="eastAsia" w:ascii="宋体" w:hAnsi="宋体"/>
          <w:szCs w:val="21"/>
        </w:rPr>
        <w:t>地  址</w:t>
      </w:r>
      <w:r>
        <w:rPr>
          <w:rFonts w:ascii="宋体" w:hAnsi="宋体"/>
          <w:szCs w:val="21"/>
        </w:rPr>
        <w:t>：</w:t>
      </w:r>
    </w:p>
    <w:p w14:paraId="791467D8">
      <w:pPr>
        <w:spacing w:line="360" w:lineRule="auto"/>
        <w:rPr>
          <w:rFonts w:ascii="宋体" w:hAnsi="宋体"/>
          <w:szCs w:val="21"/>
        </w:rPr>
      </w:pPr>
      <w:r>
        <w:rPr>
          <w:rFonts w:hint="eastAsia" w:ascii="宋体" w:hAnsi="宋体"/>
          <w:szCs w:val="21"/>
        </w:rPr>
        <w:t>受益人：</w:t>
      </w:r>
    </w:p>
    <w:p w14:paraId="01D21A27">
      <w:pPr>
        <w:spacing w:line="360" w:lineRule="auto"/>
        <w:rPr>
          <w:rFonts w:ascii="宋体" w:hAnsi="宋体"/>
          <w:szCs w:val="21"/>
        </w:rPr>
      </w:pPr>
      <w:r>
        <w:rPr>
          <w:rFonts w:hint="eastAsia" w:ascii="宋体" w:hAnsi="宋体"/>
          <w:szCs w:val="21"/>
        </w:rPr>
        <w:t>地  址</w:t>
      </w:r>
      <w:r>
        <w:rPr>
          <w:rFonts w:ascii="宋体" w:hAnsi="宋体"/>
          <w:szCs w:val="21"/>
        </w:rPr>
        <w:t>：</w:t>
      </w:r>
    </w:p>
    <w:p w14:paraId="250E3A6E">
      <w:pPr>
        <w:spacing w:line="360" w:lineRule="auto"/>
        <w:rPr>
          <w:rFonts w:ascii="宋体" w:hAnsi="宋体"/>
          <w:szCs w:val="21"/>
        </w:rPr>
      </w:pPr>
      <w:r>
        <w:rPr>
          <w:rFonts w:hint="eastAsia" w:ascii="宋体" w:hAnsi="宋体"/>
          <w:szCs w:val="21"/>
        </w:rPr>
        <w:t>开立人：</w:t>
      </w:r>
    </w:p>
    <w:p w14:paraId="7E409AAA">
      <w:pPr>
        <w:spacing w:line="360" w:lineRule="auto"/>
        <w:rPr>
          <w:rFonts w:ascii="宋体" w:hAnsi="宋体"/>
          <w:szCs w:val="21"/>
        </w:rPr>
      </w:pPr>
      <w:r>
        <w:rPr>
          <w:rFonts w:hint="eastAsia" w:ascii="宋体" w:hAnsi="宋体"/>
          <w:szCs w:val="21"/>
        </w:rPr>
        <w:t>地  址</w:t>
      </w:r>
      <w:r>
        <w:rPr>
          <w:rFonts w:ascii="宋体" w:hAnsi="宋体"/>
          <w:szCs w:val="21"/>
        </w:rPr>
        <w:t>：</w:t>
      </w:r>
    </w:p>
    <w:p w14:paraId="251C3F0C">
      <w:pPr>
        <w:spacing w:line="360" w:lineRule="auto"/>
        <w:rPr>
          <w:rFonts w:ascii="宋体" w:hAnsi="宋体"/>
          <w:szCs w:val="21"/>
        </w:rPr>
      </w:pPr>
      <w:r>
        <w:rPr>
          <w:rFonts w:ascii="宋体" w:hAnsi="宋体"/>
          <w:szCs w:val="21"/>
        </w:rPr>
        <w:t xml:space="preserve"> </w:t>
      </w:r>
    </w:p>
    <w:p w14:paraId="01C2C421">
      <w:pPr>
        <w:spacing w:line="360" w:lineRule="auto"/>
        <w:rPr>
          <w:rFonts w:ascii="宋体" w:hAnsi="宋体"/>
          <w:szCs w:val="21"/>
        </w:rPr>
      </w:pPr>
      <w:r>
        <w:rPr>
          <w:rFonts w:ascii="宋体" w:hAnsi="宋体"/>
          <w:szCs w:val="21"/>
          <w:u w:val="single"/>
        </w:rPr>
        <w:t xml:space="preserve">              </w:t>
      </w:r>
      <w:r>
        <w:rPr>
          <w:rFonts w:ascii="宋体" w:hAnsi="宋体"/>
          <w:szCs w:val="21"/>
        </w:rPr>
        <w:t>（</w:t>
      </w:r>
      <w:r>
        <w:rPr>
          <w:rFonts w:hint="eastAsia" w:ascii="宋体" w:hAnsi="宋体"/>
          <w:szCs w:val="21"/>
        </w:rPr>
        <w:t>受益人</w:t>
      </w:r>
      <w:r>
        <w:rPr>
          <w:rFonts w:ascii="宋体" w:hAnsi="宋体"/>
          <w:szCs w:val="21"/>
        </w:rPr>
        <w:t xml:space="preserve">名称）： </w:t>
      </w:r>
    </w:p>
    <w:p w14:paraId="576797C0">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工程（以下简称“本工程”）的《中标通知书》及</w:t>
      </w:r>
      <w:r>
        <w:rPr>
          <w:rFonts w:ascii="宋体" w:hAnsi="宋体"/>
          <w:szCs w:val="21"/>
          <w:u w:val="single"/>
        </w:rPr>
        <w:t xml:space="preserve">        </w:t>
      </w:r>
      <w:r>
        <w:rPr>
          <w:rFonts w:ascii="宋体" w:hAnsi="宋体"/>
          <w:szCs w:val="21"/>
        </w:rPr>
        <w:t>（以下简称“</w:t>
      </w:r>
      <w:r>
        <w:rPr>
          <w:rFonts w:hint="eastAsia" w:ascii="宋体" w:hAnsi="宋体"/>
          <w:szCs w:val="21"/>
        </w:rPr>
        <w:t>受益人</w:t>
      </w:r>
      <w:r>
        <w:rPr>
          <w:rFonts w:ascii="宋体" w:hAnsi="宋体"/>
          <w:szCs w:val="21"/>
        </w:rPr>
        <w:t>”）</w:t>
      </w:r>
      <w:r>
        <w:rPr>
          <w:rFonts w:hint="eastAsia" w:ascii="宋体" w:hAnsi="宋体"/>
          <w:szCs w:val="21"/>
        </w:rPr>
        <w:t>与</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（以下简称“</w:t>
      </w:r>
      <w:r>
        <w:rPr>
          <w:rFonts w:hint="eastAsia" w:ascii="宋体" w:hAnsi="宋体"/>
          <w:szCs w:val="21"/>
        </w:rPr>
        <w:t>申请人</w:t>
      </w:r>
      <w:r>
        <w:rPr>
          <w:rFonts w:ascii="宋体" w:hAnsi="宋体"/>
          <w:szCs w:val="21"/>
        </w:rPr>
        <w:t>”）</w:t>
      </w:r>
      <w:r>
        <w:rPr>
          <w:rFonts w:hint="eastAsia" w:ascii="宋体" w:hAnsi="宋体"/>
          <w:szCs w:val="21"/>
        </w:rPr>
        <w:t>关于本工程签订/拟签订的合同（以下均简称“基础合同”）和有关事项，我方（即“开立人”）根据基础合同了解到申请人为基础合同项下之承包人，受益人为基础合同项下之发包人，基于申请人</w:t>
      </w:r>
      <w:r>
        <w:rPr>
          <w:rFonts w:ascii="宋体" w:hAnsi="宋体"/>
          <w:szCs w:val="21"/>
        </w:rPr>
        <w:t>的请求，我方同意就</w:t>
      </w:r>
      <w:r>
        <w:rPr>
          <w:rFonts w:hint="eastAsia" w:ascii="宋体" w:hAnsi="宋体"/>
          <w:szCs w:val="21"/>
        </w:rPr>
        <w:t>申请人</w:t>
      </w:r>
      <w:r>
        <w:rPr>
          <w:rFonts w:ascii="宋体" w:hAnsi="宋体"/>
          <w:szCs w:val="21"/>
        </w:rPr>
        <w:t>履行</w:t>
      </w:r>
      <w:r>
        <w:rPr>
          <w:rFonts w:hint="eastAsia" w:ascii="宋体" w:hAnsi="宋体"/>
          <w:szCs w:val="21"/>
        </w:rPr>
        <w:t>与贵方签订的基础合同</w:t>
      </w:r>
      <w:r>
        <w:rPr>
          <w:rFonts w:ascii="宋体" w:hAnsi="宋体"/>
          <w:szCs w:val="21"/>
        </w:rPr>
        <w:t>项下的义务</w:t>
      </w:r>
      <w:r>
        <w:rPr>
          <w:rFonts w:hint="eastAsia" w:ascii="宋体" w:hAnsi="宋体"/>
          <w:szCs w:val="21"/>
        </w:rPr>
        <w:t>，</w:t>
      </w:r>
      <w:r>
        <w:rPr>
          <w:rFonts w:ascii="宋体" w:hAnsi="宋体"/>
          <w:szCs w:val="21"/>
        </w:rPr>
        <w:t>向贵方提供不可撤销、</w:t>
      </w:r>
      <w:r>
        <w:rPr>
          <w:rFonts w:hint="eastAsia" w:ascii="宋体" w:hAnsi="宋体"/>
          <w:szCs w:val="21"/>
        </w:rPr>
        <w:t>不可转让的见索即付</w:t>
      </w:r>
      <w:r>
        <w:rPr>
          <w:rFonts w:ascii="宋体" w:hAnsi="宋体"/>
          <w:szCs w:val="21"/>
        </w:rPr>
        <w:t>独立</w:t>
      </w:r>
      <w:r>
        <w:rPr>
          <w:rFonts w:hint="eastAsia" w:ascii="宋体" w:hAnsi="宋体"/>
          <w:szCs w:val="21"/>
        </w:rPr>
        <w:t>保函（以下简称“本保函”）</w:t>
      </w:r>
      <w:r>
        <w:rPr>
          <w:rFonts w:ascii="宋体" w:hAnsi="宋体"/>
          <w:szCs w:val="21"/>
        </w:rPr>
        <w:t xml:space="preserve">。 </w:t>
      </w:r>
    </w:p>
    <w:p w14:paraId="66587605">
      <w:pPr>
        <w:spacing w:line="360" w:lineRule="auto"/>
        <w:ind w:firstLine="420" w:firstLineChars="200"/>
        <w:rPr>
          <w:rFonts w:ascii="宋体" w:hAnsi="宋体"/>
          <w:szCs w:val="21"/>
        </w:rPr>
      </w:pPr>
      <w:r>
        <w:rPr>
          <w:rFonts w:hint="eastAsia" w:ascii="宋体" w:hAnsi="宋体"/>
          <w:szCs w:val="21"/>
        </w:rPr>
        <w:t>一、本保函担保范围：承包人未按照基础合同的约定履行义务，应当向贵方承担的违约责任和赔偿因此造成的损失、利息、律师费、诉讼费用等实现债权的费用。</w:t>
      </w:r>
    </w:p>
    <w:p w14:paraId="56A93CB1">
      <w:pPr>
        <w:spacing w:line="360" w:lineRule="auto"/>
        <w:ind w:firstLine="420" w:firstLineChars="200"/>
        <w:rPr>
          <w:rFonts w:ascii="宋体" w:hAnsi="宋体"/>
          <w:szCs w:val="21"/>
        </w:rPr>
      </w:pPr>
      <w:r>
        <w:rPr>
          <w:rFonts w:hint="eastAsia" w:ascii="宋体" w:hAnsi="宋体"/>
          <w:szCs w:val="21"/>
        </w:rPr>
        <w:t>二、本保函担保金额最高不超过</w:t>
      </w:r>
      <w:r>
        <w:rPr>
          <w:rFonts w:ascii="宋体" w:hAnsi="宋体"/>
          <w:szCs w:val="21"/>
        </w:rPr>
        <w:t>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 xml:space="preserve">）。 </w:t>
      </w:r>
    </w:p>
    <w:p w14:paraId="49006B82">
      <w:pPr>
        <w:spacing w:line="360" w:lineRule="auto"/>
        <w:ind w:firstLine="420" w:firstLineChars="200"/>
        <w:rPr>
          <w:rFonts w:ascii="宋体" w:hAnsi="宋体"/>
          <w:szCs w:val="21"/>
        </w:rPr>
      </w:pPr>
      <w:r>
        <w:rPr>
          <w:rFonts w:hint="eastAsia" w:ascii="宋体" w:hAnsi="宋体"/>
          <w:szCs w:val="21"/>
        </w:rPr>
        <w:t>三、本保函</w:t>
      </w:r>
      <w:r>
        <w:rPr>
          <w:rFonts w:ascii="宋体" w:hAnsi="宋体"/>
          <w:szCs w:val="21"/>
        </w:rPr>
        <w:t>有效期自</w:t>
      </w:r>
      <w:r>
        <w:rPr>
          <w:rFonts w:hint="eastAsia" w:ascii="宋体" w:hAnsi="宋体"/>
          <w:szCs w:val="21"/>
        </w:rPr>
        <w:t>开立之日起</w:t>
      </w:r>
      <w:r>
        <w:rPr>
          <w:rFonts w:ascii="宋体" w:hAnsi="宋体"/>
          <w:szCs w:val="21"/>
        </w:rPr>
        <w:t>至</w:t>
      </w:r>
      <w:r>
        <w:rPr>
          <w:rFonts w:hint="eastAsia" w:ascii="宋体" w:hAnsi="宋体"/>
          <w:szCs w:val="21"/>
        </w:rPr>
        <w:t>基础合同约定的缺陷责任期</w:t>
      </w:r>
      <w:r>
        <w:rPr>
          <w:rFonts w:ascii="宋体" w:hAnsi="宋体"/>
          <w:szCs w:val="21"/>
        </w:rPr>
        <w:t>后</w:t>
      </w:r>
      <w:r>
        <w:rPr>
          <w:rFonts w:ascii="宋体" w:hAnsi="宋体"/>
          <w:szCs w:val="21"/>
          <w:u w:val="single"/>
        </w:rPr>
        <w:t xml:space="preserve">   </w:t>
      </w:r>
      <w:r>
        <w:rPr>
          <w:rFonts w:hint="eastAsia" w:ascii="宋体" w:hAnsi="宋体"/>
          <w:szCs w:val="21"/>
        </w:rPr>
        <w:t>日止，最迟不超过</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14:paraId="0EDED4C0">
      <w:pPr>
        <w:spacing w:line="360" w:lineRule="auto"/>
        <w:ind w:firstLine="480"/>
        <w:rPr>
          <w:rFonts w:ascii="宋体" w:hAnsi="宋体"/>
          <w:szCs w:val="21"/>
        </w:rPr>
      </w:pPr>
      <w:r>
        <w:rPr>
          <w:rFonts w:hint="eastAsia" w:ascii="宋体" w:hAnsi="宋体"/>
          <w:szCs w:val="21"/>
        </w:rPr>
        <w:t>四、我方承诺，在收到受益人发来的书面付款通知后的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日内无条件支付，前述书面付款通知即为付款要求之单据，且应满足以下要求：</w:t>
      </w:r>
    </w:p>
    <w:p w14:paraId="1852837B">
      <w:pPr>
        <w:spacing w:line="360" w:lineRule="auto"/>
        <w:ind w:firstLine="420" w:firstLineChars="200"/>
        <w:rPr>
          <w:rFonts w:ascii="宋体" w:hAnsi="宋体"/>
          <w:szCs w:val="21"/>
        </w:rPr>
      </w:pPr>
      <w:r>
        <w:rPr>
          <w:rFonts w:hint="eastAsia" w:ascii="宋体" w:hAnsi="宋体"/>
          <w:szCs w:val="21"/>
        </w:rPr>
        <w:t>（1）付款通知到达的日期在本保函的有效期内；</w:t>
      </w:r>
    </w:p>
    <w:p w14:paraId="0C85A66E">
      <w:pPr>
        <w:spacing w:line="360" w:lineRule="auto"/>
        <w:ind w:firstLine="420" w:firstLineChars="200"/>
        <w:rPr>
          <w:rFonts w:ascii="宋体" w:hAnsi="宋体"/>
          <w:szCs w:val="21"/>
        </w:rPr>
      </w:pPr>
      <w:r>
        <w:rPr>
          <w:rFonts w:hint="eastAsia" w:ascii="宋体" w:hAnsi="宋体"/>
          <w:szCs w:val="21"/>
        </w:rPr>
        <w:t>（2）载明要求支付的金额；</w:t>
      </w:r>
    </w:p>
    <w:p w14:paraId="6215EC0F">
      <w:pPr>
        <w:spacing w:line="360" w:lineRule="auto"/>
        <w:ind w:firstLine="420" w:firstLineChars="200"/>
        <w:rPr>
          <w:rFonts w:ascii="宋体" w:hAnsi="宋体"/>
          <w:szCs w:val="21"/>
        </w:rPr>
      </w:pPr>
      <w:r>
        <w:rPr>
          <w:rFonts w:hint="eastAsia" w:ascii="宋体" w:hAnsi="宋体"/>
          <w:szCs w:val="21"/>
        </w:rPr>
        <w:t>（3）载明申请人违反合同义务的条款和内容；</w:t>
      </w:r>
    </w:p>
    <w:p w14:paraId="2C80DEF4">
      <w:pPr>
        <w:spacing w:line="360" w:lineRule="auto"/>
        <w:ind w:firstLine="420" w:firstLineChars="200"/>
        <w:rPr>
          <w:rFonts w:ascii="宋体" w:hAnsi="宋体"/>
          <w:szCs w:val="21"/>
        </w:rPr>
      </w:pPr>
      <w:r>
        <w:rPr>
          <w:rFonts w:hint="eastAsia" w:ascii="宋体" w:hAnsi="宋体"/>
          <w:szCs w:val="21"/>
        </w:rPr>
        <w:t>（4）声明不存在合同文件约定或我国法律规定免除申请人或开立人支付责任的情形；</w:t>
      </w:r>
    </w:p>
    <w:p w14:paraId="607B4CA2">
      <w:pPr>
        <w:spacing w:line="360" w:lineRule="auto"/>
        <w:ind w:firstLine="420" w:firstLineChars="200"/>
        <w:rPr>
          <w:rFonts w:ascii="宋体" w:hAnsi="宋体"/>
          <w:szCs w:val="21"/>
        </w:rPr>
      </w:pPr>
      <w:r>
        <w:rPr>
          <w:rFonts w:hint="eastAsia" w:ascii="宋体" w:hAnsi="宋体"/>
          <w:szCs w:val="21"/>
        </w:rPr>
        <w:t>（5）付款通知应在本保函有效期内到达的地址是：</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34A9B0DC">
      <w:pPr>
        <w:spacing w:line="360" w:lineRule="auto"/>
        <w:ind w:firstLine="420" w:firstLineChars="200"/>
        <w:rPr>
          <w:rFonts w:ascii="宋体" w:hAnsi="宋体"/>
          <w:szCs w:val="21"/>
        </w:rPr>
      </w:pPr>
      <w:r>
        <w:rPr>
          <w:rFonts w:hint="eastAsia" w:ascii="宋体" w:hAnsi="宋体"/>
          <w:szCs w:val="21"/>
        </w:rPr>
        <w:t>受益人发出的书面付款通知应由其为鉴明受益人法定代表人（负责人）或授权代理人签字并加盖公章。</w:t>
      </w:r>
    </w:p>
    <w:p w14:paraId="16F45420">
      <w:pPr>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本保函项下的权利不得转让，不得设定担保。贵方未经我方书面同意转 让本保函或其项下任何权利，</w:t>
      </w:r>
      <w:r>
        <w:rPr>
          <w:rFonts w:hint="eastAsia" w:ascii="宋体" w:hAnsi="宋体"/>
          <w:szCs w:val="21"/>
        </w:rPr>
        <w:t>对我方不发生法律效力</w:t>
      </w:r>
      <w:r>
        <w:rPr>
          <w:rFonts w:ascii="宋体" w:hAnsi="宋体"/>
          <w:szCs w:val="21"/>
        </w:rPr>
        <w:t xml:space="preserve">。 </w:t>
      </w:r>
    </w:p>
    <w:p w14:paraId="0512131E">
      <w:pPr>
        <w:spacing w:line="360" w:lineRule="auto"/>
        <w:ind w:firstLine="420" w:firstLineChars="200"/>
        <w:rPr>
          <w:rFonts w:ascii="宋体" w:hAnsi="宋体"/>
          <w:szCs w:val="21"/>
        </w:rPr>
      </w:pPr>
      <w:r>
        <w:rPr>
          <w:rFonts w:hint="eastAsia" w:ascii="宋体" w:hAnsi="宋体"/>
          <w:szCs w:val="21"/>
        </w:rPr>
        <w:t>六、与</w:t>
      </w:r>
      <w:r>
        <w:rPr>
          <w:rFonts w:ascii="宋体" w:hAnsi="宋体"/>
          <w:szCs w:val="21"/>
        </w:rPr>
        <w:t>本保函</w:t>
      </w:r>
      <w:r>
        <w:rPr>
          <w:rFonts w:hint="eastAsia" w:ascii="宋体" w:hAnsi="宋体"/>
          <w:szCs w:val="21"/>
        </w:rPr>
        <w:t>有关</w:t>
      </w:r>
      <w:r>
        <w:rPr>
          <w:rFonts w:ascii="宋体" w:hAnsi="宋体"/>
          <w:szCs w:val="21"/>
        </w:rPr>
        <w:t>的</w:t>
      </w:r>
      <w:r>
        <w:rPr>
          <w:rFonts w:hint="eastAsia" w:ascii="宋体" w:hAnsi="宋体"/>
          <w:szCs w:val="21"/>
        </w:rPr>
        <w:t>基础</w:t>
      </w:r>
      <w:r>
        <w:rPr>
          <w:rFonts w:ascii="宋体" w:hAnsi="宋体"/>
          <w:szCs w:val="21"/>
        </w:rPr>
        <w:t xml:space="preserve">合同不成立、不生效、无效、被撤销、被解除，不影响本保函的独立有效。 </w:t>
      </w:r>
    </w:p>
    <w:p w14:paraId="54B9984E">
      <w:pPr>
        <w:spacing w:line="360" w:lineRule="auto"/>
        <w:ind w:firstLine="420" w:firstLineChars="200"/>
        <w:rPr>
          <w:rFonts w:ascii="宋体" w:hAnsi="宋体"/>
          <w:szCs w:val="21"/>
        </w:rPr>
      </w:pPr>
      <w:r>
        <w:rPr>
          <w:rFonts w:hint="eastAsia" w:ascii="宋体" w:hAnsi="宋体"/>
          <w:szCs w:val="21"/>
        </w:rPr>
        <w:t>七、</w:t>
      </w:r>
      <w:r>
        <w:rPr>
          <w:rFonts w:ascii="宋体" w:hAnsi="宋体"/>
          <w:szCs w:val="21"/>
        </w:rPr>
        <w:t>贵方应在本保函到期后的七日内将本保函正本退回我方注销，但是不论贵方是否按此要求将本保函正本退回我方，我方在本保函项下的义务和责任均在保函</w:t>
      </w:r>
      <w:r>
        <w:rPr>
          <w:rFonts w:hint="eastAsia" w:ascii="宋体" w:hAnsi="宋体"/>
          <w:szCs w:val="21"/>
        </w:rPr>
        <w:t>有效期</w:t>
      </w:r>
      <w:r>
        <w:rPr>
          <w:rFonts w:ascii="宋体" w:hAnsi="宋体"/>
          <w:szCs w:val="21"/>
        </w:rPr>
        <w:t xml:space="preserve">到期后自动消灭。 </w:t>
      </w:r>
    </w:p>
    <w:p w14:paraId="37FE6357">
      <w:pPr>
        <w:spacing w:line="360" w:lineRule="auto"/>
        <w:ind w:firstLine="420" w:firstLineChars="200"/>
        <w:rPr>
          <w:rFonts w:ascii="宋体" w:hAnsi="宋体"/>
          <w:szCs w:val="21"/>
        </w:rPr>
      </w:pPr>
      <w:r>
        <w:rPr>
          <w:rFonts w:hint="eastAsia" w:ascii="宋体" w:hAnsi="宋体"/>
          <w:szCs w:val="21"/>
        </w:rPr>
        <w:t>八、</w:t>
      </w:r>
      <w:r>
        <w:rPr>
          <w:rFonts w:ascii="宋体" w:hAnsi="宋体"/>
          <w:szCs w:val="21"/>
        </w:rPr>
        <w:t>本保函</w:t>
      </w:r>
      <w:r>
        <w:rPr>
          <w:rFonts w:hint="eastAsia" w:ascii="宋体" w:hAnsi="宋体"/>
          <w:szCs w:val="21"/>
        </w:rPr>
        <w:t>适用的法律为中华人民共和国法律，争议裁判管辖地为中华人民共和国</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82480FB">
      <w:pPr>
        <w:spacing w:line="360" w:lineRule="auto"/>
        <w:ind w:firstLine="420" w:firstLineChars="200"/>
        <w:rPr>
          <w:rFonts w:ascii="宋体" w:hAnsi="宋体"/>
          <w:szCs w:val="21"/>
        </w:rPr>
      </w:pPr>
      <w:r>
        <w:rPr>
          <w:rFonts w:hint="eastAsia" w:ascii="宋体" w:hAnsi="宋体"/>
          <w:szCs w:val="21"/>
        </w:rPr>
        <w:t>九、</w:t>
      </w:r>
      <w:r>
        <w:rPr>
          <w:rFonts w:ascii="宋体" w:hAnsi="宋体"/>
          <w:szCs w:val="21"/>
        </w:rPr>
        <w:t>本保函自我方法定代表人</w:t>
      </w:r>
      <w:r>
        <w:rPr>
          <w:rFonts w:hint="eastAsia" w:ascii="宋体" w:hAnsi="宋体"/>
          <w:szCs w:val="21"/>
        </w:rPr>
        <w:t>或授权代表</w:t>
      </w:r>
      <w:r>
        <w:rPr>
          <w:rFonts w:ascii="宋体" w:hAnsi="宋体"/>
          <w:szCs w:val="21"/>
        </w:rPr>
        <w:t>签字</w:t>
      </w:r>
      <w:r>
        <w:rPr>
          <w:rFonts w:hint="eastAsia" w:ascii="宋体" w:hAnsi="宋体"/>
          <w:szCs w:val="21"/>
        </w:rPr>
        <w:t>并</w:t>
      </w:r>
      <w:r>
        <w:rPr>
          <w:rFonts w:ascii="宋体" w:hAnsi="宋体"/>
          <w:szCs w:val="21"/>
        </w:rPr>
        <w:t xml:space="preserve">加盖公章之日起生效。 </w:t>
      </w:r>
    </w:p>
    <w:p w14:paraId="54354279">
      <w:pPr>
        <w:spacing w:line="360" w:lineRule="auto"/>
        <w:ind w:firstLine="420" w:firstLineChars="200"/>
        <w:rPr>
          <w:rFonts w:ascii="宋体" w:hAnsi="宋体"/>
          <w:szCs w:val="21"/>
        </w:rPr>
      </w:pPr>
      <w:r>
        <w:rPr>
          <w:rFonts w:hint="eastAsia" w:ascii="宋体" w:hAnsi="宋体"/>
          <w:szCs w:val="21"/>
        </w:rPr>
        <w:t>开 立 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公</w:t>
      </w:r>
      <w:r>
        <w:rPr>
          <w:rFonts w:ascii="宋体" w:hAnsi="宋体"/>
          <w:szCs w:val="21"/>
        </w:rPr>
        <w:t xml:space="preserve">章） </w:t>
      </w:r>
    </w:p>
    <w:p w14:paraId="72C98C41">
      <w:pPr>
        <w:spacing w:line="360" w:lineRule="auto"/>
        <w:ind w:firstLine="420" w:firstLineChars="200"/>
        <w:rPr>
          <w:rFonts w:ascii="宋体" w:hAnsi="宋体"/>
          <w:szCs w:val="21"/>
        </w:rPr>
      </w:pPr>
      <w:r>
        <w:rPr>
          <w:rFonts w:hint="eastAsia" w:ascii="宋体" w:hAnsi="宋体"/>
          <w:szCs w:val="21"/>
        </w:rPr>
        <w:t>法定代表人（或授权代表）：</w:t>
      </w:r>
      <w:r>
        <w:rPr>
          <w:rFonts w:ascii="宋体" w:hAnsi="宋体"/>
          <w:szCs w:val="21"/>
        </w:rPr>
        <w:t xml:space="preserve">               （签字） </w:t>
      </w:r>
    </w:p>
    <w:p w14:paraId="3720ED69">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址：                                       </w:t>
      </w:r>
    </w:p>
    <w:p w14:paraId="5D17F9BA">
      <w:pPr>
        <w:spacing w:line="360" w:lineRule="auto"/>
        <w:ind w:firstLine="420" w:firstLineChars="200"/>
        <w:rPr>
          <w:rFonts w:ascii="宋体" w:hAnsi="宋体"/>
          <w:szCs w:val="21"/>
        </w:rPr>
      </w:pPr>
      <w:r>
        <w:rPr>
          <w:rFonts w:hint="eastAsia" w:ascii="宋体" w:hAnsi="宋体"/>
          <w:szCs w:val="21"/>
        </w:rPr>
        <w:t>邮政编码：</w:t>
      </w:r>
      <w:r>
        <w:rPr>
          <w:rFonts w:ascii="宋体" w:hAnsi="宋体"/>
          <w:szCs w:val="21"/>
        </w:rPr>
        <w:t xml:space="preserve">                 </w:t>
      </w:r>
    </w:p>
    <w:p w14:paraId="722EFE4D">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话：                 </w:t>
      </w:r>
    </w:p>
    <w:p w14:paraId="3589C36D">
      <w:pPr>
        <w:spacing w:line="360" w:lineRule="auto"/>
        <w:ind w:firstLine="420" w:firstLineChars="200"/>
        <w:rPr>
          <w:rFonts w:ascii="宋体" w:hAnsi="宋体"/>
          <w:szCs w:val="21"/>
        </w:rPr>
      </w:pPr>
      <w:r>
        <w:rPr>
          <w:rFonts w:hint="eastAsia" w:ascii="宋体" w:hAnsi="宋体"/>
          <w:szCs w:val="21"/>
        </w:rPr>
        <w:t>传</w:t>
      </w:r>
      <w:r>
        <w:rPr>
          <w:rFonts w:ascii="宋体" w:hAnsi="宋体"/>
          <w:szCs w:val="21"/>
        </w:rPr>
        <w:t xml:space="preserve">    真：                 </w:t>
      </w:r>
    </w:p>
    <w:p w14:paraId="30DD7031">
      <w:pPr>
        <w:spacing w:line="360" w:lineRule="auto"/>
        <w:ind w:firstLine="420" w:firstLineChars="200"/>
      </w:pPr>
      <w:r>
        <w:rPr>
          <w:rFonts w:hint="eastAsia" w:ascii="宋体" w:hAnsi="宋体"/>
          <w:szCs w:val="21"/>
        </w:rPr>
        <w:t>开立时间：</w:t>
      </w:r>
      <w:r>
        <w:rPr>
          <w:rFonts w:ascii="宋体" w:hAnsi="宋体"/>
          <w:szCs w:val="21"/>
        </w:rPr>
        <w:t xml:space="preserve">      年      月      </w:t>
      </w:r>
      <w:r>
        <w:rPr>
          <w:rFonts w:hint="eastAsia" w:ascii="宋体" w:hAnsi="宋体"/>
          <w:szCs w:val="21"/>
        </w:rPr>
        <w:t>日</w:t>
      </w:r>
    </w:p>
    <w:bookmarkEnd w:id="2178"/>
    <w:p w14:paraId="66CBDD31">
      <w:pPr>
        <w:rPr>
          <w:rFonts w:ascii="宋体" w:hAnsi="宋体"/>
          <w:szCs w:val="21"/>
        </w:rPr>
      </w:pPr>
      <w:r>
        <w:rPr>
          <w:rFonts w:ascii="宋体" w:hAnsi="宋体"/>
          <w:szCs w:val="21"/>
        </w:rPr>
        <w:br w:type="page"/>
      </w:r>
    </w:p>
    <w:p w14:paraId="11954DDD">
      <w:pPr>
        <w:spacing w:before="120" w:beforeLines="50" w:after="120" w:afterLines="50" w:line="440" w:lineRule="exact"/>
        <w:jc w:val="left"/>
        <w:rPr>
          <w:rFonts w:ascii="宋体" w:hAnsi="宋体"/>
          <w:sz w:val="24"/>
        </w:rPr>
      </w:pPr>
      <w:r>
        <w:rPr>
          <w:rFonts w:ascii="宋体" w:hAnsi="宋体"/>
          <w:sz w:val="24"/>
        </w:rPr>
        <w:t>附</w:t>
      </w:r>
      <w:bookmarkStart w:id="2179" w:name="_Toc296503232"/>
      <w:bookmarkStart w:id="2180" w:name="_Toc267261702"/>
      <w:bookmarkStart w:id="2181" w:name="_Toc296346733"/>
      <w:bookmarkStart w:id="2182" w:name="_Toc296891272"/>
      <w:bookmarkStart w:id="2183" w:name="_Toc296944571"/>
      <w:bookmarkStart w:id="2184" w:name="_Toc296891060"/>
      <w:bookmarkStart w:id="2185" w:name="_Toc296347231"/>
      <w:r>
        <w:rPr>
          <w:sz w:val="24"/>
        </w:rPr>
        <w:t>件9 ：</w:t>
      </w:r>
    </w:p>
    <w:bookmarkEnd w:id="2179"/>
    <w:bookmarkEnd w:id="2180"/>
    <w:bookmarkEnd w:id="2181"/>
    <w:bookmarkEnd w:id="2182"/>
    <w:bookmarkEnd w:id="2183"/>
    <w:bookmarkEnd w:id="2184"/>
    <w:bookmarkEnd w:id="2185"/>
    <w:p w14:paraId="32765B06">
      <w:pPr>
        <w:spacing w:before="120" w:beforeLines="50" w:after="120" w:afterLines="50" w:line="440" w:lineRule="exact"/>
        <w:jc w:val="center"/>
        <w:rPr>
          <w:rFonts w:hint="eastAsia" w:eastAsia="黑体"/>
          <w:sz w:val="28"/>
          <w:szCs w:val="28"/>
        </w:rPr>
      </w:pPr>
      <w:r>
        <w:rPr>
          <w:rFonts w:eastAsia="黑体"/>
          <w:sz w:val="28"/>
          <w:szCs w:val="28"/>
        </w:rPr>
        <w:t>预付款担保</w:t>
      </w:r>
      <w:r>
        <w:rPr>
          <w:rFonts w:hint="eastAsia" w:eastAsia="黑体"/>
          <w:sz w:val="28"/>
          <w:szCs w:val="28"/>
          <w:lang w:val="en-US" w:eastAsia="zh-CN"/>
        </w:rPr>
        <w:t>格式</w:t>
      </w:r>
    </w:p>
    <w:p w14:paraId="0BCD164B">
      <w:pPr>
        <w:keepNext w:val="0"/>
        <w:keepLines w:val="0"/>
        <w:widowControl w:val="0"/>
        <w:suppressLineNumbers w:val="0"/>
        <w:wordWrap w:val="0"/>
        <w:spacing w:before="0" w:beforeAutospacing="0" w:after="0" w:afterAutospacing="0" w:line="360" w:lineRule="auto"/>
        <w:ind w:left="0" w:right="0"/>
        <w:jc w:val="right"/>
        <w:rPr>
          <w:rFonts w:hint="eastAsia" w:ascii="宋体" w:hAnsi="宋体" w:cs="宋体"/>
          <w:szCs w:val="21"/>
        </w:rPr>
      </w:pPr>
      <w:r>
        <w:rPr>
          <w:rFonts w:hint="eastAsia" w:ascii="宋体" w:hAnsi="宋体" w:eastAsia="宋体" w:cs="宋体"/>
          <w:kern w:val="2"/>
          <w:sz w:val="21"/>
          <w:szCs w:val="21"/>
          <w:lang w:val="en-US" w:eastAsia="zh-CN" w:bidi="ar"/>
        </w:rPr>
        <w:t xml:space="preserve">编号：           </w:t>
      </w:r>
    </w:p>
    <w:p w14:paraId="6FB85527">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申请人：</w:t>
      </w:r>
    </w:p>
    <w:p w14:paraId="6BD931CF">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地  址：</w:t>
      </w:r>
    </w:p>
    <w:p w14:paraId="02C12A2B">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受益人：</w:t>
      </w:r>
    </w:p>
    <w:p w14:paraId="06639B51">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地  址：</w:t>
      </w:r>
    </w:p>
    <w:p w14:paraId="3279795C">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开立人：</w:t>
      </w:r>
    </w:p>
    <w:p w14:paraId="74E944BC">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地  址：</w:t>
      </w:r>
    </w:p>
    <w:p w14:paraId="579446C4">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 </w:t>
      </w:r>
    </w:p>
    <w:p w14:paraId="1DB82AB0">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（受益人名称）： </w:t>
      </w:r>
    </w:p>
    <w:p w14:paraId="11B2D1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鉴于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（以下简称“受益人”）与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（以下简称“申请人”）于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日就</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工程（以下简称“本工程”）施工和有关事项协商一致共同签订</w:t>
      </w:r>
      <w:r>
        <w:rPr>
          <w:rFonts w:hint="eastAsia" w:ascii="宋体" w:hAnsi="宋体" w:eastAsia="宋体" w:cs="宋体"/>
          <w:kern w:val="2"/>
          <w:sz w:val="21"/>
          <w:szCs w:val="21"/>
          <w:u w:val="single"/>
          <w:lang w:val="en-US" w:eastAsia="zh-CN" w:bidi="ar"/>
        </w:rPr>
        <w:t>《        》</w:t>
      </w:r>
      <w:r>
        <w:rPr>
          <w:rFonts w:hint="eastAsia" w:ascii="宋体" w:hAnsi="宋体" w:eastAsia="宋体" w:cs="宋体"/>
          <w:kern w:val="2"/>
          <w:sz w:val="21"/>
          <w:szCs w:val="21"/>
          <w:lang w:val="en-US" w:eastAsia="zh-CN" w:bidi="ar"/>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47B1F1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一、本保函担保范围：申请人未按照合同约定正确和合理地为合同目的使用预付款，应当向贵方承担的违约责任和赔偿因此造成的损失、利息、律师费、诉讼费用等实现债权的费用。</w:t>
      </w:r>
    </w:p>
    <w:p w14:paraId="487F0F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二、本保函担保金额最高不超过人民币（大写）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14:paraId="13467F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三、本保函有效期自开立之日起至发包人全额扣回预付款后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日止，最迟不超过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6EF829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四、我方承诺，在收到受益人发来的书面付款通知后的</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日内无条件支付，前述书面付款通知即为付款要求之单据，且应满足以下要求：</w:t>
      </w:r>
    </w:p>
    <w:p w14:paraId="535DDCF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（1）付款通知到达的日期在本保函的有效期内；</w:t>
      </w:r>
    </w:p>
    <w:p w14:paraId="667024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（2）载明要求支付的金额；</w:t>
      </w:r>
    </w:p>
    <w:p w14:paraId="461B94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（3）载明申请人违反合同义务的条款和内容；</w:t>
      </w:r>
    </w:p>
    <w:p w14:paraId="389720C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（4）声明不存在合同文件约定或我国法律规定免除申请人或开立人支付责任的情形；</w:t>
      </w:r>
    </w:p>
    <w:p w14:paraId="0DC1BF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（5）付款通知应在本保函有效期内到达的地址是：</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2278E40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受益人发出的书面付款通知应由其为鉴明受益人法定代表人（负责人）或授权代理人签字并加盖公章。</w:t>
      </w:r>
    </w:p>
    <w:p w14:paraId="440B848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五、本保函项下的权利不得转让，不得设定担保。贵方未经我方书面同意转 让本保函或其项下任何权利，对我方不发生法律效力。 </w:t>
      </w:r>
    </w:p>
    <w:p w14:paraId="4B15A7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六、与本保函有关的基础合同不成立、不生效、无效、被撤销、被解除，不影响本保函的独立有效。 </w:t>
      </w:r>
    </w:p>
    <w:p w14:paraId="2A754E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2818CE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八、本保函适用的法律为中华人民共和国法律，争议裁判管辖地为中华人民共和国</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14:paraId="3F5271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九、本保函自我方法定代表人或授权代表签字并加盖公章之日起生效。 </w:t>
      </w:r>
    </w:p>
    <w:p w14:paraId="4C8030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 </w:t>
      </w:r>
    </w:p>
    <w:p w14:paraId="0DAF4F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 </w:t>
      </w:r>
    </w:p>
    <w:p w14:paraId="1BCCF3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开 立 人：                              （公章） </w:t>
      </w:r>
    </w:p>
    <w:p w14:paraId="277F01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法定代表人（或授权代表）：               （签字） </w:t>
      </w:r>
    </w:p>
    <w:p w14:paraId="7D3E07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地    址：                                       </w:t>
      </w:r>
    </w:p>
    <w:p w14:paraId="311D0B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邮政编码：                 </w:t>
      </w:r>
    </w:p>
    <w:p w14:paraId="58F4D7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电    话：                 </w:t>
      </w:r>
    </w:p>
    <w:p w14:paraId="5920DE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传    真：                 </w:t>
      </w:r>
    </w:p>
    <w:p w14:paraId="62B904E6">
      <w:pPr>
        <w:keepNext w:val="0"/>
        <w:keepLines w:val="0"/>
        <w:widowControl/>
        <w:suppressLineNumbers w:val="0"/>
        <w:jc w:val="left"/>
      </w:pPr>
      <w:r>
        <w:rPr>
          <w:rFonts w:hint="eastAsia" w:ascii="宋体" w:hAnsi="宋体" w:eastAsia="宋体" w:cs="Times New Roman"/>
          <w:kern w:val="2"/>
          <w:sz w:val="21"/>
          <w:szCs w:val="21"/>
          <w:lang w:val="en-US" w:eastAsia="zh-CN" w:bidi="ar"/>
        </w:rPr>
        <w:t xml:space="preserve">    开立时间：      年      月        日</w:t>
      </w:r>
    </w:p>
    <w:p w14:paraId="5D423B6E">
      <w:pPr>
        <w:spacing w:line="360" w:lineRule="auto"/>
        <w:rPr>
          <w:rFonts w:ascii="宋体" w:hAnsi="宋体"/>
          <w:szCs w:val="21"/>
        </w:rPr>
      </w:pPr>
    </w:p>
    <w:p w14:paraId="30C003A7">
      <w:pPr>
        <w:spacing w:before="120" w:beforeLines="50" w:after="120" w:afterLines="50" w:line="440" w:lineRule="exact"/>
        <w:jc w:val="left"/>
        <w:rPr>
          <w:rFonts w:eastAsia="黑体"/>
          <w:sz w:val="30"/>
          <w:szCs w:val="30"/>
        </w:rPr>
      </w:pPr>
      <w:r>
        <w:rPr>
          <w:rFonts w:eastAsia="仿宋_GB2312"/>
          <w:b/>
          <w:sz w:val="30"/>
          <w:szCs w:val="30"/>
        </w:rPr>
        <w:br w:type="page"/>
      </w:r>
      <w:r>
        <w:rPr>
          <w:rFonts w:ascii="宋体" w:hAnsi="宋体"/>
          <w:sz w:val="24"/>
        </w:rPr>
        <w:t>附</w:t>
      </w:r>
      <w:bookmarkStart w:id="2186" w:name="_Toc296503233"/>
      <w:bookmarkStart w:id="2187" w:name="_Toc296347232"/>
      <w:bookmarkStart w:id="2188" w:name="_Toc296346734"/>
      <w:bookmarkStart w:id="2189" w:name="_Toc296944572"/>
      <w:bookmarkStart w:id="2190" w:name="_Toc296891273"/>
      <w:bookmarkStart w:id="2191" w:name="_Toc296891061"/>
      <w:r>
        <w:rPr>
          <w:rFonts w:ascii="宋体" w:hAnsi="宋体"/>
          <w:sz w:val="24"/>
        </w:rPr>
        <w:t>件</w:t>
      </w:r>
      <w:r>
        <w:rPr>
          <w:sz w:val="24"/>
        </w:rPr>
        <w:t xml:space="preserve">10:  </w:t>
      </w:r>
    </w:p>
    <w:bookmarkEnd w:id="2186"/>
    <w:bookmarkEnd w:id="2187"/>
    <w:bookmarkEnd w:id="2188"/>
    <w:bookmarkEnd w:id="2189"/>
    <w:bookmarkEnd w:id="2190"/>
    <w:bookmarkEnd w:id="2191"/>
    <w:p w14:paraId="58E05210">
      <w:pPr>
        <w:spacing w:before="120" w:beforeLines="50" w:after="120" w:afterLines="50" w:line="440" w:lineRule="exact"/>
        <w:jc w:val="center"/>
        <w:rPr>
          <w:rFonts w:hint="eastAsia" w:eastAsia="黑体"/>
          <w:sz w:val="28"/>
          <w:szCs w:val="28"/>
        </w:rPr>
      </w:pPr>
      <w:r>
        <w:rPr>
          <w:rFonts w:eastAsia="黑体"/>
          <w:sz w:val="28"/>
          <w:szCs w:val="28"/>
        </w:rPr>
        <w:t>支付担保</w:t>
      </w:r>
      <w:r>
        <w:rPr>
          <w:rFonts w:hint="eastAsia" w:eastAsia="黑体"/>
          <w:sz w:val="28"/>
          <w:szCs w:val="28"/>
          <w:lang w:val="en-US" w:eastAsia="zh-CN"/>
        </w:rPr>
        <w:t>格式</w:t>
      </w:r>
    </w:p>
    <w:p w14:paraId="0A27477F">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申请人：</w:t>
      </w:r>
    </w:p>
    <w:p w14:paraId="52BBEB94">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地  址：</w:t>
      </w:r>
    </w:p>
    <w:p w14:paraId="5CC06A65">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受益人：</w:t>
      </w:r>
    </w:p>
    <w:p w14:paraId="1264849E">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地  址：</w:t>
      </w:r>
    </w:p>
    <w:p w14:paraId="7A0D87DE">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开立人：</w:t>
      </w:r>
    </w:p>
    <w:p w14:paraId="6CDD05ED">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地  址：</w:t>
      </w:r>
    </w:p>
    <w:p w14:paraId="7E5D6218">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 </w:t>
      </w:r>
    </w:p>
    <w:p w14:paraId="2B580FF9">
      <w:pPr>
        <w:keepNext w:val="0"/>
        <w:keepLines w:val="0"/>
        <w:widowControl w:val="0"/>
        <w:suppressLineNumbers w:val="0"/>
        <w:spacing w:before="0" w:beforeAutospacing="0" w:after="0" w:afterAutospacing="0" w:line="360" w:lineRule="auto"/>
        <w:ind w:left="0" w:right="0"/>
        <w:jc w:val="both"/>
        <w:rPr>
          <w:rFonts w:hint="eastAsia" w:ascii="宋体" w:hAnsi="宋体" w:cs="宋体"/>
          <w:szCs w:val="21"/>
        </w:rPr>
      </w:pPr>
      <w:bookmarkStart w:id="2192" w:name="_Hlk40355074"/>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（受益人名称）： </w:t>
      </w:r>
    </w:p>
    <w:bookmarkEnd w:id="2192"/>
    <w:p w14:paraId="6A4E60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鉴于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（以下简称“受益人”）与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（以下简称“申请人”）于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日就</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工程（以下简称“本工程”）施工和有关事项协商一致共同签订</w:t>
      </w:r>
      <w:r>
        <w:rPr>
          <w:rFonts w:hint="eastAsia" w:ascii="宋体" w:hAnsi="宋体" w:eastAsia="宋体" w:cs="宋体"/>
          <w:kern w:val="2"/>
          <w:sz w:val="21"/>
          <w:szCs w:val="21"/>
          <w:u w:val="single"/>
          <w:lang w:val="en-US" w:eastAsia="zh-CN" w:bidi="ar"/>
        </w:rPr>
        <w:t>《        》</w:t>
      </w:r>
      <w:r>
        <w:rPr>
          <w:rFonts w:hint="eastAsia" w:ascii="宋体" w:hAnsi="宋体" w:eastAsia="宋体" w:cs="宋体"/>
          <w:kern w:val="2"/>
          <w:sz w:val="21"/>
          <w:szCs w:val="21"/>
          <w:lang w:val="en-US" w:eastAsia="zh-CN" w:bidi="ar"/>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68F7CE7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一、本保函担保范围：申请人未履行基础合同约定的工程款支付义务，应当向贵方承担的违约责任和赔偿因此造成的损失、利息、律师费、诉讼费用等实现债权的费用。</w:t>
      </w:r>
    </w:p>
    <w:p w14:paraId="4FDEE1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二、本保函担保金额最高不超过人民币（大写）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14:paraId="456CC86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三、本保函有效期自开立之日起至基础合同约定的除工程质量保修金以外的全部工程结算款项支付之日后</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日止，最迟不超过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日。 </w:t>
      </w:r>
    </w:p>
    <w:p w14:paraId="268BACD8">
      <w:pPr>
        <w:keepNext w:val="0"/>
        <w:keepLines w:val="0"/>
        <w:widowControl w:val="0"/>
        <w:suppressLineNumbers w:val="0"/>
        <w:spacing w:before="0" w:beforeAutospacing="0" w:after="0" w:afterAutospacing="0" w:line="360" w:lineRule="auto"/>
        <w:ind w:left="0" w:right="0" w:firstLine="480"/>
        <w:jc w:val="both"/>
        <w:rPr>
          <w:rFonts w:hint="eastAsia" w:ascii="宋体" w:hAnsi="宋体" w:cs="宋体"/>
          <w:szCs w:val="21"/>
        </w:rPr>
      </w:pPr>
      <w:r>
        <w:rPr>
          <w:rFonts w:hint="eastAsia" w:ascii="宋体" w:hAnsi="宋体" w:eastAsia="宋体" w:cs="宋体"/>
          <w:kern w:val="2"/>
          <w:sz w:val="21"/>
          <w:szCs w:val="21"/>
          <w:lang w:val="en-US" w:eastAsia="zh-CN" w:bidi="ar"/>
        </w:rPr>
        <w:t>四、我方承诺，在收到受益人发来的书面付款通知后的</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日内无条件支付，前述书面付款通知即为付款要求之单据，且应满足以下要求：</w:t>
      </w:r>
    </w:p>
    <w:p w14:paraId="5C5711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（1）付款通知到达的日期在本保函的有效期内；</w:t>
      </w:r>
    </w:p>
    <w:p w14:paraId="0707E8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（2）载明要求支付的金额；</w:t>
      </w:r>
    </w:p>
    <w:p w14:paraId="2AD9CD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（3）载明申请人违反合同义务的条款和内容；</w:t>
      </w:r>
    </w:p>
    <w:p w14:paraId="6131FF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（4）声明不存在合同文件约定或我国法律规定免除申请人或开立人支付责任的情形；</w:t>
      </w:r>
    </w:p>
    <w:p w14:paraId="62F1AE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（5）付款通知应在本保函有效期内到达的地址是：</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524656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受益人发出的书面付款通知应由其为鉴明受益人法定代表人（负责人）或授权代理人签字并加盖公章。</w:t>
      </w:r>
    </w:p>
    <w:p w14:paraId="2FA4E2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五、本保函项下的权利不得转让，不得设定担保。贵方未经我方书面同意转 让本保函或其项下任何权利，对我方不发生法律效力。 </w:t>
      </w:r>
    </w:p>
    <w:p w14:paraId="164527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六、与本保函有关的基础合同不成立、不生效、无效、被撤销、被解除，不影响本保函的独立有效。 </w:t>
      </w:r>
    </w:p>
    <w:p w14:paraId="36E33B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7FAA57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八、本保函适用的法律为中华人民共和国法律，争议裁判管辖地为中华人民共和国</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14:paraId="60AAB9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九、本保函自我方法定代表人</w:t>
      </w:r>
      <w:bookmarkStart w:id="2193" w:name="_Hlk58487855"/>
      <w:r>
        <w:rPr>
          <w:rFonts w:hint="eastAsia" w:ascii="宋体" w:hAnsi="宋体" w:eastAsia="宋体" w:cs="宋体"/>
          <w:kern w:val="2"/>
          <w:sz w:val="21"/>
          <w:szCs w:val="21"/>
          <w:lang w:val="en-US" w:eastAsia="zh-CN" w:bidi="ar"/>
        </w:rPr>
        <w:t>或授权代表</w:t>
      </w:r>
      <w:bookmarkEnd w:id="2193"/>
      <w:r>
        <w:rPr>
          <w:rFonts w:hint="eastAsia" w:ascii="宋体" w:hAnsi="宋体" w:eastAsia="宋体" w:cs="宋体"/>
          <w:kern w:val="2"/>
          <w:sz w:val="21"/>
          <w:szCs w:val="21"/>
          <w:lang w:val="en-US" w:eastAsia="zh-CN" w:bidi="ar"/>
        </w:rPr>
        <w:t xml:space="preserve">签字并加盖公章之日起生效。 </w:t>
      </w:r>
    </w:p>
    <w:p w14:paraId="5651D09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p>
    <w:p w14:paraId="5F9596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p>
    <w:p w14:paraId="6884F2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开 立 人：                              （公章） </w:t>
      </w:r>
    </w:p>
    <w:p w14:paraId="3EA74C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法定代表人（或授权代表）：               （签字） </w:t>
      </w:r>
    </w:p>
    <w:p w14:paraId="68F6C4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地    址：                                       </w:t>
      </w:r>
    </w:p>
    <w:p w14:paraId="2B13FA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邮政编码：                 </w:t>
      </w:r>
    </w:p>
    <w:p w14:paraId="4FDBDE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电    话：                 </w:t>
      </w:r>
    </w:p>
    <w:p w14:paraId="5C5D00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传    真：                 </w:t>
      </w:r>
    </w:p>
    <w:p w14:paraId="39B13B07">
      <w:pPr>
        <w:keepNext w:val="0"/>
        <w:keepLines w:val="0"/>
        <w:widowControl/>
        <w:suppressLineNumbers w:val="0"/>
        <w:ind w:firstLine="420" w:firstLineChars="200"/>
        <w:jc w:val="left"/>
      </w:pPr>
      <w:r>
        <w:rPr>
          <w:rFonts w:hint="eastAsia" w:ascii="宋体" w:hAnsi="宋体" w:eastAsia="宋体" w:cs="Times New Roman"/>
          <w:kern w:val="2"/>
          <w:sz w:val="21"/>
          <w:szCs w:val="21"/>
          <w:lang w:val="en-US" w:eastAsia="zh-CN" w:bidi="ar"/>
        </w:rPr>
        <w:t>开立时间：      年      月        日</w:t>
      </w:r>
    </w:p>
    <w:p w14:paraId="098F6C2A">
      <w:pPr>
        <w:spacing w:line="360" w:lineRule="auto"/>
        <w:ind w:right="150" w:firstLine="420" w:firstLineChars="200"/>
        <w:jc w:val="left"/>
        <w:rPr>
          <w:rFonts w:ascii="宋体" w:hAnsi="宋体"/>
          <w:szCs w:val="21"/>
        </w:rPr>
      </w:pPr>
    </w:p>
    <w:p w14:paraId="58975703">
      <w:pPr>
        <w:spacing w:before="120" w:beforeLines="50" w:after="120" w:afterLines="50" w:line="440" w:lineRule="exact"/>
        <w:jc w:val="left"/>
        <w:rPr>
          <w:rFonts w:eastAsia="黑体"/>
          <w:sz w:val="30"/>
          <w:szCs w:val="30"/>
        </w:rPr>
      </w:pPr>
      <w:r>
        <w:rPr>
          <w:rFonts w:eastAsia="仿宋_GB2312"/>
          <w:sz w:val="30"/>
          <w:szCs w:val="30"/>
        </w:rPr>
        <w:br w:type="page"/>
      </w:r>
      <w:r>
        <w:rPr>
          <w:rFonts w:ascii="宋体" w:hAnsi="宋体"/>
          <w:sz w:val="24"/>
        </w:rPr>
        <w:t>附</w:t>
      </w:r>
      <w:r>
        <w:rPr>
          <w:sz w:val="24"/>
        </w:rPr>
        <w:t>件11：</w:t>
      </w:r>
    </w:p>
    <w:p w14:paraId="15E42BF2">
      <w:pPr>
        <w:spacing w:before="120" w:beforeLines="50" w:after="120" w:afterLines="50" w:line="440" w:lineRule="exact"/>
        <w:jc w:val="center"/>
        <w:rPr>
          <w:rFonts w:eastAsia="黑体"/>
          <w:sz w:val="28"/>
          <w:szCs w:val="28"/>
        </w:rPr>
      </w:pPr>
      <w:r>
        <w:rPr>
          <w:rFonts w:eastAsia="黑体"/>
          <w:sz w:val="28"/>
          <w:szCs w:val="28"/>
        </w:rPr>
        <w:t>11-1：材料暂估价表</w:t>
      </w:r>
    </w:p>
    <w:tbl>
      <w:tblPr>
        <w:tblStyle w:val="1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1DDA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14:paraId="37255C0A">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序号</w:t>
            </w:r>
          </w:p>
        </w:tc>
        <w:tc>
          <w:tcPr>
            <w:tcW w:w="1984" w:type="dxa"/>
            <w:tcBorders>
              <w:top w:val="single" w:color="auto" w:sz="12" w:space="0"/>
              <w:bottom w:val="double" w:color="auto" w:sz="6" w:space="0"/>
            </w:tcBorders>
            <w:vAlign w:val="center"/>
          </w:tcPr>
          <w:p w14:paraId="2EB142F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名称</w:t>
            </w:r>
          </w:p>
        </w:tc>
        <w:tc>
          <w:tcPr>
            <w:tcW w:w="851" w:type="dxa"/>
            <w:tcBorders>
              <w:top w:val="single" w:color="auto" w:sz="12" w:space="0"/>
              <w:bottom w:val="double" w:color="auto" w:sz="6" w:space="0"/>
            </w:tcBorders>
            <w:vAlign w:val="center"/>
          </w:tcPr>
          <w:p w14:paraId="6AE346E1">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单位</w:t>
            </w:r>
          </w:p>
        </w:tc>
        <w:tc>
          <w:tcPr>
            <w:tcW w:w="774" w:type="dxa"/>
            <w:tcBorders>
              <w:top w:val="single" w:color="auto" w:sz="12" w:space="0"/>
              <w:bottom w:val="double" w:color="auto" w:sz="6" w:space="0"/>
            </w:tcBorders>
            <w:vAlign w:val="center"/>
          </w:tcPr>
          <w:p w14:paraId="3428F71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数量</w:t>
            </w:r>
          </w:p>
        </w:tc>
        <w:tc>
          <w:tcPr>
            <w:tcW w:w="1352" w:type="dxa"/>
            <w:tcBorders>
              <w:top w:val="single" w:color="auto" w:sz="12" w:space="0"/>
              <w:bottom w:val="double" w:color="auto" w:sz="6" w:space="0"/>
            </w:tcBorders>
            <w:vAlign w:val="center"/>
          </w:tcPr>
          <w:p w14:paraId="44B0E3AA">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单价</w:t>
            </w:r>
            <w:r>
              <w:rPr>
                <w:rFonts w:hint="eastAsia" w:ascii="宋体" w:hAnsi="宋体"/>
                <w:szCs w:val="21"/>
              </w:rPr>
              <w:t>（元）</w:t>
            </w:r>
          </w:p>
        </w:tc>
        <w:tc>
          <w:tcPr>
            <w:tcW w:w="1418" w:type="dxa"/>
            <w:tcBorders>
              <w:top w:val="single" w:color="auto" w:sz="12" w:space="0"/>
              <w:bottom w:val="double" w:color="auto" w:sz="6" w:space="0"/>
            </w:tcBorders>
            <w:vAlign w:val="center"/>
          </w:tcPr>
          <w:p w14:paraId="09E4CB22">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合价</w:t>
            </w:r>
            <w:r>
              <w:rPr>
                <w:rFonts w:hint="eastAsia" w:ascii="宋体" w:hAnsi="宋体"/>
                <w:szCs w:val="21"/>
              </w:rPr>
              <w:t>（元）</w:t>
            </w:r>
          </w:p>
        </w:tc>
        <w:tc>
          <w:tcPr>
            <w:tcW w:w="1701" w:type="dxa"/>
            <w:tcBorders>
              <w:top w:val="single" w:color="auto" w:sz="12" w:space="0"/>
              <w:bottom w:val="double" w:color="auto" w:sz="6" w:space="0"/>
            </w:tcBorders>
            <w:vAlign w:val="center"/>
          </w:tcPr>
          <w:p w14:paraId="4A29CCC6">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备注</w:t>
            </w:r>
          </w:p>
        </w:tc>
      </w:tr>
      <w:tr w14:paraId="55271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9A29DC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Borders>
              <w:top w:val="double" w:color="auto" w:sz="6" w:space="0"/>
              <w:bottom w:val="single" w:color="auto" w:sz="6" w:space="0"/>
            </w:tcBorders>
          </w:tcPr>
          <w:p w14:paraId="6078D42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Borders>
              <w:top w:val="double" w:color="auto" w:sz="6" w:space="0"/>
              <w:bottom w:val="single" w:color="auto" w:sz="6" w:space="0"/>
            </w:tcBorders>
          </w:tcPr>
          <w:p w14:paraId="034DC6C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Borders>
              <w:top w:val="double" w:color="auto" w:sz="6" w:space="0"/>
              <w:bottom w:val="single" w:color="auto" w:sz="6" w:space="0"/>
            </w:tcBorders>
          </w:tcPr>
          <w:p w14:paraId="1C5E5F4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Borders>
              <w:top w:val="double" w:color="auto" w:sz="6" w:space="0"/>
              <w:bottom w:val="single" w:color="auto" w:sz="6" w:space="0"/>
            </w:tcBorders>
          </w:tcPr>
          <w:p w14:paraId="6CB94BB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Borders>
              <w:top w:val="double" w:color="auto" w:sz="6" w:space="0"/>
              <w:bottom w:val="single" w:color="auto" w:sz="6" w:space="0"/>
            </w:tcBorders>
          </w:tcPr>
          <w:p w14:paraId="471D1BE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Borders>
              <w:top w:val="double" w:color="auto" w:sz="6" w:space="0"/>
              <w:bottom w:val="single" w:color="auto" w:sz="6" w:space="0"/>
            </w:tcBorders>
          </w:tcPr>
          <w:p w14:paraId="7E2494C0">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55032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4C5494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Borders>
              <w:top w:val="nil"/>
            </w:tcBorders>
          </w:tcPr>
          <w:p w14:paraId="5C19F9F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Borders>
              <w:top w:val="nil"/>
            </w:tcBorders>
          </w:tcPr>
          <w:p w14:paraId="564F1DA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Borders>
              <w:top w:val="nil"/>
            </w:tcBorders>
          </w:tcPr>
          <w:p w14:paraId="111F11A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Borders>
              <w:top w:val="nil"/>
            </w:tcBorders>
          </w:tcPr>
          <w:p w14:paraId="3E50DC2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Borders>
              <w:top w:val="nil"/>
            </w:tcBorders>
          </w:tcPr>
          <w:p w14:paraId="643DB76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Borders>
              <w:top w:val="nil"/>
            </w:tcBorders>
          </w:tcPr>
          <w:p w14:paraId="6B7DF0F9">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42C54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4EFCC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199DA75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2BAD9E3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A2CB7D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1D88DB8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2F8CF02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737415E9">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3128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4F72E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B8F0C9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84D42D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37B6B69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7385865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0FD3BB2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79F820BB">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68D7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F06C2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215989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38BAD46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AE5EB5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586008A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9BB79D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360AFD3F">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3D0C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7F043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AD3618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44BAF8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7FE3DC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1B926B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55AF29D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092E1356">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FDA9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772128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3109588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2198AD6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9A991F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0EC1FB5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649199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3472388">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4FB09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164E83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02A229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FE8A4B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C23B91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7E3B7AE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EB850B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3854866">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0772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5E228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CAF6AD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536BC3E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2CF41C7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3194E7D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B63754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0748DDB">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24D1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C6ED2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32197DF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0C6C64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503E86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44D28D0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5AA042E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DACD8E4">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0D58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32C57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4A8C13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8374EE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7B4965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05C3F5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2FA583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346B4C55">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1B14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27482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156C4A6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17AFE00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58315AC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5DD3205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0383700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1D36AAD8">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5F4AD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85280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496A5AC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2C6A1BB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3A6BCF8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2CC7520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0F19D2C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76C6DCF7">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3C0E1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FA17B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45D1D7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6255CF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212C97A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143438A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6DF60BD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707002D7">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AD4A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3C156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5F5B306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6266A2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EED42C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379662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15EAABF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58AB97CD">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183D3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B3D91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4C79D7A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5D9A96D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3B19E15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47ADB8F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C4E679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32753F9">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597D2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1EC7E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248D47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9A9706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95E652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3B3664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F0B26D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3D53A499">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329B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F5642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60D838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00A09D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289FD64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484238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0D40FAB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60467A10">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A672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8C318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483CC3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3232A20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C3896F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0928C02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ADD16B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6C871184">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5EF5B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67F17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314FA46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29E2DFE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45AAB2F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553ACB6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110D7C1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8201403">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64D7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F5AC2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767937E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B4AC90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5E0BD6A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7B52FF5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7138E7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BDDA102">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759A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33B7F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31EB4D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399336D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5A62A58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4CD0BD5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320A6D3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50BD812">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F3C0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3CAD2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35FA850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DE16EE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385E671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3D028D2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023C591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7948CDF">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bl>
    <w:p w14:paraId="1B556282">
      <w:pPr>
        <w:spacing w:before="120" w:beforeLines="50" w:after="120" w:afterLines="50" w:line="440" w:lineRule="exact"/>
        <w:rPr>
          <w:rFonts w:eastAsia="黑体"/>
          <w:sz w:val="30"/>
          <w:szCs w:val="30"/>
        </w:rPr>
      </w:pPr>
    </w:p>
    <w:p w14:paraId="4AE60DB7">
      <w:pPr>
        <w:spacing w:before="120" w:beforeLines="50" w:after="120" w:afterLines="50" w:line="440" w:lineRule="exact"/>
        <w:jc w:val="center"/>
        <w:rPr>
          <w:rFonts w:eastAsia="黑体"/>
          <w:sz w:val="28"/>
          <w:szCs w:val="28"/>
        </w:rPr>
      </w:pPr>
    </w:p>
    <w:p w14:paraId="668AE757">
      <w:pPr>
        <w:spacing w:before="120" w:beforeLines="50" w:after="120" w:afterLines="50" w:line="440" w:lineRule="exact"/>
        <w:jc w:val="center"/>
        <w:rPr>
          <w:rFonts w:eastAsia="黑体"/>
          <w:sz w:val="28"/>
          <w:szCs w:val="28"/>
        </w:rPr>
        <w:sectPr>
          <w:pgSz w:w="11906" w:h="16838"/>
          <w:pgMar w:top="1440" w:right="1797" w:bottom="1440" w:left="1797" w:header="851" w:footer="851" w:gutter="0"/>
          <w:cols w:space="720" w:num="1"/>
          <w:docGrid w:linePitch="312" w:charSpace="0"/>
        </w:sectPr>
      </w:pPr>
    </w:p>
    <w:p w14:paraId="44CC8A17">
      <w:pPr>
        <w:spacing w:before="120" w:beforeLines="50" w:after="120" w:afterLines="50" w:line="440" w:lineRule="exact"/>
        <w:jc w:val="center"/>
        <w:rPr>
          <w:rFonts w:eastAsia="黑体"/>
          <w:sz w:val="28"/>
          <w:szCs w:val="28"/>
        </w:rPr>
      </w:pPr>
      <w:r>
        <w:rPr>
          <w:sz w:val="24"/>
        </w:rPr>
        <w:t>11-2：</w:t>
      </w:r>
      <w:r>
        <w:rPr>
          <w:rFonts w:eastAsia="黑体"/>
          <w:sz w:val="28"/>
          <w:szCs w:val="28"/>
        </w:rPr>
        <w:t>工程设备暂估价表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52B1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14:paraId="738B1250">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序号</w:t>
            </w:r>
          </w:p>
        </w:tc>
        <w:tc>
          <w:tcPr>
            <w:tcW w:w="1984" w:type="dxa"/>
            <w:tcBorders>
              <w:top w:val="single" w:color="auto" w:sz="12" w:space="0"/>
              <w:bottom w:val="double" w:color="auto" w:sz="6" w:space="0"/>
            </w:tcBorders>
            <w:vAlign w:val="center"/>
          </w:tcPr>
          <w:p w14:paraId="7A8CDAA4">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名称</w:t>
            </w:r>
          </w:p>
        </w:tc>
        <w:tc>
          <w:tcPr>
            <w:tcW w:w="851" w:type="dxa"/>
            <w:tcBorders>
              <w:top w:val="single" w:color="auto" w:sz="12" w:space="0"/>
              <w:bottom w:val="double" w:color="auto" w:sz="6" w:space="0"/>
            </w:tcBorders>
            <w:vAlign w:val="center"/>
          </w:tcPr>
          <w:p w14:paraId="38A8E14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单位</w:t>
            </w:r>
          </w:p>
        </w:tc>
        <w:tc>
          <w:tcPr>
            <w:tcW w:w="774" w:type="dxa"/>
            <w:tcBorders>
              <w:top w:val="single" w:color="auto" w:sz="12" w:space="0"/>
              <w:bottom w:val="double" w:color="auto" w:sz="6" w:space="0"/>
            </w:tcBorders>
            <w:vAlign w:val="center"/>
          </w:tcPr>
          <w:p w14:paraId="77DB7058">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数量</w:t>
            </w:r>
          </w:p>
        </w:tc>
        <w:tc>
          <w:tcPr>
            <w:tcW w:w="1352" w:type="dxa"/>
            <w:tcBorders>
              <w:top w:val="single" w:color="auto" w:sz="12" w:space="0"/>
              <w:bottom w:val="double" w:color="auto" w:sz="6" w:space="0"/>
            </w:tcBorders>
            <w:vAlign w:val="center"/>
          </w:tcPr>
          <w:p w14:paraId="45B32919">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单价</w:t>
            </w:r>
            <w:r>
              <w:rPr>
                <w:rFonts w:hint="eastAsia" w:ascii="宋体" w:hAnsi="宋体"/>
                <w:szCs w:val="21"/>
              </w:rPr>
              <w:t>（元）</w:t>
            </w:r>
          </w:p>
        </w:tc>
        <w:tc>
          <w:tcPr>
            <w:tcW w:w="1418" w:type="dxa"/>
            <w:tcBorders>
              <w:top w:val="single" w:color="auto" w:sz="12" w:space="0"/>
              <w:bottom w:val="double" w:color="auto" w:sz="6" w:space="0"/>
            </w:tcBorders>
            <w:vAlign w:val="center"/>
          </w:tcPr>
          <w:p w14:paraId="587E411B">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合价</w:t>
            </w:r>
            <w:r>
              <w:rPr>
                <w:rFonts w:hint="eastAsia" w:ascii="宋体" w:hAnsi="宋体"/>
                <w:szCs w:val="21"/>
              </w:rPr>
              <w:t>（元）</w:t>
            </w:r>
          </w:p>
        </w:tc>
        <w:tc>
          <w:tcPr>
            <w:tcW w:w="1701" w:type="dxa"/>
            <w:tcBorders>
              <w:top w:val="single" w:color="auto" w:sz="12" w:space="0"/>
              <w:bottom w:val="double" w:color="auto" w:sz="6" w:space="0"/>
            </w:tcBorders>
            <w:vAlign w:val="center"/>
          </w:tcPr>
          <w:p w14:paraId="2FE3CD8C">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备注</w:t>
            </w:r>
          </w:p>
        </w:tc>
      </w:tr>
      <w:tr w14:paraId="4DCB2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0F1A51F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Borders>
              <w:top w:val="double" w:color="auto" w:sz="6" w:space="0"/>
              <w:bottom w:val="single" w:color="auto" w:sz="6" w:space="0"/>
            </w:tcBorders>
          </w:tcPr>
          <w:p w14:paraId="768CB8E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Borders>
              <w:top w:val="double" w:color="auto" w:sz="6" w:space="0"/>
              <w:bottom w:val="single" w:color="auto" w:sz="6" w:space="0"/>
            </w:tcBorders>
          </w:tcPr>
          <w:p w14:paraId="415BA6B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Borders>
              <w:top w:val="double" w:color="auto" w:sz="6" w:space="0"/>
              <w:bottom w:val="single" w:color="auto" w:sz="6" w:space="0"/>
            </w:tcBorders>
          </w:tcPr>
          <w:p w14:paraId="1B8C2D5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Borders>
              <w:top w:val="double" w:color="auto" w:sz="6" w:space="0"/>
              <w:bottom w:val="single" w:color="auto" w:sz="6" w:space="0"/>
            </w:tcBorders>
          </w:tcPr>
          <w:p w14:paraId="270141E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Borders>
              <w:top w:val="double" w:color="auto" w:sz="6" w:space="0"/>
              <w:bottom w:val="single" w:color="auto" w:sz="6" w:space="0"/>
            </w:tcBorders>
          </w:tcPr>
          <w:p w14:paraId="535EDF9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Borders>
              <w:top w:val="double" w:color="auto" w:sz="6" w:space="0"/>
              <w:bottom w:val="single" w:color="auto" w:sz="6" w:space="0"/>
            </w:tcBorders>
          </w:tcPr>
          <w:p w14:paraId="5DE3402F">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3023B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3B6E1A2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Borders>
              <w:top w:val="nil"/>
            </w:tcBorders>
          </w:tcPr>
          <w:p w14:paraId="7DECF60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Borders>
              <w:top w:val="nil"/>
            </w:tcBorders>
          </w:tcPr>
          <w:p w14:paraId="4D0C765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Borders>
              <w:top w:val="nil"/>
            </w:tcBorders>
          </w:tcPr>
          <w:p w14:paraId="5E25940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Borders>
              <w:top w:val="nil"/>
            </w:tcBorders>
          </w:tcPr>
          <w:p w14:paraId="32C7A66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Borders>
              <w:top w:val="nil"/>
            </w:tcBorders>
          </w:tcPr>
          <w:p w14:paraId="5506DF4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Borders>
              <w:top w:val="nil"/>
            </w:tcBorders>
          </w:tcPr>
          <w:p w14:paraId="0BFD1585">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7AAC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33D97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1F90665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A55E71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191744F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7B56989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6C5925D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88C81ED">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C4E2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2144C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706A0D5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EA0B62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D956EF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55AB30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6DC5C6A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116FF8CF">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68AA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0AA74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4D7627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30474C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3B0614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5B5BC3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4E010E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09E7942F">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42D9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CD51B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35BFFF4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C1C78E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5E6EF9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001B640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1D9AEEB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70A65EBB">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6B7C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E56A8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13D46CB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86F17D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4DBCC76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5B597BC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16CF3FF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A2406E3">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19548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B514D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9C2AFB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00BA81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55BE951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7FF937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14BFB4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101E6990">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E1DF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9FB0F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541AB38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9B2596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92FE80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542B9AA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22A9CAB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56FBB188">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312F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7FCDF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A1F2D2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14FC6DA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4B51407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026BE49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2224ECD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09ABD0C5">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2530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EA9D0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473569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7A062CB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31EAB64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5A6908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266A2BB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43D9920">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102F2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8705D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782FDAC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3ACA183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5B95B0D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3E8A055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FBD7FF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509E87D2">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47DCF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16E0D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57F6274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5A3DDC1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A1AEA7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0A7AD46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314B8FA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00E57673">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9F11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221EA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8C3CC8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0E8F56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165B0B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46E036C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5916DC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3A147D5F">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14CEA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A8F5F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1AFBF41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BA68C9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28E0F26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298169D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0930AB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04325BB">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C15A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BF1B8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3F2C29A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F11C76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2E6B191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0C2E5D0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CAAE56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54440CE2">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3D34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840C2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095C50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512B3FC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182F45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29CDB6A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4FFC08C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C9958A1">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EEDD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5A97F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6DEBEBB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56516A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0993A9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754FC6A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3FA980A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511E7850">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4ACDB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5F9D0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21A75A4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62D239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02AEEAA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39C9389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6A90C47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444EDAD5">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4269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F9998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4EC868D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0B6ECBC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502CFD9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3458329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DCA7C0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ED413DC">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63218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A3D5D7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1EE8705">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6896F8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D949E0D">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414BC81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01F6648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7F8D879A">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77CE3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7F9D4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05AC2D4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2C2879C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13191D3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62AB401A">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6860B650">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1C1A095">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AB67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82496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1F9B6EE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4CD9BAD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68C875A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375DB5F2">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76A4C98E">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D84355C">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20A60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A5E776">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587B22D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6B991E4">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11F02E9B">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45C9D548">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5D8679BC">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010125A3">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r w14:paraId="0A04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AE21EB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984" w:type="dxa"/>
          </w:tcPr>
          <w:p w14:paraId="4DC52287">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851" w:type="dxa"/>
          </w:tcPr>
          <w:p w14:paraId="6BD0E8C1">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774" w:type="dxa"/>
          </w:tcPr>
          <w:p w14:paraId="7B348E53">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352" w:type="dxa"/>
          </w:tcPr>
          <w:p w14:paraId="24BF78F9">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418" w:type="dxa"/>
          </w:tcPr>
          <w:p w14:paraId="52C11EAF">
            <w:pPr>
              <w:pStyle w:val="6"/>
              <w:keepNext/>
              <w:keepLines w:val="0"/>
              <w:suppressLineNumbers w:val="0"/>
              <w:spacing w:before="0" w:beforeAutospacing="0" w:after="0" w:afterAutospacing="0" w:line="440" w:lineRule="exact"/>
              <w:ind w:left="63" w:right="63"/>
              <w:rPr>
                <w:rFonts w:hint="default" w:eastAsia="仿宋_GB2312"/>
                <w:sz w:val="28"/>
                <w:szCs w:val="30"/>
              </w:rPr>
            </w:pPr>
          </w:p>
        </w:tc>
        <w:tc>
          <w:tcPr>
            <w:tcW w:w="1701" w:type="dxa"/>
          </w:tcPr>
          <w:p w14:paraId="2A1D9DA6">
            <w:pPr>
              <w:pStyle w:val="6"/>
              <w:keepNext/>
              <w:keepLines w:val="0"/>
              <w:suppressLineNumbers w:val="0"/>
              <w:spacing w:before="0" w:beforeAutospacing="0" w:after="0" w:afterAutospacing="0" w:line="440" w:lineRule="exact"/>
              <w:ind w:left="63" w:right="63"/>
              <w:rPr>
                <w:rFonts w:hint="default" w:eastAsia="仿宋_GB2312"/>
                <w:sz w:val="28"/>
                <w:szCs w:val="30"/>
              </w:rPr>
            </w:pPr>
          </w:p>
        </w:tc>
      </w:tr>
    </w:tbl>
    <w:p w14:paraId="1E034341">
      <w:pPr>
        <w:spacing w:line="440" w:lineRule="exact"/>
        <w:rPr>
          <w:rFonts w:eastAsia="仿宋_GB2312"/>
          <w:sz w:val="30"/>
          <w:szCs w:val="30"/>
        </w:rPr>
      </w:pPr>
    </w:p>
    <w:p w14:paraId="3C96E174">
      <w:pPr>
        <w:spacing w:before="120" w:beforeLines="50" w:after="120" w:afterLines="50" w:line="440" w:lineRule="exact"/>
        <w:jc w:val="center"/>
        <w:rPr>
          <w:rFonts w:eastAsia="黑体"/>
          <w:sz w:val="30"/>
          <w:szCs w:val="30"/>
        </w:rPr>
      </w:pPr>
      <w:r>
        <w:rPr>
          <w:rFonts w:eastAsia="仿宋_GB2312"/>
          <w:sz w:val="30"/>
          <w:szCs w:val="30"/>
        </w:rPr>
        <w:br w:type="page"/>
      </w:r>
      <w:r>
        <w:rPr>
          <w:sz w:val="24"/>
        </w:rPr>
        <w:t>11-3：</w:t>
      </w:r>
      <w:r>
        <w:rPr>
          <w:rFonts w:eastAsia="黑体"/>
          <w:sz w:val="28"/>
          <w:szCs w:val="28"/>
        </w:rPr>
        <w:t>专业工程暂估价表</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5BF1B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center"/>
          </w:tcPr>
          <w:p w14:paraId="1864C357">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序号</w:t>
            </w:r>
          </w:p>
        </w:tc>
        <w:tc>
          <w:tcPr>
            <w:tcW w:w="1984" w:type="dxa"/>
            <w:tcBorders>
              <w:top w:val="single" w:color="auto" w:sz="12" w:space="0"/>
              <w:bottom w:val="double" w:color="auto" w:sz="6" w:space="0"/>
            </w:tcBorders>
            <w:vAlign w:val="center"/>
          </w:tcPr>
          <w:p w14:paraId="39A1DB62">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专业工程名称</w:t>
            </w:r>
          </w:p>
        </w:tc>
        <w:tc>
          <w:tcPr>
            <w:tcW w:w="4678" w:type="dxa"/>
            <w:tcBorders>
              <w:top w:val="single" w:color="auto" w:sz="12" w:space="0"/>
              <w:bottom w:val="double" w:color="auto" w:sz="6" w:space="0"/>
            </w:tcBorders>
            <w:vAlign w:val="center"/>
          </w:tcPr>
          <w:p w14:paraId="1E7392CA">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工程内容</w:t>
            </w:r>
          </w:p>
        </w:tc>
        <w:tc>
          <w:tcPr>
            <w:tcW w:w="1276" w:type="dxa"/>
            <w:tcBorders>
              <w:top w:val="single" w:color="auto" w:sz="12" w:space="0"/>
              <w:bottom w:val="double" w:color="auto" w:sz="6" w:space="0"/>
            </w:tcBorders>
            <w:vAlign w:val="center"/>
          </w:tcPr>
          <w:p w14:paraId="3B5399FD">
            <w:pPr>
              <w:pStyle w:val="6"/>
              <w:keepNext/>
              <w:keepLines w:val="0"/>
              <w:suppressLineNumbers w:val="0"/>
              <w:spacing w:before="0" w:beforeAutospacing="0" w:after="0" w:afterAutospacing="0" w:line="440" w:lineRule="exact"/>
              <w:ind w:left="63" w:right="63"/>
              <w:jc w:val="center"/>
              <w:rPr>
                <w:rFonts w:hint="default" w:ascii="宋体" w:hAnsi="宋体"/>
                <w:szCs w:val="21"/>
              </w:rPr>
            </w:pPr>
            <w:r>
              <w:rPr>
                <w:rFonts w:hint="default" w:ascii="宋体" w:hAnsi="宋体"/>
                <w:szCs w:val="21"/>
              </w:rPr>
              <w:t>金额</w:t>
            </w:r>
          </w:p>
        </w:tc>
      </w:tr>
      <w:tr w14:paraId="5D327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508F19AC">
            <w:pPr>
              <w:pStyle w:val="6"/>
              <w:keepNext/>
              <w:keepLines w:val="0"/>
              <w:suppressLineNumbers w:val="0"/>
              <w:spacing w:before="0" w:beforeAutospacing="0" w:after="0" w:afterAutospacing="0" w:line="440" w:lineRule="exact"/>
              <w:ind w:left="63" w:right="63"/>
              <w:rPr>
                <w:rFonts w:hint="default"/>
                <w:szCs w:val="21"/>
              </w:rPr>
            </w:pPr>
          </w:p>
        </w:tc>
        <w:tc>
          <w:tcPr>
            <w:tcW w:w="1984" w:type="dxa"/>
            <w:tcBorders>
              <w:top w:val="double" w:color="auto" w:sz="6" w:space="0"/>
              <w:bottom w:val="single" w:color="auto" w:sz="6" w:space="0"/>
            </w:tcBorders>
          </w:tcPr>
          <w:p w14:paraId="00626F00">
            <w:pPr>
              <w:pStyle w:val="6"/>
              <w:keepNext/>
              <w:keepLines w:val="0"/>
              <w:suppressLineNumbers w:val="0"/>
              <w:spacing w:before="0" w:beforeAutospacing="0" w:after="0" w:afterAutospacing="0" w:line="440" w:lineRule="exact"/>
              <w:ind w:left="63" w:right="63"/>
              <w:rPr>
                <w:rFonts w:hint="default"/>
                <w:szCs w:val="21"/>
              </w:rPr>
            </w:pPr>
          </w:p>
        </w:tc>
        <w:tc>
          <w:tcPr>
            <w:tcW w:w="4678" w:type="dxa"/>
            <w:tcBorders>
              <w:top w:val="double" w:color="auto" w:sz="6" w:space="0"/>
              <w:bottom w:val="single" w:color="auto" w:sz="6" w:space="0"/>
            </w:tcBorders>
          </w:tcPr>
          <w:p w14:paraId="4C36D8FF">
            <w:pPr>
              <w:pStyle w:val="6"/>
              <w:keepNext/>
              <w:keepLines w:val="0"/>
              <w:suppressLineNumbers w:val="0"/>
              <w:spacing w:before="0" w:beforeAutospacing="0" w:after="0" w:afterAutospacing="0" w:line="440" w:lineRule="exact"/>
              <w:ind w:left="63" w:right="63"/>
              <w:rPr>
                <w:rFonts w:hint="default"/>
                <w:szCs w:val="21"/>
              </w:rPr>
            </w:pPr>
          </w:p>
        </w:tc>
        <w:tc>
          <w:tcPr>
            <w:tcW w:w="1276" w:type="dxa"/>
            <w:tcBorders>
              <w:top w:val="double" w:color="auto" w:sz="6" w:space="0"/>
              <w:bottom w:val="single" w:color="auto" w:sz="6" w:space="0"/>
            </w:tcBorders>
          </w:tcPr>
          <w:p w14:paraId="5379749C">
            <w:pPr>
              <w:pStyle w:val="6"/>
              <w:keepNext/>
              <w:keepLines w:val="0"/>
              <w:suppressLineNumbers w:val="0"/>
              <w:spacing w:before="0" w:beforeAutospacing="0" w:after="0" w:afterAutospacing="0" w:line="440" w:lineRule="exact"/>
              <w:ind w:left="63" w:right="63"/>
              <w:rPr>
                <w:rFonts w:hint="default"/>
                <w:szCs w:val="21"/>
              </w:rPr>
            </w:pPr>
          </w:p>
        </w:tc>
      </w:tr>
      <w:tr w14:paraId="3FD51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1BDDFFEA">
            <w:pPr>
              <w:pStyle w:val="6"/>
              <w:keepNext/>
              <w:keepLines w:val="0"/>
              <w:suppressLineNumbers w:val="0"/>
              <w:spacing w:before="0" w:beforeAutospacing="0" w:after="0" w:afterAutospacing="0" w:line="440" w:lineRule="exact"/>
              <w:ind w:left="63" w:right="63"/>
              <w:rPr>
                <w:rFonts w:hint="default"/>
                <w:szCs w:val="21"/>
              </w:rPr>
            </w:pPr>
          </w:p>
        </w:tc>
        <w:tc>
          <w:tcPr>
            <w:tcW w:w="1984" w:type="dxa"/>
            <w:tcBorders>
              <w:top w:val="nil"/>
            </w:tcBorders>
          </w:tcPr>
          <w:p w14:paraId="5C78A62B">
            <w:pPr>
              <w:pStyle w:val="6"/>
              <w:keepNext/>
              <w:keepLines w:val="0"/>
              <w:suppressLineNumbers w:val="0"/>
              <w:spacing w:before="0" w:beforeAutospacing="0" w:after="0" w:afterAutospacing="0" w:line="440" w:lineRule="exact"/>
              <w:ind w:left="63" w:right="63"/>
              <w:rPr>
                <w:rFonts w:hint="default"/>
                <w:szCs w:val="21"/>
              </w:rPr>
            </w:pPr>
          </w:p>
        </w:tc>
        <w:tc>
          <w:tcPr>
            <w:tcW w:w="4678" w:type="dxa"/>
            <w:tcBorders>
              <w:top w:val="nil"/>
            </w:tcBorders>
          </w:tcPr>
          <w:p w14:paraId="1BAE346F">
            <w:pPr>
              <w:pStyle w:val="6"/>
              <w:keepNext/>
              <w:keepLines w:val="0"/>
              <w:suppressLineNumbers w:val="0"/>
              <w:spacing w:before="0" w:beforeAutospacing="0" w:after="0" w:afterAutospacing="0" w:line="440" w:lineRule="exact"/>
              <w:ind w:left="63" w:right="63"/>
              <w:rPr>
                <w:rFonts w:hint="default"/>
                <w:szCs w:val="21"/>
              </w:rPr>
            </w:pPr>
          </w:p>
        </w:tc>
        <w:tc>
          <w:tcPr>
            <w:tcW w:w="1276" w:type="dxa"/>
            <w:tcBorders>
              <w:top w:val="nil"/>
            </w:tcBorders>
          </w:tcPr>
          <w:p w14:paraId="16620867">
            <w:pPr>
              <w:pStyle w:val="6"/>
              <w:keepNext/>
              <w:keepLines w:val="0"/>
              <w:suppressLineNumbers w:val="0"/>
              <w:spacing w:before="0" w:beforeAutospacing="0" w:after="0" w:afterAutospacing="0" w:line="440" w:lineRule="exact"/>
              <w:ind w:left="63" w:right="63"/>
              <w:rPr>
                <w:rFonts w:hint="default"/>
                <w:szCs w:val="21"/>
              </w:rPr>
            </w:pPr>
          </w:p>
        </w:tc>
      </w:tr>
      <w:tr w14:paraId="67346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14:paraId="6BC274CC">
            <w:pPr>
              <w:pStyle w:val="6"/>
              <w:keepNext/>
              <w:keepLines w:val="0"/>
              <w:suppressLineNumbers w:val="0"/>
              <w:spacing w:before="0" w:beforeAutospacing="0" w:after="0" w:afterAutospacing="0" w:line="440" w:lineRule="exact"/>
              <w:ind w:left="63" w:right="63"/>
              <w:rPr>
                <w:rFonts w:hint="default"/>
                <w:szCs w:val="21"/>
              </w:rPr>
            </w:pPr>
          </w:p>
        </w:tc>
        <w:tc>
          <w:tcPr>
            <w:tcW w:w="1984" w:type="dxa"/>
            <w:tcBorders>
              <w:top w:val="nil"/>
            </w:tcBorders>
          </w:tcPr>
          <w:p w14:paraId="62C10943">
            <w:pPr>
              <w:pStyle w:val="6"/>
              <w:keepNext/>
              <w:keepLines w:val="0"/>
              <w:suppressLineNumbers w:val="0"/>
              <w:spacing w:before="0" w:beforeAutospacing="0" w:after="0" w:afterAutospacing="0" w:line="440" w:lineRule="exact"/>
              <w:ind w:left="63" w:right="63"/>
              <w:rPr>
                <w:rFonts w:hint="default"/>
                <w:szCs w:val="21"/>
              </w:rPr>
            </w:pPr>
          </w:p>
        </w:tc>
        <w:tc>
          <w:tcPr>
            <w:tcW w:w="4678" w:type="dxa"/>
            <w:tcBorders>
              <w:top w:val="nil"/>
            </w:tcBorders>
          </w:tcPr>
          <w:p w14:paraId="288C7469">
            <w:pPr>
              <w:pStyle w:val="6"/>
              <w:keepNext/>
              <w:keepLines w:val="0"/>
              <w:suppressLineNumbers w:val="0"/>
              <w:spacing w:before="0" w:beforeAutospacing="0" w:after="0" w:afterAutospacing="0" w:line="440" w:lineRule="exact"/>
              <w:ind w:left="63" w:right="63"/>
              <w:rPr>
                <w:rFonts w:hint="default"/>
                <w:szCs w:val="21"/>
              </w:rPr>
            </w:pPr>
          </w:p>
        </w:tc>
        <w:tc>
          <w:tcPr>
            <w:tcW w:w="1276" w:type="dxa"/>
            <w:tcBorders>
              <w:top w:val="nil"/>
            </w:tcBorders>
          </w:tcPr>
          <w:p w14:paraId="46E0CE21">
            <w:pPr>
              <w:pStyle w:val="6"/>
              <w:keepNext/>
              <w:keepLines w:val="0"/>
              <w:suppressLineNumbers w:val="0"/>
              <w:spacing w:before="0" w:beforeAutospacing="0" w:after="0" w:afterAutospacing="0" w:line="440" w:lineRule="exact"/>
              <w:ind w:left="63" w:right="63"/>
              <w:rPr>
                <w:rFonts w:hint="default"/>
                <w:szCs w:val="21"/>
              </w:rPr>
            </w:pPr>
          </w:p>
        </w:tc>
      </w:tr>
      <w:tr w14:paraId="147B5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61C10ED">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0EE7DEC7">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1FA4204B">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21BF3423">
            <w:pPr>
              <w:pStyle w:val="6"/>
              <w:keepNext/>
              <w:keepLines w:val="0"/>
              <w:suppressLineNumbers w:val="0"/>
              <w:spacing w:before="0" w:beforeAutospacing="0" w:after="0" w:afterAutospacing="0" w:line="440" w:lineRule="exact"/>
              <w:ind w:left="63" w:right="63"/>
              <w:rPr>
                <w:rFonts w:hint="default"/>
                <w:szCs w:val="21"/>
              </w:rPr>
            </w:pPr>
          </w:p>
        </w:tc>
      </w:tr>
      <w:tr w14:paraId="031ED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0C1539C">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50F1A6AA">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180B2B4F">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24A60D66">
            <w:pPr>
              <w:pStyle w:val="6"/>
              <w:keepNext/>
              <w:keepLines w:val="0"/>
              <w:suppressLineNumbers w:val="0"/>
              <w:spacing w:before="0" w:beforeAutospacing="0" w:after="0" w:afterAutospacing="0" w:line="440" w:lineRule="exact"/>
              <w:ind w:left="63" w:right="63"/>
              <w:rPr>
                <w:rFonts w:hint="default"/>
                <w:szCs w:val="21"/>
              </w:rPr>
            </w:pPr>
          </w:p>
        </w:tc>
      </w:tr>
      <w:tr w14:paraId="6E14C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D7A8E28">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5A20F14C">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2ED63306">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1F9779E6">
            <w:pPr>
              <w:pStyle w:val="6"/>
              <w:keepNext/>
              <w:keepLines w:val="0"/>
              <w:suppressLineNumbers w:val="0"/>
              <w:spacing w:before="0" w:beforeAutospacing="0" w:after="0" w:afterAutospacing="0" w:line="440" w:lineRule="exact"/>
              <w:ind w:left="63" w:right="63"/>
              <w:rPr>
                <w:rFonts w:hint="default"/>
                <w:szCs w:val="21"/>
              </w:rPr>
            </w:pPr>
          </w:p>
        </w:tc>
      </w:tr>
      <w:tr w14:paraId="7B16C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3F12B928">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0A62BA97">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84B0F4A">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6B42602E">
            <w:pPr>
              <w:pStyle w:val="6"/>
              <w:keepNext/>
              <w:keepLines w:val="0"/>
              <w:suppressLineNumbers w:val="0"/>
              <w:spacing w:before="0" w:beforeAutospacing="0" w:after="0" w:afterAutospacing="0" w:line="440" w:lineRule="exact"/>
              <w:ind w:left="63" w:right="63"/>
              <w:rPr>
                <w:rFonts w:hint="default"/>
                <w:szCs w:val="21"/>
              </w:rPr>
            </w:pPr>
          </w:p>
        </w:tc>
      </w:tr>
      <w:tr w14:paraId="3E0DD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7BA5836D">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4DF9DC38">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E872659">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02D93EA9">
            <w:pPr>
              <w:pStyle w:val="6"/>
              <w:keepNext/>
              <w:keepLines w:val="0"/>
              <w:suppressLineNumbers w:val="0"/>
              <w:spacing w:before="0" w:beforeAutospacing="0" w:after="0" w:afterAutospacing="0" w:line="440" w:lineRule="exact"/>
              <w:ind w:left="63" w:right="63"/>
              <w:rPr>
                <w:rFonts w:hint="default"/>
                <w:szCs w:val="21"/>
              </w:rPr>
            </w:pPr>
          </w:p>
        </w:tc>
      </w:tr>
      <w:tr w14:paraId="43DFE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7C56C749">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5AB0F67A">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CF44516">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525016BA">
            <w:pPr>
              <w:pStyle w:val="6"/>
              <w:keepNext/>
              <w:keepLines w:val="0"/>
              <w:suppressLineNumbers w:val="0"/>
              <w:spacing w:before="0" w:beforeAutospacing="0" w:after="0" w:afterAutospacing="0" w:line="440" w:lineRule="exact"/>
              <w:ind w:left="63" w:right="63"/>
              <w:rPr>
                <w:rFonts w:hint="default"/>
                <w:szCs w:val="21"/>
              </w:rPr>
            </w:pPr>
          </w:p>
        </w:tc>
      </w:tr>
      <w:tr w14:paraId="490C4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38A2CB8">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12B17060">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6FBCADBB">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2C82CF72">
            <w:pPr>
              <w:pStyle w:val="6"/>
              <w:keepNext/>
              <w:keepLines w:val="0"/>
              <w:suppressLineNumbers w:val="0"/>
              <w:spacing w:before="0" w:beforeAutospacing="0" w:after="0" w:afterAutospacing="0" w:line="440" w:lineRule="exact"/>
              <w:ind w:left="63" w:right="63"/>
              <w:rPr>
                <w:rFonts w:hint="default"/>
                <w:szCs w:val="21"/>
              </w:rPr>
            </w:pPr>
          </w:p>
        </w:tc>
      </w:tr>
      <w:tr w14:paraId="6EB19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35305EC9">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2BE78633">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DA26B35">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5F6B9E71">
            <w:pPr>
              <w:pStyle w:val="6"/>
              <w:keepNext/>
              <w:keepLines w:val="0"/>
              <w:suppressLineNumbers w:val="0"/>
              <w:spacing w:before="0" w:beforeAutospacing="0" w:after="0" w:afterAutospacing="0" w:line="440" w:lineRule="exact"/>
              <w:ind w:left="63" w:right="63"/>
              <w:rPr>
                <w:rFonts w:hint="default"/>
                <w:szCs w:val="21"/>
              </w:rPr>
            </w:pPr>
          </w:p>
        </w:tc>
      </w:tr>
      <w:tr w14:paraId="1888F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A9EF02C">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61854F65">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15335E97">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483C49DE">
            <w:pPr>
              <w:pStyle w:val="6"/>
              <w:keepNext/>
              <w:keepLines w:val="0"/>
              <w:suppressLineNumbers w:val="0"/>
              <w:spacing w:before="0" w:beforeAutospacing="0" w:after="0" w:afterAutospacing="0" w:line="440" w:lineRule="exact"/>
              <w:ind w:left="63" w:right="63"/>
              <w:rPr>
                <w:rFonts w:hint="default"/>
                <w:szCs w:val="21"/>
              </w:rPr>
            </w:pPr>
          </w:p>
        </w:tc>
      </w:tr>
      <w:tr w14:paraId="17630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4139373">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75F142F4">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34D13A86">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72A11BE8">
            <w:pPr>
              <w:pStyle w:val="6"/>
              <w:keepNext/>
              <w:keepLines w:val="0"/>
              <w:suppressLineNumbers w:val="0"/>
              <w:spacing w:before="0" w:beforeAutospacing="0" w:after="0" w:afterAutospacing="0" w:line="440" w:lineRule="exact"/>
              <w:ind w:left="63" w:right="63"/>
              <w:rPr>
                <w:rFonts w:hint="default"/>
                <w:szCs w:val="21"/>
              </w:rPr>
            </w:pPr>
          </w:p>
        </w:tc>
      </w:tr>
      <w:tr w14:paraId="71DCB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87BFBA9">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54F30104">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67072874">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7E7874C9">
            <w:pPr>
              <w:pStyle w:val="6"/>
              <w:keepNext/>
              <w:keepLines w:val="0"/>
              <w:suppressLineNumbers w:val="0"/>
              <w:spacing w:before="0" w:beforeAutospacing="0" w:after="0" w:afterAutospacing="0" w:line="440" w:lineRule="exact"/>
              <w:ind w:left="63" w:right="63"/>
              <w:rPr>
                <w:rFonts w:hint="default"/>
                <w:szCs w:val="21"/>
              </w:rPr>
            </w:pPr>
          </w:p>
        </w:tc>
      </w:tr>
      <w:tr w14:paraId="4568E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D8C6403">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78FEDA7A">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AC61A14">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0970BC32">
            <w:pPr>
              <w:pStyle w:val="6"/>
              <w:keepNext/>
              <w:keepLines w:val="0"/>
              <w:suppressLineNumbers w:val="0"/>
              <w:spacing w:before="0" w:beforeAutospacing="0" w:after="0" w:afterAutospacing="0" w:line="440" w:lineRule="exact"/>
              <w:ind w:left="63" w:right="63"/>
              <w:rPr>
                <w:rFonts w:hint="default"/>
                <w:szCs w:val="21"/>
              </w:rPr>
            </w:pPr>
          </w:p>
        </w:tc>
      </w:tr>
      <w:tr w14:paraId="60FD5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F1985B5">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595D2AA6">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459BA7A">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34F63C98">
            <w:pPr>
              <w:pStyle w:val="6"/>
              <w:keepNext/>
              <w:keepLines w:val="0"/>
              <w:suppressLineNumbers w:val="0"/>
              <w:spacing w:before="0" w:beforeAutospacing="0" w:after="0" w:afterAutospacing="0" w:line="440" w:lineRule="exact"/>
              <w:ind w:left="63" w:right="63"/>
              <w:rPr>
                <w:rFonts w:hint="default"/>
                <w:szCs w:val="21"/>
              </w:rPr>
            </w:pPr>
          </w:p>
        </w:tc>
      </w:tr>
      <w:tr w14:paraId="1BBAC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2A64531E">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4457A47B">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1E111AE5">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5735A58F">
            <w:pPr>
              <w:pStyle w:val="6"/>
              <w:keepNext/>
              <w:keepLines w:val="0"/>
              <w:suppressLineNumbers w:val="0"/>
              <w:spacing w:before="0" w:beforeAutospacing="0" w:after="0" w:afterAutospacing="0" w:line="440" w:lineRule="exact"/>
              <w:ind w:left="63" w:right="63"/>
              <w:rPr>
                <w:rFonts w:hint="default"/>
                <w:szCs w:val="21"/>
              </w:rPr>
            </w:pPr>
          </w:p>
        </w:tc>
      </w:tr>
      <w:tr w14:paraId="4E981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2604EF9">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54D5495C">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4FE181FE">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44FFFFF6">
            <w:pPr>
              <w:pStyle w:val="6"/>
              <w:keepNext/>
              <w:keepLines w:val="0"/>
              <w:suppressLineNumbers w:val="0"/>
              <w:spacing w:before="0" w:beforeAutospacing="0" w:after="0" w:afterAutospacing="0" w:line="440" w:lineRule="exact"/>
              <w:ind w:left="63" w:right="63"/>
              <w:rPr>
                <w:rFonts w:hint="default"/>
                <w:szCs w:val="21"/>
              </w:rPr>
            </w:pPr>
          </w:p>
        </w:tc>
      </w:tr>
      <w:tr w14:paraId="45253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12D9076">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4F402D26">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7AE862A3">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56E4A073">
            <w:pPr>
              <w:pStyle w:val="6"/>
              <w:keepNext/>
              <w:keepLines w:val="0"/>
              <w:suppressLineNumbers w:val="0"/>
              <w:spacing w:before="0" w:beforeAutospacing="0" w:after="0" w:afterAutospacing="0" w:line="440" w:lineRule="exact"/>
              <w:ind w:left="63" w:right="63"/>
              <w:rPr>
                <w:rFonts w:hint="default"/>
                <w:szCs w:val="21"/>
              </w:rPr>
            </w:pPr>
          </w:p>
        </w:tc>
      </w:tr>
      <w:tr w14:paraId="53AB4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53D41229">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2610DC6F">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17AB107C">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1F37FCD4">
            <w:pPr>
              <w:pStyle w:val="6"/>
              <w:keepNext/>
              <w:keepLines w:val="0"/>
              <w:suppressLineNumbers w:val="0"/>
              <w:spacing w:before="0" w:beforeAutospacing="0" w:after="0" w:afterAutospacing="0" w:line="440" w:lineRule="exact"/>
              <w:ind w:left="63" w:right="63"/>
              <w:rPr>
                <w:rFonts w:hint="default"/>
                <w:szCs w:val="21"/>
              </w:rPr>
            </w:pPr>
          </w:p>
        </w:tc>
      </w:tr>
      <w:tr w14:paraId="59D4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678604F4">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24C6EB0C">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219F8B57">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2B680C7B">
            <w:pPr>
              <w:pStyle w:val="6"/>
              <w:keepNext/>
              <w:keepLines w:val="0"/>
              <w:suppressLineNumbers w:val="0"/>
              <w:spacing w:before="0" w:beforeAutospacing="0" w:after="0" w:afterAutospacing="0" w:line="440" w:lineRule="exact"/>
              <w:ind w:left="63" w:right="63"/>
              <w:rPr>
                <w:rFonts w:hint="default"/>
                <w:szCs w:val="21"/>
              </w:rPr>
            </w:pPr>
          </w:p>
        </w:tc>
      </w:tr>
      <w:tr w14:paraId="075A9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46599EF">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2AA55DC9">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2823BD26">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08D45D99">
            <w:pPr>
              <w:pStyle w:val="6"/>
              <w:keepNext/>
              <w:keepLines w:val="0"/>
              <w:suppressLineNumbers w:val="0"/>
              <w:spacing w:before="0" w:beforeAutospacing="0" w:after="0" w:afterAutospacing="0" w:line="440" w:lineRule="exact"/>
              <w:ind w:left="63" w:right="63"/>
              <w:rPr>
                <w:rFonts w:hint="default"/>
                <w:szCs w:val="21"/>
              </w:rPr>
            </w:pPr>
          </w:p>
        </w:tc>
      </w:tr>
      <w:tr w14:paraId="4A6B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A8BE2B7">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24A47F72">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3AB3ABE6">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6E153B33">
            <w:pPr>
              <w:pStyle w:val="6"/>
              <w:keepNext/>
              <w:keepLines w:val="0"/>
              <w:suppressLineNumbers w:val="0"/>
              <w:spacing w:before="0" w:beforeAutospacing="0" w:after="0" w:afterAutospacing="0" w:line="440" w:lineRule="exact"/>
              <w:ind w:left="63" w:right="63"/>
              <w:rPr>
                <w:rFonts w:hint="default"/>
                <w:szCs w:val="21"/>
              </w:rPr>
            </w:pPr>
          </w:p>
        </w:tc>
      </w:tr>
      <w:tr w14:paraId="56E58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E57D967">
            <w:pPr>
              <w:pStyle w:val="6"/>
              <w:keepNext/>
              <w:keepLines w:val="0"/>
              <w:suppressLineNumbers w:val="0"/>
              <w:spacing w:before="0" w:beforeAutospacing="0" w:after="0" w:afterAutospacing="0" w:line="440" w:lineRule="exact"/>
              <w:ind w:left="63" w:right="63"/>
              <w:rPr>
                <w:rFonts w:hint="default"/>
                <w:szCs w:val="21"/>
              </w:rPr>
            </w:pPr>
          </w:p>
        </w:tc>
        <w:tc>
          <w:tcPr>
            <w:tcW w:w="1984" w:type="dxa"/>
          </w:tcPr>
          <w:p w14:paraId="75E905B6">
            <w:pPr>
              <w:pStyle w:val="6"/>
              <w:keepNext/>
              <w:keepLines w:val="0"/>
              <w:suppressLineNumbers w:val="0"/>
              <w:spacing w:before="0" w:beforeAutospacing="0" w:after="0" w:afterAutospacing="0" w:line="440" w:lineRule="exact"/>
              <w:ind w:left="63" w:right="63"/>
              <w:rPr>
                <w:rFonts w:hint="default"/>
                <w:szCs w:val="21"/>
              </w:rPr>
            </w:pPr>
          </w:p>
        </w:tc>
        <w:tc>
          <w:tcPr>
            <w:tcW w:w="4678" w:type="dxa"/>
          </w:tcPr>
          <w:p w14:paraId="651581A2">
            <w:pPr>
              <w:pStyle w:val="6"/>
              <w:keepNext/>
              <w:keepLines w:val="0"/>
              <w:suppressLineNumbers w:val="0"/>
              <w:spacing w:before="0" w:beforeAutospacing="0" w:after="0" w:afterAutospacing="0" w:line="440" w:lineRule="exact"/>
              <w:ind w:left="63" w:right="63"/>
              <w:rPr>
                <w:rFonts w:hint="default"/>
                <w:szCs w:val="21"/>
              </w:rPr>
            </w:pPr>
          </w:p>
        </w:tc>
        <w:tc>
          <w:tcPr>
            <w:tcW w:w="1276" w:type="dxa"/>
          </w:tcPr>
          <w:p w14:paraId="0F2AA562">
            <w:pPr>
              <w:pStyle w:val="6"/>
              <w:keepNext/>
              <w:keepLines w:val="0"/>
              <w:suppressLineNumbers w:val="0"/>
              <w:spacing w:before="0" w:beforeAutospacing="0" w:after="0" w:afterAutospacing="0" w:line="440" w:lineRule="exact"/>
              <w:ind w:left="63" w:right="63"/>
              <w:rPr>
                <w:rFonts w:hint="default"/>
                <w:szCs w:val="21"/>
              </w:rPr>
            </w:pPr>
          </w:p>
        </w:tc>
      </w:tr>
      <w:tr w14:paraId="17369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5590F96F">
            <w:pPr>
              <w:pStyle w:val="6"/>
              <w:keepNext/>
              <w:keepLines w:val="0"/>
              <w:suppressLineNumbers w:val="0"/>
              <w:spacing w:before="0" w:beforeAutospacing="0" w:after="0" w:afterAutospacing="0" w:line="440" w:lineRule="exact"/>
              <w:ind w:left="63" w:right="63"/>
              <w:rPr>
                <w:rFonts w:hint="default"/>
                <w:szCs w:val="21"/>
              </w:rPr>
            </w:pPr>
            <w:r>
              <w:rPr>
                <w:rFonts w:hint="default" w:eastAsia="仿宋_GB2312"/>
                <w:sz w:val="28"/>
                <w:szCs w:val="30"/>
              </w:rPr>
              <w:t>小计：</w:t>
            </w:r>
          </w:p>
        </w:tc>
      </w:tr>
    </w:tbl>
    <w:p w14:paraId="7B6DBFC3"/>
    <w:p w14:paraId="6BC97C60">
      <w:pPr>
        <w:spacing w:line="320" w:lineRule="exact"/>
        <w:ind w:left="735" w:hanging="735" w:hangingChars="350"/>
      </w:pPr>
    </w:p>
    <w:p w14:paraId="44F3C81E">
      <w:pPr>
        <w:spacing w:line="420" w:lineRule="exact"/>
        <w:jc w:val="both"/>
        <w:sectPr>
          <w:pgSz w:w="11906" w:h="16838"/>
          <w:pgMar w:top="1440" w:right="1800" w:bottom="1440" w:left="1800" w:header="851" w:footer="992" w:gutter="0"/>
          <w:cols w:space="425" w:num="1"/>
          <w:docGrid w:type="lines" w:linePitch="312" w:charSpace="0"/>
        </w:sectPr>
      </w:pPr>
    </w:p>
    <w:p w14:paraId="28854F6C">
      <w:bookmarkStart w:id="2194" w:name="_Toc152264733"/>
    </w:p>
    <w:p w14:paraId="79BDFDBF"/>
    <w:p w14:paraId="2F0B88BB"/>
    <w:p w14:paraId="052A7473"/>
    <w:p w14:paraId="313FA51B"/>
    <w:p w14:paraId="26E8F377"/>
    <w:p w14:paraId="407A1748"/>
    <w:p w14:paraId="7905DE84"/>
    <w:p w14:paraId="52A2222E"/>
    <w:p w14:paraId="360A645C"/>
    <w:p w14:paraId="7363EE36"/>
    <w:p w14:paraId="07F9D305"/>
    <w:p w14:paraId="750AE40F"/>
    <w:p w14:paraId="68A543E3"/>
    <w:p w14:paraId="4E4A09A7"/>
    <w:p w14:paraId="117230E4">
      <w:pPr>
        <w:pStyle w:val="2"/>
        <w:spacing w:before="120" w:after="120" w:line="400" w:lineRule="exact"/>
        <w:jc w:val="center"/>
        <w:rPr>
          <w:rFonts w:hint="eastAsia" w:ascii="黑体" w:hAnsi="黑体" w:eastAsia="黑体"/>
          <w:b w:val="0"/>
          <w:bCs w:val="0"/>
          <w:sz w:val="32"/>
        </w:rPr>
      </w:pPr>
      <w:bookmarkStart w:id="2195" w:name="_Toc256000374"/>
      <w:r>
        <w:rPr>
          <w:rFonts w:hint="eastAsia" w:ascii="黑体" w:hAnsi="黑体" w:eastAsia="黑体"/>
          <w:b w:val="0"/>
          <w:bCs w:val="0"/>
          <w:sz w:val="32"/>
        </w:rPr>
        <w:t>第五章  工程量清单</w:t>
      </w:r>
      <w:bookmarkEnd w:id="2194"/>
      <w:bookmarkEnd w:id="2195"/>
    </w:p>
    <w:p w14:paraId="11F93329">
      <w:pPr>
        <w:spacing w:after="468" w:afterLines="150" w:line="380" w:lineRule="exact"/>
        <w:jc w:val="both"/>
        <w:rPr>
          <w:sz w:val="28"/>
          <w:szCs w:val="36"/>
        </w:rPr>
        <w:sectPr>
          <w:pgSz w:w="11906" w:h="16838"/>
          <w:pgMar w:top="1440" w:right="1800" w:bottom="1440" w:left="1800" w:header="851" w:footer="992" w:gutter="0"/>
          <w:cols w:space="425" w:num="1"/>
          <w:docGrid w:type="lines" w:linePitch="312" w:charSpace="0"/>
        </w:sectPr>
      </w:pPr>
    </w:p>
    <w:p w14:paraId="37810D6E">
      <w:pPr>
        <w:jc w:val="center"/>
        <w:rPr>
          <w:rFonts w:hint="eastAsia"/>
          <w:b/>
          <w:bCs/>
          <w:color w:val="FF0000"/>
          <w:sz w:val="44"/>
          <w:szCs w:val="40"/>
          <w:highlight w:val="yellow"/>
        </w:rPr>
      </w:pPr>
      <w:r>
        <w:rPr>
          <w:rFonts w:hint="eastAsia"/>
          <w:b/>
          <w:bCs/>
          <w:color w:val="FF0000"/>
          <w:sz w:val="44"/>
          <w:szCs w:val="40"/>
          <w:highlight w:val="none"/>
        </w:rPr>
        <w:t>工程量清单编制说明</w:t>
      </w:r>
    </w:p>
    <w:p w14:paraId="09F12A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cs="宋体"/>
          <w:b/>
          <w:bCs/>
          <w:color w:val="FF0000"/>
          <w:kern w:val="0"/>
          <w:sz w:val="28"/>
          <w:szCs w:val="28"/>
          <w:highlight w:val="yellow"/>
          <w:lang w:bidi="ar"/>
        </w:rPr>
      </w:pPr>
    </w:p>
    <w:p w14:paraId="7CF664A5">
      <w:pPr>
        <w:ind w:firstLine="643" w:firstLineChars="200"/>
        <w:rPr>
          <w:rFonts w:hint="eastAsia" w:ascii="宋体" w:hAnsi="宋体" w:eastAsia="宋体" w:cs="宋体"/>
          <w:color w:val="FF0000"/>
          <w:sz w:val="28"/>
          <w:szCs w:val="28"/>
          <w:highlight w:val="none"/>
        </w:rPr>
      </w:pPr>
      <w:r>
        <w:rPr>
          <w:rFonts w:hint="eastAsia" w:ascii="宋体" w:hAnsi="宋体" w:eastAsia="宋体" w:cs="宋体"/>
          <w:b/>
          <w:bCs/>
          <w:color w:val="FF0000"/>
          <w:sz w:val="32"/>
          <w:szCs w:val="32"/>
          <w:highlight w:val="none"/>
        </w:rPr>
        <w:t>一、工程概况</w:t>
      </w:r>
    </w:p>
    <w:p w14:paraId="4D01DE1F">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1.项目名称：</w:t>
      </w:r>
      <w:r>
        <w:rPr>
          <w:rFonts w:hint="eastAsia" w:ascii="宋体" w:hAnsi="宋体" w:eastAsia="宋体" w:cs="宋体"/>
          <w:color w:val="FF0000"/>
          <w:sz w:val="28"/>
          <w:szCs w:val="28"/>
          <w:highlight w:val="none"/>
          <w:lang w:eastAsia="zh-CN"/>
        </w:rPr>
        <w:t>营口市老边区滨洲佳园小区保障性住房棚改项目(经济适用房)项目收尾工程施工</w:t>
      </w:r>
    </w:p>
    <w:p w14:paraId="5061EA2C">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2.建设单位：</w:t>
      </w:r>
      <w:r>
        <w:rPr>
          <w:rFonts w:hint="eastAsia" w:ascii="宋体" w:hAnsi="宋体" w:eastAsia="宋体" w:cs="宋体"/>
          <w:color w:val="FF0000"/>
          <w:sz w:val="28"/>
          <w:szCs w:val="28"/>
          <w:highlight w:val="none"/>
          <w:lang w:eastAsia="zh-CN"/>
        </w:rPr>
        <w:t>营口市老边区城市建设投资发展有限公司</w:t>
      </w:r>
    </w:p>
    <w:p w14:paraId="71424D44">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3.建设地点：</w:t>
      </w:r>
      <w:r>
        <w:rPr>
          <w:rFonts w:hint="eastAsia" w:ascii="宋体" w:hAnsi="宋体" w:eastAsia="宋体" w:cs="宋体"/>
          <w:color w:val="FF0000"/>
          <w:sz w:val="28"/>
          <w:szCs w:val="28"/>
          <w:highlight w:val="none"/>
          <w:lang w:eastAsia="zh-CN"/>
        </w:rPr>
        <w:t>营口市老边区</w:t>
      </w:r>
    </w:p>
    <w:p w14:paraId="643DBAF5">
      <w:pPr>
        <w:ind w:firstLine="643" w:firstLineChars="200"/>
        <w:rPr>
          <w:rFonts w:hint="eastAsia" w:ascii="宋体" w:hAnsi="宋体" w:eastAsia="宋体" w:cs="宋体"/>
          <w:color w:val="FF0000"/>
          <w:sz w:val="28"/>
          <w:szCs w:val="28"/>
          <w:highlight w:val="none"/>
        </w:rPr>
      </w:pPr>
      <w:r>
        <w:rPr>
          <w:rFonts w:hint="eastAsia" w:ascii="宋体" w:hAnsi="宋体" w:eastAsia="宋体" w:cs="宋体"/>
          <w:b/>
          <w:bCs/>
          <w:color w:val="FF0000"/>
          <w:sz w:val="32"/>
          <w:szCs w:val="32"/>
          <w:highlight w:val="none"/>
        </w:rPr>
        <w:t>二、编制依据</w:t>
      </w:r>
    </w:p>
    <w:p w14:paraId="0F84DFE4">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1.工程量根据建设单位提供的施工图纸；</w:t>
      </w:r>
    </w:p>
    <w:p w14:paraId="0691CE47">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2.现场检测报告；</w:t>
      </w:r>
    </w:p>
    <w:p w14:paraId="7B0F3DBE">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3.参考老边区保障性住房滨州佳园小区(棚改项目)(一期5#地)结算审核资料；</w:t>
      </w:r>
    </w:p>
    <w:p w14:paraId="57F6E2B1">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4.建设单位提供的其它资料。</w:t>
      </w:r>
    </w:p>
    <w:p w14:paraId="5B49F155">
      <w:pPr>
        <w:ind w:firstLine="643" w:firstLineChars="200"/>
        <w:rPr>
          <w:rFonts w:hint="eastAsia" w:ascii="宋体" w:hAnsi="宋体" w:eastAsia="宋体" w:cs="宋体"/>
          <w:b/>
          <w:bCs/>
          <w:color w:val="FF0000"/>
          <w:sz w:val="32"/>
          <w:szCs w:val="32"/>
          <w:highlight w:val="none"/>
        </w:rPr>
      </w:pPr>
      <w:r>
        <w:rPr>
          <w:rFonts w:hint="eastAsia" w:ascii="宋体" w:hAnsi="宋体" w:eastAsia="宋体" w:cs="宋体"/>
          <w:b/>
          <w:bCs/>
          <w:color w:val="FF0000"/>
          <w:sz w:val="32"/>
          <w:szCs w:val="32"/>
          <w:highlight w:val="none"/>
        </w:rPr>
        <w:t>三、编制范围</w:t>
      </w:r>
    </w:p>
    <w:p w14:paraId="0EC4A04E">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本次编制范围：3#、4#、6#-11#单体楼剩余工程量、针对单体楼破损位置进行维修及“老边区滨州佳园小区一标段收尾工程”图纸内的所有内容，具体范围为：</w:t>
      </w:r>
    </w:p>
    <w:p w14:paraId="68F3A558">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1.3#、4#、6#-11#单体楼土建装饰工程包含原单体楼除现场已完成工程外设计图纸内剩余的工程量，具体内容为：室内墙面、地面、天棚、木门、栏杆、台阶、坡道面层等；</w:t>
      </w:r>
    </w:p>
    <w:p w14:paraId="493F0BB1">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2.3#、4#、6#-11#单体楼维修工程包含对破损屋面的拆除及修补占设计图纸面积的20%、屋面整体防水重新铺设，对破损外墙面的拆除及修补占设计图纸面积的20%,对未安窗框及未安玻璃的窗户进行安装，窗户五金件的安装、对变形破损的门窗进行修整、入户门处进行灌浆加固等均参考“营口市老边区5#地回迁楼3#、4#、6#-11#楼现有外墙保温系统、外窗及屋面防水工程现场检测”报告；</w:t>
      </w:r>
    </w:p>
    <w:p w14:paraId="1F138B56">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3.3#、4#、6#-11#单体楼水暖工程包含原单体楼除现场已完成工程外设计图纸内剩余的工程量，具体内容为：加压送风系统(仅3#、4#)、消火栓系统(管道+消火栓仅3#、4#、6#、7#、8#)、采暖系统(入户500管加阀门);</w:t>
      </w:r>
    </w:p>
    <w:p w14:paraId="2E167FC2">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4.3#、4#、6#-11#单体楼电气工程包含原单体楼除现场已完成工程外设计图纸内剩余的工程量，具体内容为：动力系统(电表箱后电线、穿线管)、照明系统(穿线管、电线、灯具开关、插座)、应急照明系统(穿线管、电线、灯具);</w:t>
      </w:r>
    </w:p>
    <w:p w14:paraId="24C0707A">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5.3#、4#、6#-11#单体楼消防电工程包含原单体楼除现场已完成工程外设计图纸内剩余的工程量，具体内容为：消防火灾报警(感烟、穿线管、线缆仅3#、4#)、消防干线系统(消防配电箱、穿线管、线缆仅3#、4#)、消防按钮报警系统(消防栓按钮、穿线管、线缆);</w:t>
      </w:r>
    </w:p>
    <w:p w14:paraId="5749C654">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6.园区内环境设计工程及1#自行车棚按“老边区滨州佳园小区一标段收尾工程”图纸内所有内容计算。</w:t>
      </w:r>
    </w:p>
    <w:p w14:paraId="41AA93E6">
      <w:pPr>
        <w:ind w:firstLine="643" w:firstLineChars="200"/>
        <w:rPr>
          <w:rFonts w:hint="eastAsia" w:ascii="宋体" w:hAnsi="宋体" w:eastAsia="宋体" w:cs="宋体"/>
          <w:color w:val="FF0000"/>
          <w:sz w:val="28"/>
          <w:szCs w:val="28"/>
          <w:highlight w:val="none"/>
        </w:rPr>
      </w:pPr>
      <w:r>
        <w:rPr>
          <w:rFonts w:hint="eastAsia" w:ascii="宋体" w:hAnsi="宋体" w:eastAsia="宋体" w:cs="宋体"/>
          <w:b/>
          <w:bCs/>
          <w:color w:val="FF0000"/>
          <w:sz w:val="32"/>
          <w:szCs w:val="32"/>
          <w:highlight w:val="none"/>
        </w:rPr>
        <w:t>四、编制说明</w:t>
      </w:r>
    </w:p>
    <w:p w14:paraId="735254BB">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1.工程量根据建设单位提供的施工图纸、现场检测报告；</w:t>
      </w:r>
    </w:p>
    <w:p w14:paraId="0D859525">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2.参考老边区保障性住房滨州佳园小区(棚改项目)(一期5#地)结算审核资料；</w:t>
      </w:r>
    </w:p>
    <w:p w14:paraId="5182DE67">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3.由于现场主楼需要维修，有一些隐蔽维修工程需要施工中才能发现以及安防系统机房设备暂未确定因此对这些不可见的工程内容按暂列金列出；</w:t>
      </w:r>
    </w:p>
    <w:p w14:paraId="38CF4CB3">
      <w:pPr>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4.本工程设计图纸不明确部分，以甲方要求为准。</w:t>
      </w:r>
    </w:p>
    <w:p w14:paraId="685E8441">
      <w:pPr>
        <w:rPr>
          <w:szCs w:val="21"/>
        </w:rPr>
      </w:pPr>
    </w:p>
    <w:p w14:paraId="14507007">
      <w:pPr>
        <w:rPr>
          <w:szCs w:val="21"/>
        </w:rPr>
      </w:pPr>
    </w:p>
    <w:p w14:paraId="50F84F18">
      <w:pPr>
        <w:rPr>
          <w:szCs w:val="21"/>
        </w:rPr>
      </w:pPr>
    </w:p>
    <w:p w14:paraId="40520E37">
      <w:pPr>
        <w:rPr>
          <w:szCs w:val="21"/>
        </w:rPr>
      </w:pPr>
    </w:p>
    <w:p w14:paraId="69C229C6">
      <w:pPr>
        <w:rPr>
          <w:szCs w:val="21"/>
        </w:rPr>
      </w:pPr>
    </w:p>
    <w:p w14:paraId="115B8648">
      <w:pPr>
        <w:rPr>
          <w:szCs w:val="21"/>
        </w:rPr>
      </w:pPr>
    </w:p>
    <w:p w14:paraId="6FC54A2E">
      <w:pPr>
        <w:rPr>
          <w:szCs w:val="21"/>
        </w:rPr>
      </w:pPr>
    </w:p>
    <w:p w14:paraId="186FD693">
      <w:pPr>
        <w:rPr>
          <w:szCs w:val="21"/>
        </w:rPr>
      </w:pPr>
    </w:p>
    <w:p w14:paraId="18284961">
      <w:pPr>
        <w:rPr>
          <w:szCs w:val="21"/>
        </w:rPr>
      </w:pPr>
    </w:p>
    <w:p w14:paraId="1B2A29E3">
      <w:pPr>
        <w:rPr>
          <w:szCs w:val="21"/>
        </w:rPr>
      </w:pPr>
    </w:p>
    <w:p w14:paraId="056FAFFB">
      <w:pPr>
        <w:rPr>
          <w:szCs w:val="21"/>
        </w:rPr>
      </w:pPr>
    </w:p>
    <w:p w14:paraId="7D622DAE">
      <w:pPr>
        <w:rPr>
          <w:rFonts w:hint="eastAsia"/>
          <w:szCs w:val="21"/>
        </w:rPr>
      </w:pPr>
    </w:p>
    <w:p w14:paraId="0DFE91C4">
      <w:pPr>
        <w:rPr>
          <w:rFonts w:hint="eastAsia"/>
          <w:szCs w:val="21"/>
        </w:rPr>
      </w:pPr>
    </w:p>
    <w:p w14:paraId="0D3E51AB">
      <w:pPr>
        <w:rPr>
          <w:rFonts w:hint="eastAsia"/>
          <w:szCs w:val="21"/>
        </w:rPr>
      </w:pPr>
    </w:p>
    <w:p w14:paraId="645382C1">
      <w:pPr>
        <w:rPr>
          <w:rFonts w:hint="eastAsia"/>
          <w:szCs w:val="21"/>
        </w:rPr>
      </w:pPr>
    </w:p>
    <w:p w14:paraId="41A0E4B1">
      <w:pPr>
        <w:rPr>
          <w:rFonts w:hint="eastAsia"/>
          <w:szCs w:val="21"/>
        </w:rPr>
      </w:pPr>
    </w:p>
    <w:p w14:paraId="4471A4A3">
      <w:pPr>
        <w:pStyle w:val="2"/>
        <w:spacing w:before="120" w:after="120" w:line="400" w:lineRule="exact"/>
        <w:jc w:val="center"/>
        <w:outlineLvl w:val="0"/>
        <w:rPr>
          <w:rFonts w:hint="eastAsia" w:ascii="黑体" w:hAnsi="黑体" w:eastAsia="黑体"/>
          <w:b w:val="0"/>
          <w:bCs w:val="0"/>
          <w:sz w:val="48"/>
          <w:szCs w:val="48"/>
        </w:rPr>
      </w:pPr>
      <w:bookmarkStart w:id="2196" w:name="_Toc256000375"/>
      <w:bookmarkStart w:id="2197" w:name="_Toc122603037"/>
    </w:p>
    <w:p w14:paraId="7640C235">
      <w:pPr>
        <w:pStyle w:val="2"/>
        <w:spacing w:before="120" w:after="120" w:line="400" w:lineRule="exact"/>
        <w:jc w:val="center"/>
        <w:outlineLvl w:val="0"/>
        <w:rPr>
          <w:rFonts w:hint="eastAsia" w:ascii="黑体" w:hAnsi="黑体" w:eastAsia="黑体"/>
          <w:b w:val="0"/>
          <w:bCs w:val="0"/>
          <w:sz w:val="48"/>
          <w:szCs w:val="48"/>
        </w:rPr>
      </w:pPr>
    </w:p>
    <w:p w14:paraId="59F0A715">
      <w:pPr>
        <w:pStyle w:val="2"/>
        <w:spacing w:before="120" w:after="120" w:line="400" w:lineRule="exact"/>
        <w:jc w:val="center"/>
        <w:outlineLvl w:val="0"/>
        <w:rPr>
          <w:rFonts w:hint="eastAsia" w:ascii="黑体" w:hAnsi="黑体" w:eastAsia="黑体"/>
          <w:b w:val="0"/>
          <w:bCs w:val="0"/>
          <w:sz w:val="48"/>
          <w:szCs w:val="48"/>
        </w:rPr>
      </w:pPr>
    </w:p>
    <w:p w14:paraId="03FA4F4E">
      <w:pPr>
        <w:pStyle w:val="2"/>
        <w:spacing w:before="120" w:after="120" w:line="400" w:lineRule="exact"/>
        <w:jc w:val="center"/>
        <w:outlineLvl w:val="0"/>
        <w:rPr>
          <w:rFonts w:hint="eastAsia" w:ascii="黑体" w:hAnsi="黑体" w:eastAsia="黑体"/>
          <w:b w:val="0"/>
          <w:bCs w:val="0"/>
          <w:sz w:val="48"/>
          <w:szCs w:val="48"/>
        </w:rPr>
      </w:pPr>
    </w:p>
    <w:p w14:paraId="63201BBD">
      <w:pPr>
        <w:pStyle w:val="2"/>
        <w:spacing w:before="120" w:after="120" w:line="400" w:lineRule="exact"/>
        <w:jc w:val="center"/>
        <w:outlineLvl w:val="0"/>
        <w:rPr>
          <w:rFonts w:hint="eastAsia" w:ascii="黑体" w:hAnsi="黑体" w:eastAsia="黑体"/>
          <w:b w:val="0"/>
          <w:bCs w:val="0"/>
          <w:sz w:val="48"/>
          <w:szCs w:val="48"/>
        </w:rPr>
      </w:pPr>
    </w:p>
    <w:p w14:paraId="2A17E631">
      <w:pPr>
        <w:pStyle w:val="2"/>
        <w:spacing w:before="120" w:after="120" w:line="400" w:lineRule="exact"/>
        <w:jc w:val="center"/>
        <w:outlineLvl w:val="0"/>
        <w:rPr>
          <w:rFonts w:hint="eastAsia" w:ascii="黑体" w:hAnsi="黑体" w:eastAsia="黑体"/>
          <w:b w:val="0"/>
          <w:bCs w:val="0"/>
          <w:sz w:val="48"/>
          <w:szCs w:val="48"/>
        </w:rPr>
      </w:pPr>
    </w:p>
    <w:p w14:paraId="3D627DA1">
      <w:pPr>
        <w:pStyle w:val="2"/>
        <w:spacing w:before="120" w:after="120" w:line="400" w:lineRule="exact"/>
        <w:jc w:val="center"/>
        <w:outlineLvl w:val="0"/>
        <w:rPr>
          <w:rFonts w:hint="eastAsia" w:ascii="黑体" w:hAnsi="黑体" w:eastAsia="黑体"/>
          <w:b w:val="0"/>
          <w:bCs w:val="0"/>
          <w:sz w:val="48"/>
          <w:szCs w:val="48"/>
        </w:rPr>
      </w:pPr>
    </w:p>
    <w:p w14:paraId="7FB28035">
      <w:pPr>
        <w:pStyle w:val="2"/>
        <w:spacing w:before="120" w:after="120" w:line="400" w:lineRule="exact"/>
        <w:jc w:val="center"/>
        <w:outlineLvl w:val="0"/>
        <w:rPr>
          <w:rFonts w:hint="eastAsia" w:ascii="黑体" w:hAnsi="黑体" w:eastAsia="黑体"/>
          <w:b w:val="0"/>
          <w:bCs w:val="0"/>
          <w:sz w:val="48"/>
          <w:szCs w:val="48"/>
        </w:rPr>
      </w:pPr>
    </w:p>
    <w:p w14:paraId="20796ED2">
      <w:pPr>
        <w:pStyle w:val="2"/>
        <w:spacing w:before="120" w:after="120" w:line="400" w:lineRule="exact"/>
        <w:jc w:val="center"/>
        <w:outlineLvl w:val="0"/>
        <w:rPr>
          <w:rFonts w:hint="eastAsia" w:ascii="黑体" w:hAnsi="黑体" w:eastAsia="黑体"/>
          <w:b w:val="0"/>
          <w:bCs w:val="0"/>
          <w:sz w:val="48"/>
          <w:szCs w:val="48"/>
        </w:rPr>
      </w:pPr>
    </w:p>
    <w:p w14:paraId="46BB37EA">
      <w:pPr>
        <w:pStyle w:val="2"/>
        <w:spacing w:before="120" w:after="120" w:line="400" w:lineRule="exact"/>
        <w:jc w:val="center"/>
        <w:outlineLvl w:val="0"/>
        <w:rPr>
          <w:rFonts w:hint="eastAsia" w:ascii="黑体" w:hAnsi="黑体" w:eastAsia="黑体"/>
          <w:b w:val="0"/>
          <w:bCs w:val="0"/>
          <w:sz w:val="48"/>
          <w:szCs w:val="48"/>
        </w:rPr>
      </w:pPr>
    </w:p>
    <w:p w14:paraId="078C123E">
      <w:pPr>
        <w:pStyle w:val="2"/>
        <w:spacing w:before="120" w:after="120" w:line="400" w:lineRule="exact"/>
        <w:jc w:val="center"/>
        <w:outlineLvl w:val="0"/>
        <w:rPr>
          <w:rFonts w:hint="eastAsia" w:ascii="黑体" w:hAnsi="黑体" w:eastAsia="黑体"/>
          <w:b w:val="0"/>
          <w:bCs w:val="0"/>
          <w:sz w:val="48"/>
          <w:szCs w:val="48"/>
        </w:rPr>
      </w:pPr>
    </w:p>
    <w:p w14:paraId="715A5A1D">
      <w:pPr>
        <w:pStyle w:val="2"/>
        <w:spacing w:before="120" w:after="120" w:line="400" w:lineRule="exact"/>
        <w:jc w:val="center"/>
        <w:outlineLvl w:val="0"/>
        <w:rPr>
          <w:rFonts w:hint="eastAsia" w:ascii="黑体" w:hAnsi="黑体" w:eastAsia="黑体"/>
          <w:b w:val="0"/>
          <w:bCs w:val="0"/>
          <w:sz w:val="48"/>
          <w:szCs w:val="48"/>
        </w:rPr>
      </w:pPr>
    </w:p>
    <w:p w14:paraId="39B08EE9">
      <w:pPr>
        <w:pStyle w:val="2"/>
        <w:spacing w:before="120" w:after="120" w:line="400" w:lineRule="exact"/>
        <w:jc w:val="center"/>
        <w:outlineLvl w:val="0"/>
        <w:rPr>
          <w:rFonts w:hint="eastAsia" w:ascii="黑体" w:hAnsi="黑体" w:eastAsia="黑体"/>
          <w:b w:val="0"/>
          <w:bCs w:val="0"/>
          <w:sz w:val="48"/>
          <w:szCs w:val="48"/>
        </w:rPr>
      </w:pPr>
      <w:r>
        <w:rPr>
          <w:rFonts w:hint="eastAsia" w:ascii="黑体" w:hAnsi="黑体" w:eastAsia="黑体"/>
          <w:b w:val="0"/>
          <w:bCs w:val="0"/>
          <w:sz w:val="48"/>
          <w:szCs w:val="48"/>
        </w:rPr>
        <w:t>第二卷</w:t>
      </w:r>
      <w:bookmarkEnd w:id="2196"/>
      <w:bookmarkEnd w:id="2197"/>
    </w:p>
    <w:p w14:paraId="0ACEC9C9">
      <w:pPr>
        <w:rPr>
          <w:rFonts w:hint="eastAsia" w:ascii="黑体" w:hAnsi="黑体" w:eastAsia="黑体"/>
          <w:b w:val="0"/>
          <w:bCs w:val="0"/>
          <w:sz w:val="48"/>
          <w:szCs w:val="48"/>
        </w:rPr>
      </w:pPr>
    </w:p>
    <w:p w14:paraId="1AA92E24">
      <w:pPr>
        <w:tabs>
          <w:tab w:val="left" w:pos="232"/>
        </w:tabs>
        <w:rPr>
          <w:rFonts w:hint="eastAsia" w:eastAsia="宋体"/>
          <w:lang w:eastAsia="zh-CN"/>
        </w:rPr>
        <w:sectPr>
          <w:pgSz w:w="11906" w:h="16838"/>
          <w:pgMar w:top="1440" w:right="1800" w:bottom="1440" w:left="1800" w:header="851" w:footer="992" w:gutter="0"/>
          <w:cols w:space="425" w:num="1"/>
          <w:docGrid w:type="lines" w:linePitch="312" w:charSpace="0"/>
        </w:sectPr>
      </w:pPr>
    </w:p>
    <w:p w14:paraId="046A2967">
      <w:pPr>
        <w:bidi w:val="0"/>
      </w:pPr>
      <w:bookmarkStart w:id="2198" w:name="_Toc152265814_1"/>
    </w:p>
    <w:p w14:paraId="6971C527">
      <w:pPr>
        <w:bidi w:val="0"/>
      </w:pPr>
    </w:p>
    <w:p w14:paraId="621D83CB">
      <w:pPr>
        <w:bidi w:val="0"/>
      </w:pPr>
    </w:p>
    <w:p w14:paraId="464D24D9">
      <w:pPr>
        <w:bidi w:val="0"/>
      </w:pPr>
    </w:p>
    <w:p w14:paraId="58284AEB">
      <w:pPr>
        <w:bidi w:val="0"/>
      </w:pPr>
    </w:p>
    <w:p w14:paraId="28462752">
      <w:pPr>
        <w:bidi w:val="0"/>
      </w:pPr>
    </w:p>
    <w:p w14:paraId="049DED44">
      <w:pPr>
        <w:bidi w:val="0"/>
      </w:pPr>
    </w:p>
    <w:p w14:paraId="068ABFC9">
      <w:pPr>
        <w:bidi w:val="0"/>
      </w:pPr>
    </w:p>
    <w:p w14:paraId="27432650">
      <w:pPr>
        <w:bidi w:val="0"/>
      </w:pPr>
    </w:p>
    <w:p w14:paraId="04CE4959">
      <w:pPr>
        <w:bidi w:val="0"/>
      </w:pPr>
    </w:p>
    <w:p w14:paraId="4D637085">
      <w:pPr>
        <w:bidi w:val="0"/>
      </w:pPr>
    </w:p>
    <w:p w14:paraId="0A8C6147">
      <w:pPr>
        <w:bidi w:val="0"/>
      </w:pPr>
    </w:p>
    <w:p w14:paraId="49183774">
      <w:pPr>
        <w:bidi w:val="0"/>
      </w:pPr>
    </w:p>
    <w:p w14:paraId="4A48BD50">
      <w:pPr>
        <w:bidi w:val="0"/>
      </w:pPr>
    </w:p>
    <w:p w14:paraId="212CAB08">
      <w:pPr>
        <w:bidi w:val="0"/>
      </w:pPr>
    </w:p>
    <w:p w14:paraId="5DBEFCD3">
      <w:pPr>
        <w:bidi w:val="0"/>
      </w:pPr>
    </w:p>
    <w:p w14:paraId="4C7DBA1F">
      <w:pPr>
        <w:pStyle w:val="2"/>
        <w:spacing w:before="120" w:after="120" w:line="400" w:lineRule="exact"/>
        <w:jc w:val="center"/>
        <w:rPr>
          <w:rFonts w:hint="eastAsia" w:eastAsia="黑体"/>
          <w:lang w:eastAsia="zh-CN"/>
        </w:rPr>
        <w:sectPr>
          <w:footerReference r:id="rId20" w:type="default"/>
          <w:pgSz w:w="11906" w:h="16838"/>
          <w:pgMar w:top="1440" w:right="1800" w:bottom="1440" w:left="1800" w:header="851" w:footer="992" w:gutter="0"/>
          <w:pgNumType w:fmt="decimal"/>
          <w:cols w:space="425" w:num="1"/>
          <w:docGrid w:type="lines" w:linePitch="312" w:charSpace="0"/>
        </w:sectPr>
      </w:pPr>
      <w:bookmarkStart w:id="2199" w:name="_Toc256000376"/>
      <w:r>
        <w:rPr>
          <w:rFonts w:ascii="黑体" w:hAnsi="黑体" w:eastAsia="黑体"/>
          <w:b w:val="0"/>
          <w:bCs w:val="0"/>
          <w:sz w:val="32"/>
        </w:rPr>
        <w:t>第</w:t>
      </w:r>
      <w:r>
        <w:rPr>
          <w:rFonts w:hint="eastAsia" w:ascii="黑体" w:hAnsi="黑体" w:eastAsia="黑体"/>
          <w:b w:val="0"/>
          <w:bCs w:val="0"/>
          <w:sz w:val="32"/>
          <w:lang w:val="en-US" w:eastAsia="zh-CN"/>
        </w:rPr>
        <w:t>六</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2198"/>
      <w:r>
        <w:rPr>
          <w:rFonts w:hint="eastAsia" w:ascii="黑体" w:hAnsi="黑体" w:eastAsia="黑体"/>
          <w:b w:val="0"/>
          <w:bCs w:val="0"/>
          <w:sz w:val="32"/>
          <w:lang w:val="en-US" w:eastAsia="zh-CN"/>
        </w:rPr>
        <w:t>图  纸</w:t>
      </w:r>
      <w:bookmarkEnd w:id="2199"/>
    </w:p>
    <w:p w14:paraId="0EEEB825">
      <w:pPr>
        <w:pStyle w:val="23"/>
        <w:rPr>
          <w:sz w:val="24"/>
          <w:szCs w:val="24"/>
        </w:rPr>
      </w:pPr>
      <w:bookmarkStart w:id="2200" w:name="_Toc173866992"/>
      <w:bookmarkStart w:id="2201" w:name="_Toc256000377"/>
      <w:r>
        <w:rPr>
          <w:rFonts w:hint="eastAsia"/>
          <w:sz w:val="24"/>
          <w:szCs w:val="24"/>
        </w:rPr>
        <w:t>1．图纸目录</w:t>
      </w:r>
      <w:bookmarkEnd w:id="2200"/>
      <w:bookmarkEnd w:id="220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4A63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8672E4D">
            <w:pPr>
              <w:jc w:val="center"/>
              <w:rPr>
                <w:rFonts w:hint="eastAsia" w:ascii="宋体" w:hAnsi="宋体"/>
                <w:szCs w:val="21"/>
              </w:rPr>
            </w:pPr>
            <w:r>
              <w:rPr>
                <w:rFonts w:hint="eastAsia" w:ascii="宋体" w:hAnsi="宋体"/>
                <w:szCs w:val="21"/>
              </w:rPr>
              <w:t>序号</w:t>
            </w:r>
          </w:p>
        </w:tc>
        <w:tc>
          <w:tcPr>
            <w:tcW w:w="1453" w:type="dxa"/>
            <w:vAlign w:val="center"/>
          </w:tcPr>
          <w:p w14:paraId="260F3815">
            <w:pPr>
              <w:jc w:val="center"/>
              <w:rPr>
                <w:rFonts w:hint="eastAsia" w:ascii="宋体" w:hAnsi="宋体"/>
                <w:szCs w:val="21"/>
              </w:rPr>
            </w:pPr>
            <w:r>
              <w:rPr>
                <w:rFonts w:hint="eastAsia" w:ascii="宋体" w:hAnsi="宋体"/>
                <w:szCs w:val="21"/>
              </w:rPr>
              <w:t>图名</w:t>
            </w:r>
          </w:p>
        </w:tc>
        <w:tc>
          <w:tcPr>
            <w:tcW w:w="1453" w:type="dxa"/>
            <w:vAlign w:val="center"/>
          </w:tcPr>
          <w:p w14:paraId="226D4E53">
            <w:pPr>
              <w:jc w:val="center"/>
              <w:rPr>
                <w:rFonts w:hint="eastAsia" w:ascii="宋体" w:hAnsi="宋体"/>
                <w:szCs w:val="21"/>
              </w:rPr>
            </w:pPr>
            <w:r>
              <w:rPr>
                <w:rFonts w:hint="eastAsia" w:ascii="宋体" w:hAnsi="宋体"/>
                <w:szCs w:val="21"/>
              </w:rPr>
              <w:t>图号</w:t>
            </w:r>
          </w:p>
        </w:tc>
        <w:tc>
          <w:tcPr>
            <w:tcW w:w="1453" w:type="dxa"/>
            <w:vAlign w:val="center"/>
          </w:tcPr>
          <w:p w14:paraId="6C760B04">
            <w:pPr>
              <w:jc w:val="center"/>
              <w:rPr>
                <w:rFonts w:hint="eastAsia" w:ascii="宋体" w:hAnsi="宋体"/>
                <w:szCs w:val="21"/>
              </w:rPr>
            </w:pPr>
            <w:r>
              <w:rPr>
                <w:rFonts w:hint="eastAsia" w:ascii="宋体" w:hAnsi="宋体"/>
                <w:szCs w:val="21"/>
              </w:rPr>
              <w:t>版本</w:t>
            </w:r>
          </w:p>
        </w:tc>
        <w:tc>
          <w:tcPr>
            <w:tcW w:w="1454" w:type="dxa"/>
            <w:vAlign w:val="center"/>
          </w:tcPr>
          <w:p w14:paraId="6B839610">
            <w:pPr>
              <w:jc w:val="center"/>
              <w:rPr>
                <w:rFonts w:hint="eastAsia" w:ascii="宋体" w:hAnsi="宋体"/>
                <w:szCs w:val="21"/>
              </w:rPr>
            </w:pPr>
            <w:r>
              <w:rPr>
                <w:rFonts w:hint="eastAsia" w:ascii="宋体" w:hAnsi="宋体"/>
                <w:szCs w:val="21"/>
              </w:rPr>
              <w:t>出图日期</w:t>
            </w:r>
          </w:p>
        </w:tc>
        <w:tc>
          <w:tcPr>
            <w:tcW w:w="1454" w:type="dxa"/>
            <w:vAlign w:val="center"/>
          </w:tcPr>
          <w:p w14:paraId="30B2B92A">
            <w:pPr>
              <w:jc w:val="center"/>
              <w:rPr>
                <w:rFonts w:hint="eastAsia" w:ascii="宋体" w:hAnsi="宋体"/>
                <w:szCs w:val="21"/>
              </w:rPr>
            </w:pPr>
            <w:r>
              <w:rPr>
                <w:rFonts w:hint="eastAsia" w:ascii="宋体" w:hAnsi="宋体"/>
                <w:szCs w:val="21"/>
              </w:rPr>
              <w:t>备注</w:t>
            </w:r>
          </w:p>
        </w:tc>
      </w:tr>
      <w:tr w14:paraId="7E74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F8FB998">
            <w:pPr>
              <w:jc w:val="center"/>
              <w:rPr>
                <w:rFonts w:hint="eastAsia" w:ascii="宋体" w:hAnsi="宋体"/>
                <w:szCs w:val="21"/>
              </w:rPr>
            </w:pPr>
          </w:p>
        </w:tc>
        <w:tc>
          <w:tcPr>
            <w:tcW w:w="1453" w:type="dxa"/>
            <w:vAlign w:val="center"/>
          </w:tcPr>
          <w:p w14:paraId="7D1A8813">
            <w:pPr>
              <w:jc w:val="center"/>
              <w:rPr>
                <w:rFonts w:hint="eastAsia" w:ascii="宋体" w:hAnsi="宋体"/>
                <w:szCs w:val="21"/>
              </w:rPr>
            </w:pPr>
          </w:p>
        </w:tc>
        <w:tc>
          <w:tcPr>
            <w:tcW w:w="1453" w:type="dxa"/>
            <w:vAlign w:val="center"/>
          </w:tcPr>
          <w:p w14:paraId="42F55FAD">
            <w:pPr>
              <w:jc w:val="center"/>
              <w:rPr>
                <w:rFonts w:hint="eastAsia" w:ascii="宋体" w:hAnsi="宋体"/>
                <w:szCs w:val="21"/>
              </w:rPr>
            </w:pPr>
          </w:p>
        </w:tc>
        <w:tc>
          <w:tcPr>
            <w:tcW w:w="1453" w:type="dxa"/>
            <w:vAlign w:val="center"/>
          </w:tcPr>
          <w:p w14:paraId="3966CB9A">
            <w:pPr>
              <w:jc w:val="center"/>
              <w:rPr>
                <w:rFonts w:hint="eastAsia" w:ascii="宋体" w:hAnsi="宋体"/>
                <w:szCs w:val="21"/>
              </w:rPr>
            </w:pPr>
          </w:p>
        </w:tc>
        <w:tc>
          <w:tcPr>
            <w:tcW w:w="1454" w:type="dxa"/>
            <w:vAlign w:val="center"/>
          </w:tcPr>
          <w:p w14:paraId="2F1D17BA">
            <w:pPr>
              <w:jc w:val="center"/>
              <w:rPr>
                <w:rFonts w:hint="eastAsia" w:ascii="宋体" w:hAnsi="宋体"/>
                <w:szCs w:val="21"/>
              </w:rPr>
            </w:pPr>
          </w:p>
        </w:tc>
        <w:tc>
          <w:tcPr>
            <w:tcW w:w="1454" w:type="dxa"/>
            <w:vAlign w:val="center"/>
          </w:tcPr>
          <w:p w14:paraId="4DB8D1AB">
            <w:pPr>
              <w:jc w:val="center"/>
              <w:rPr>
                <w:rFonts w:hint="eastAsia" w:ascii="宋体" w:hAnsi="宋体"/>
                <w:szCs w:val="21"/>
              </w:rPr>
            </w:pPr>
          </w:p>
        </w:tc>
      </w:tr>
      <w:tr w14:paraId="2E80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A8F5694">
            <w:pPr>
              <w:jc w:val="center"/>
              <w:rPr>
                <w:rFonts w:hint="eastAsia" w:ascii="宋体" w:hAnsi="宋体"/>
                <w:szCs w:val="21"/>
              </w:rPr>
            </w:pPr>
          </w:p>
        </w:tc>
        <w:tc>
          <w:tcPr>
            <w:tcW w:w="1453" w:type="dxa"/>
            <w:vAlign w:val="center"/>
          </w:tcPr>
          <w:p w14:paraId="41B21A13">
            <w:pPr>
              <w:jc w:val="center"/>
              <w:rPr>
                <w:rFonts w:hint="eastAsia" w:ascii="宋体" w:hAnsi="宋体"/>
                <w:szCs w:val="21"/>
              </w:rPr>
            </w:pPr>
          </w:p>
        </w:tc>
        <w:tc>
          <w:tcPr>
            <w:tcW w:w="1453" w:type="dxa"/>
            <w:vAlign w:val="center"/>
          </w:tcPr>
          <w:p w14:paraId="44993BD7">
            <w:pPr>
              <w:jc w:val="center"/>
              <w:rPr>
                <w:rFonts w:hint="eastAsia" w:ascii="宋体" w:hAnsi="宋体"/>
                <w:szCs w:val="21"/>
              </w:rPr>
            </w:pPr>
          </w:p>
        </w:tc>
        <w:tc>
          <w:tcPr>
            <w:tcW w:w="1453" w:type="dxa"/>
            <w:vAlign w:val="center"/>
          </w:tcPr>
          <w:p w14:paraId="231A270C">
            <w:pPr>
              <w:jc w:val="center"/>
              <w:rPr>
                <w:rFonts w:hint="eastAsia" w:ascii="宋体" w:hAnsi="宋体"/>
                <w:szCs w:val="21"/>
              </w:rPr>
            </w:pPr>
          </w:p>
        </w:tc>
        <w:tc>
          <w:tcPr>
            <w:tcW w:w="1454" w:type="dxa"/>
            <w:vAlign w:val="center"/>
          </w:tcPr>
          <w:p w14:paraId="3C0E2E4D">
            <w:pPr>
              <w:jc w:val="center"/>
              <w:rPr>
                <w:rFonts w:hint="eastAsia" w:ascii="宋体" w:hAnsi="宋体"/>
                <w:szCs w:val="21"/>
              </w:rPr>
            </w:pPr>
          </w:p>
        </w:tc>
        <w:tc>
          <w:tcPr>
            <w:tcW w:w="1454" w:type="dxa"/>
            <w:vAlign w:val="center"/>
          </w:tcPr>
          <w:p w14:paraId="0197B4B1">
            <w:pPr>
              <w:jc w:val="center"/>
              <w:rPr>
                <w:rFonts w:hint="eastAsia" w:ascii="宋体" w:hAnsi="宋体"/>
                <w:szCs w:val="21"/>
              </w:rPr>
            </w:pPr>
          </w:p>
        </w:tc>
      </w:tr>
      <w:tr w14:paraId="65C5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1323B02">
            <w:pPr>
              <w:jc w:val="center"/>
              <w:rPr>
                <w:rFonts w:hint="eastAsia" w:ascii="宋体" w:hAnsi="宋体"/>
                <w:szCs w:val="21"/>
              </w:rPr>
            </w:pPr>
          </w:p>
        </w:tc>
        <w:tc>
          <w:tcPr>
            <w:tcW w:w="1453" w:type="dxa"/>
            <w:vAlign w:val="center"/>
          </w:tcPr>
          <w:p w14:paraId="30E3E103">
            <w:pPr>
              <w:jc w:val="center"/>
              <w:rPr>
                <w:rFonts w:hint="eastAsia" w:ascii="宋体" w:hAnsi="宋体"/>
                <w:szCs w:val="21"/>
              </w:rPr>
            </w:pPr>
          </w:p>
        </w:tc>
        <w:tc>
          <w:tcPr>
            <w:tcW w:w="1453" w:type="dxa"/>
            <w:vAlign w:val="center"/>
          </w:tcPr>
          <w:p w14:paraId="749D93E1">
            <w:pPr>
              <w:jc w:val="center"/>
              <w:rPr>
                <w:rFonts w:hint="eastAsia" w:ascii="宋体" w:hAnsi="宋体"/>
                <w:szCs w:val="21"/>
              </w:rPr>
            </w:pPr>
          </w:p>
        </w:tc>
        <w:tc>
          <w:tcPr>
            <w:tcW w:w="1453" w:type="dxa"/>
            <w:vAlign w:val="center"/>
          </w:tcPr>
          <w:p w14:paraId="731FDFCA">
            <w:pPr>
              <w:jc w:val="center"/>
              <w:rPr>
                <w:rFonts w:hint="eastAsia" w:ascii="宋体" w:hAnsi="宋体"/>
                <w:szCs w:val="21"/>
              </w:rPr>
            </w:pPr>
          </w:p>
        </w:tc>
        <w:tc>
          <w:tcPr>
            <w:tcW w:w="1454" w:type="dxa"/>
            <w:vAlign w:val="center"/>
          </w:tcPr>
          <w:p w14:paraId="6794061B">
            <w:pPr>
              <w:jc w:val="center"/>
              <w:rPr>
                <w:rFonts w:hint="eastAsia" w:ascii="宋体" w:hAnsi="宋体"/>
                <w:szCs w:val="21"/>
              </w:rPr>
            </w:pPr>
          </w:p>
        </w:tc>
        <w:tc>
          <w:tcPr>
            <w:tcW w:w="1454" w:type="dxa"/>
            <w:vAlign w:val="center"/>
          </w:tcPr>
          <w:p w14:paraId="16554BDC">
            <w:pPr>
              <w:jc w:val="center"/>
              <w:rPr>
                <w:rFonts w:hint="eastAsia" w:ascii="宋体" w:hAnsi="宋体"/>
                <w:szCs w:val="21"/>
              </w:rPr>
            </w:pPr>
          </w:p>
        </w:tc>
      </w:tr>
      <w:tr w14:paraId="3A08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E308A6F">
            <w:pPr>
              <w:jc w:val="center"/>
              <w:rPr>
                <w:rFonts w:hint="eastAsia" w:ascii="宋体" w:hAnsi="宋体"/>
                <w:szCs w:val="21"/>
              </w:rPr>
            </w:pPr>
          </w:p>
        </w:tc>
        <w:tc>
          <w:tcPr>
            <w:tcW w:w="1453" w:type="dxa"/>
            <w:vAlign w:val="center"/>
          </w:tcPr>
          <w:p w14:paraId="1348C1DC">
            <w:pPr>
              <w:jc w:val="center"/>
              <w:rPr>
                <w:rFonts w:hint="eastAsia" w:ascii="宋体" w:hAnsi="宋体"/>
                <w:szCs w:val="21"/>
              </w:rPr>
            </w:pPr>
          </w:p>
        </w:tc>
        <w:tc>
          <w:tcPr>
            <w:tcW w:w="1453" w:type="dxa"/>
            <w:vAlign w:val="center"/>
          </w:tcPr>
          <w:p w14:paraId="75D4F1FB">
            <w:pPr>
              <w:jc w:val="center"/>
              <w:rPr>
                <w:rFonts w:hint="eastAsia" w:ascii="宋体" w:hAnsi="宋体"/>
                <w:szCs w:val="21"/>
              </w:rPr>
            </w:pPr>
          </w:p>
        </w:tc>
        <w:tc>
          <w:tcPr>
            <w:tcW w:w="1453" w:type="dxa"/>
            <w:vAlign w:val="center"/>
          </w:tcPr>
          <w:p w14:paraId="4DDF58C8">
            <w:pPr>
              <w:jc w:val="center"/>
              <w:rPr>
                <w:rFonts w:hint="eastAsia" w:ascii="宋体" w:hAnsi="宋体"/>
                <w:szCs w:val="21"/>
              </w:rPr>
            </w:pPr>
          </w:p>
        </w:tc>
        <w:tc>
          <w:tcPr>
            <w:tcW w:w="1454" w:type="dxa"/>
            <w:vAlign w:val="center"/>
          </w:tcPr>
          <w:p w14:paraId="6CBCE46F">
            <w:pPr>
              <w:jc w:val="center"/>
              <w:rPr>
                <w:rFonts w:hint="eastAsia" w:ascii="宋体" w:hAnsi="宋体"/>
                <w:szCs w:val="21"/>
              </w:rPr>
            </w:pPr>
          </w:p>
        </w:tc>
        <w:tc>
          <w:tcPr>
            <w:tcW w:w="1454" w:type="dxa"/>
            <w:vAlign w:val="center"/>
          </w:tcPr>
          <w:p w14:paraId="7908A827">
            <w:pPr>
              <w:jc w:val="center"/>
              <w:rPr>
                <w:rFonts w:hint="eastAsia" w:ascii="宋体" w:hAnsi="宋体"/>
                <w:szCs w:val="21"/>
              </w:rPr>
            </w:pPr>
          </w:p>
        </w:tc>
      </w:tr>
      <w:tr w14:paraId="410C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B2A2DE1">
            <w:pPr>
              <w:jc w:val="center"/>
              <w:rPr>
                <w:rFonts w:hint="eastAsia" w:ascii="宋体" w:hAnsi="宋体"/>
                <w:szCs w:val="21"/>
              </w:rPr>
            </w:pPr>
          </w:p>
        </w:tc>
        <w:tc>
          <w:tcPr>
            <w:tcW w:w="1453" w:type="dxa"/>
            <w:vAlign w:val="center"/>
          </w:tcPr>
          <w:p w14:paraId="4CF201E5">
            <w:pPr>
              <w:jc w:val="center"/>
              <w:rPr>
                <w:rFonts w:hint="eastAsia" w:ascii="宋体" w:hAnsi="宋体"/>
                <w:szCs w:val="21"/>
              </w:rPr>
            </w:pPr>
          </w:p>
        </w:tc>
        <w:tc>
          <w:tcPr>
            <w:tcW w:w="1453" w:type="dxa"/>
            <w:vAlign w:val="center"/>
          </w:tcPr>
          <w:p w14:paraId="36B368F7">
            <w:pPr>
              <w:jc w:val="center"/>
              <w:rPr>
                <w:rFonts w:hint="eastAsia" w:ascii="宋体" w:hAnsi="宋体"/>
                <w:szCs w:val="21"/>
              </w:rPr>
            </w:pPr>
          </w:p>
        </w:tc>
        <w:tc>
          <w:tcPr>
            <w:tcW w:w="1453" w:type="dxa"/>
            <w:vAlign w:val="center"/>
          </w:tcPr>
          <w:p w14:paraId="0B8ADE81">
            <w:pPr>
              <w:jc w:val="center"/>
              <w:rPr>
                <w:rFonts w:hint="eastAsia" w:ascii="宋体" w:hAnsi="宋体"/>
                <w:szCs w:val="21"/>
              </w:rPr>
            </w:pPr>
          </w:p>
        </w:tc>
        <w:tc>
          <w:tcPr>
            <w:tcW w:w="1454" w:type="dxa"/>
            <w:vAlign w:val="center"/>
          </w:tcPr>
          <w:p w14:paraId="501B3EB6">
            <w:pPr>
              <w:jc w:val="center"/>
              <w:rPr>
                <w:rFonts w:hint="eastAsia" w:ascii="宋体" w:hAnsi="宋体"/>
                <w:szCs w:val="21"/>
              </w:rPr>
            </w:pPr>
          </w:p>
        </w:tc>
        <w:tc>
          <w:tcPr>
            <w:tcW w:w="1454" w:type="dxa"/>
            <w:vAlign w:val="center"/>
          </w:tcPr>
          <w:p w14:paraId="59D5BB6C">
            <w:pPr>
              <w:jc w:val="center"/>
              <w:rPr>
                <w:rFonts w:hint="eastAsia" w:ascii="宋体" w:hAnsi="宋体"/>
                <w:szCs w:val="21"/>
              </w:rPr>
            </w:pPr>
          </w:p>
        </w:tc>
      </w:tr>
      <w:tr w14:paraId="1D6B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F5A3C16">
            <w:pPr>
              <w:jc w:val="center"/>
              <w:rPr>
                <w:rFonts w:hint="eastAsia" w:ascii="宋体" w:hAnsi="宋体"/>
                <w:szCs w:val="21"/>
              </w:rPr>
            </w:pPr>
          </w:p>
        </w:tc>
        <w:tc>
          <w:tcPr>
            <w:tcW w:w="1453" w:type="dxa"/>
            <w:vAlign w:val="center"/>
          </w:tcPr>
          <w:p w14:paraId="5D286919">
            <w:pPr>
              <w:jc w:val="center"/>
              <w:rPr>
                <w:rFonts w:hint="eastAsia" w:ascii="宋体" w:hAnsi="宋体"/>
                <w:szCs w:val="21"/>
              </w:rPr>
            </w:pPr>
          </w:p>
        </w:tc>
        <w:tc>
          <w:tcPr>
            <w:tcW w:w="1453" w:type="dxa"/>
            <w:vAlign w:val="center"/>
          </w:tcPr>
          <w:p w14:paraId="4F03689A">
            <w:pPr>
              <w:jc w:val="center"/>
              <w:rPr>
                <w:rFonts w:hint="eastAsia" w:ascii="宋体" w:hAnsi="宋体"/>
                <w:szCs w:val="21"/>
              </w:rPr>
            </w:pPr>
          </w:p>
        </w:tc>
        <w:tc>
          <w:tcPr>
            <w:tcW w:w="1453" w:type="dxa"/>
            <w:vAlign w:val="center"/>
          </w:tcPr>
          <w:p w14:paraId="51EEEFD8">
            <w:pPr>
              <w:jc w:val="center"/>
              <w:rPr>
                <w:rFonts w:hint="eastAsia" w:ascii="宋体" w:hAnsi="宋体"/>
                <w:szCs w:val="21"/>
              </w:rPr>
            </w:pPr>
          </w:p>
        </w:tc>
        <w:tc>
          <w:tcPr>
            <w:tcW w:w="1454" w:type="dxa"/>
            <w:vAlign w:val="center"/>
          </w:tcPr>
          <w:p w14:paraId="3E671D55">
            <w:pPr>
              <w:jc w:val="center"/>
              <w:rPr>
                <w:rFonts w:hint="eastAsia" w:ascii="宋体" w:hAnsi="宋体"/>
                <w:szCs w:val="21"/>
              </w:rPr>
            </w:pPr>
          </w:p>
        </w:tc>
        <w:tc>
          <w:tcPr>
            <w:tcW w:w="1454" w:type="dxa"/>
            <w:vAlign w:val="center"/>
          </w:tcPr>
          <w:p w14:paraId="02CCDE83">
            <w:pPr>
              <w:jc w:val="center"/>
              <w:rPr>
                <w:rFonts w:hint="eastAsia" w:ascii="宋体" w:hAnsi="宋体"/>
                <w:szCs w:val="21"/>
              </w:rPr>
            </w:pPr>
          </w:p>
        </w:tc>
      </w:tr>
      <w:tr w14:paraId="1CCA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53" w:type="dxa"/>
            <w:vAlign w:val="center"/>
          </w:tcPr>
          <w:p w14:paraId="73336A4A">
            <w:pPr>
              <w:jc w:val="center"/>
              <w:rPr>
                <w:rFonts w:hint="eastAsia" w:ascii="宋体" w:hAnsi="宋体"/>
                <w:szCs w:val="21"/>
              </w:rPr>
            </w:pPr>
          </w:p>
        </w:tc>
        <w:tc>
          <w:tcPr>
            <w:tcW w:w="1453" w:type="dxa"/>
            <w:vAlign w:val="center"/>
          </w:tcPr>
          <w:p w14:paraId="5A8065E9">
            <w:pPr>
              <w:jc w:val="center"/>
              <w:rPr>
                <w:rFonts w:hint="eastAsia" w:ascii="宋体" w:hAnsi="宋体"/>
                <w:szCs w:val="21"/>
              </w:rPr>
            </w:pPr>
          </w:p>
        </w:tc>
        <w:tc>
          <w:tcPr>
            <w:tcW w:w="1453" w:type="dxa"/>
            <w:vAlign w:val="center"/>
          </w:tcPr>
          <w:p w14:paraId="67B18782">
            <w:pPr>
              <w:jc w:val="center"/>
              <w:rPr>
                <w:rFonts w:hint="eastAsia" w:ascii="宋体" w:hAnsi="宋体"/>
                <w:szCs w:val="21"/>
              </w:rPr>
            </w:pPr>
          </w:p>
        </w:tc>
        <w:tc>
          <w:tcPr>
            <w:tcW w:w="1453" w:type="dxa"/>
            <w:vAlign w:val="center"/>
          </w:tcPr>
          <w:p w14:paraId="13131D54">
            <w:pPr>
              <w:jc w:val="center"/>
              <w:rPr>
                <w:rFonts w:hint="eastAsia" w:ascii="宋体" w:hAnsi="宋体"/>
                <w:szCs w:val="21"/>
              </w:rPr>
            </w:pPr>
          </w:p>
        </w:tc>
        <w:tc>
          <w:tcPr>
            <w:tcW w:w="1454" w:type="dxa"/>
            <w:vAlign w:val="center"/>
          </w:tcPr>
          <w:p w14:paraId="281CA69C">
            <w:pPr>
              <w:jc w:val="center"/>
              <w:rPr>
                <w:rFonts w:hint="eastAsia" w:ascii="宋体" w:hAnsi="宋体"/>
                <w:szCs w:val="21"/>
              </w:rPr>
            </w:pPr>
          </w:p>
        </w:tc>
        <w:tc>
          <w:tcPr>
            <w:tcW w:w="1454" w:type="dxa"/>
            <w:vAlign w:val="center"/>
          </w:tcPr>
          <w:p w14:paraId="7483F9E2">
            <w:pPr>
              <w:jc w:val="center"/>
              <w:rPr>
                <w:rFonts w:hint="eastAsia" w:ascii="宋体" w:hAnsi="宋体"/>
                <w:szCs w:val="21"/>
              </w:rPr>
            </w:pPr>
          </w:p>
        </w:tc>
      </w:tr>
      <w:tr w14:paraId="5A55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D9DB78C">
            <w:pPr>
              <w:jc w:val="center"/>
              <w:rPr>
                <w:rFonts w:hint="eastAsia" w:ascii="宋体" w:hAnsi="宋体"/>
                <w:szCs w:val="21"/>
              </w:rPr>
            </w:pPr>
          </w:p>
        </w:tc>
        <w:tc>
          <w:tcPr>
            <w:tcW w:w="1453" w:type="dxa"/>
            <w:vAlign w:val="center"/>
          </w:tcPr>
          <w:p w14:paraId="47F5E086">
            <w:pPr>
              <w:jc w:val="center"/>
              <w:rPr>
                <w:rFonts w:hint="eastAsia" w:ascii="宋体" w:hAnsi="宋体"/>
                <w:szCs w:val="21"/>
              </w:rPr>
            </w:pPr>
          </w:p>
        </w:tc>
        <w:tc>
          <w:tcPr>
            <w:tcW w:w="1453" w:type="dxa"/>
            <w:vAlign w:val="center"/>
          </w:tcPr>
          <w:p w14:paraId="2C98212D">
            <w:pPr>
              <w:jc w:val="center"/>
              <w:rPr>
                <w:rFonts w:hint="eastAsia" w:ascii="宋体" w:hAnsi="宋体"/>
                <w:szCs w:val="21"/>
              </w:rPr>
            </w:pPr>
          </w:p>
        </w:tc>
        <w:tc>
          <w:tcPr>
            <w:tcW w:w="1453" w:type="dxa"/>
            <w:vAlign w:val="center"/>
          </w:tcPr>
          <w:p w14:paraId="371A6FC6">
            <w:pPr>
              <w:jc w:val="center"/>
              <w:rPr>
                <w:rFonts w:hint="eastAsia" w:ascii="宋体" w:hAnsi="宋体"/>
                <w:szCs w:val="21"/>
              </w:rPr>
            </w:pPr>
          </w:p>
        </w:tc>
        <w:tc>
          <w:tcPr>
            <w:tcW w:w="1454" w:type="dxa"/>
            <w:vAlign w:val="center"/>
          </w:tcPr>
          <w:p w14:paraId="29075D6E">
            <w:pPr>
              <w:jc w:val="center"/>
              <w:rPr>
                <w:rFonts w:hint="eastAsia" w:ascii="宋体" w:hAnsi="宋体"/>
                <w:szCs w:val="21"/>
              </w:rPr>
            </w:pPr>
          </w:p>
        </w:tc>
        <w:tc>
          <w:tcPr>
            <w:tcW w:w="1454" w:type="dxa"/>
            <w:vAlign w:val="center"/>
          </w:tcPr>
          <w:p w14:paraId="56061C72">
            <w:pPr>
              <w:jc w:val="center"/>
              <w:rPr>
                <w:rFonts w:hint="eastAsia" w:ascii="宋体" w:hAnsi="宋体"/>
                <w:szCs w:val="21"/>
              </w:rPr>
            </w:pPr>
          </w:p>
        </w:tc>
      </w:tr>
      <w:tr w14:paraId="56B5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821310D">
            <w:pPr>
              <w:jc w:val="center"/>
              <w:rPr>
                <w:rFonts w:hint="eastAsia" w:ascii="宋体" w:hAnsi="宋体"/>
                <w:szCs w:val="21"/>
              </w:rPr>
            </w:pPr>
          </w:p>
        </w:tc>
        <w:tc>
          <w:tcPr>
            <w:tcW w:w="1453" w:type="dxa"/>
            <w:vAlign w:val="center"/>
          </w:tcPr>
          <w:p w14:paraId="4665CC11">
            <w:pPr>
              <w:jc w:val="center"/>
              <w:rPr>
                <w:rFonts w:hint="eastAsia" w:ascii="宋体" w:hAnsi="宋体"/>
                <w:szCs w:val="21"/>
              </w:rPr>
            </w:pPr>
          </w:p>
        </w:tc>
        <w:tc>
          <w:tcPr>
            <w:tcW w:w="1453" w:type="dxa"/>
            <w:vAlign w:val="center"/>
          </w:tcPr>
          <w:p w14:paraId="262E6F36">
            <w:pPr>
              <w:jc w:val="center"/>
              <w:rPr>
                <w:rFonts w:hint="eastAsia" w:ascii="宋体" w:hAnsi="宋体"/>
                <w:szCs w:val="21"/>
              </w:rPr>
            </w:pPr>
          </w:p>
        </w:tc>
        <w:tc>
          <w:tcPr>
            <w:tcW w:w="1453" w:type="dxa"/>
            <w:vAlign w:val="center"/>
          </w:tcPr>
          <w:p w14:paraId="611E405C">
            <w:pPr>
              <w:jc w:val="center"/>
              <w:rPr>
                <w:rFonts w:hint="eastAsia" w:ascii="宋体" w:hAnsi="宋体"/>
                <w:szCs w:val="21"/>
              </w:rPr>
            </w:pPr>
          </w:p>
        </w:tc>
        <w:tc>
          <w:tcPr>
            <w:tcW w:w="1454" w:type="dxa"/>
            <w:vAlign w:val="center"/>
          </w:tcPr>
          <w:p w14:paraId="21904AA0">
            <w:pPr>
              <w:jc w:val="center"/>
              <w:rPr>
                <w:rFonts w:hint="eastAsia" w:ascii="宋体" w:hAnsi="宋体"/>
                <w:szCs w:val="21"/>
              </w:rPr>
            </w:pPr>
          </w:p>
        </w:tc>
        <w:tc>
          <w:tcPr>
            <w:tcW w:w="1454" w:type="dxa"/>
            <w:vAlign w:val="center"/>
          </w:tcPr>
          <w:p w14:paraId="57BAB28C">
            <w:pPr>
              <w:jc w:val="center"/>
              <w:rPr>
                <w:rFonts w:hint="eastAsia" w:ascii="宋体" w:hAnsi="宋体"/>
                <w:szCs w:val="21"/>
              </w:rPr>
            </w:pPr>
          </w:p>
        </w:tc>
      </w:tr>
      <w:tr w14:paraId="6C6D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63E9F77">
            <w:pPr>
              <w:jc w:val="center"/>
              <w:rPr>
                <w:rFonts w:hint="eastAsia" w:ascii="宋体" w:hAnsi="宋体"/>
                <w:szCs w:val="21"/>
              </w:rPr>
            </w:pPr>
          </w:p>
        </w:tc>
        <w:tc>
          <w:tcPr>
            <w:tcW w:w="1453" w:type="dxa"/>
            <w:vAlign w:val="center"/>
          </w:tcPr>
          <w:p w14:paraId="19E698D2">
            <w:pPr>
              <w:jc w:val="center"/>
              <w:rPr>
                <w:rFonts w:hint="eastAsia" w:ascii="宋体" w:hAnsi="宋体"/>
                <w:szCs w:val="21"/>
              </w:rPr>
            </w:pPr>
          </w:p>
        </w:tc>
        <w:tc>
          <w:tcPr>
            <w:tcW w:w="1453" w:type="dxa"/>
            <w:vAlign w:val="center"/>
          </w:tcPr>
          <w:p w14:paraId="7EEA1824">
            <w:pPr>
              <w:jc w:val="center"/>
              <w:rPr>
                <w:rFonts w:hint="eastAsia" w:ascii="宋体" w:hAnsi="宋体"/>
                <w:szCs w:val="21"/>
              </w:rPr>
            </w:pPr>
          </w:p>
        </w:tc>
        <w:tc>
          <w:tcPr>
            <w:tcW w:w="1453" w:type="dxa"/>
            <w:vAlign w:val="center"/>
          </w:tcPr>
          <w:p w14:paraId="741F9A3A">
            <w:pPr>
              <w:jc w:val="center"/>
              <w:rPr>
                <w:rFonts w:hint="eastAsia" w:ascii="宋体" w:hAnsi="宋体"/>
                <w:szCs w:val="21"/>
              </w:rPr>
            </w:pPr>
          </w:p>
        </w:tc>
        <w:tc>
          <w:tcPr>
            <w:tcW w:w="1454" w:type="dxa"/>
            <w:vAlign w:val="center"/>
          </w:tcPr>
          <w:p w14:paraId="3390F507">
            <w:pPr>
              <w:jc w:val="center"/>
              <w:rPr>
                <w:rFonts w:hint="eastAsia" w:ascii="宋体" w:hAnsi="宋体"/>
                <w:szCs w:val="21"/>
              </w:rPr>
            </w:pPr>
          </w:p>
        </w:tc>
        <w:tc>
          <w:tcPr>
            <w:tcW w:w="1454" w:type="dxa"/>
            <w:vAlign w:val="center"/>
          </w:tcPr>
          <w:p w14:paraId="7E46E68D">
            <w:pPr>
              <w:jc w:val="center"/>
              <w:rPr>
                <w:rFonts w:hint="eastAsia" w:ascii="宋体" w:hAnsi="宋体"/>
                <w:szCs w:val="21"/>
              </w:rPr>
            </w:pPr>
          </w:p>
        </w:tc>
      </w:tr>
      <w:tr w14:paraId="6DB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6D20017">
            <w:pPr>
              <w:jc w:val="center"/>
              <w:rPr>
                <w:rFonts w:hint="eastAsia" w:ascii="宋体" w:hAnsi="宋体"/>
                <w:szCs w:val="21"/>
              </w:rPr>
            </w:pPr>
          </w:p>
        </w:tc>
        <w:tc>
          <w:tcPr>
            <w:tcW w:w="1453" w:type="dxa"/>
            <w:vAlign w:val="center"/>
          </w:tcPr>
          <w:p w14:paraId="228393E2">
            <w:pPr>
              <w:jc w:val="center"/>
              <w:rPr>
                <w:rFonts w:hint="eastAsia" w:ascii="宋体" w:hAnsi="宋体"/>
                <w:szCs w:val="21"/>
              </w:rPr>
            </w:pPr>
          </w:p>
        </w:tc>
        <w:tc>
          <w:tcPr>
            <w:tcW w:w="1453" w:type="dxa"/>
            <w:vAlign w:val="center"/>
          </w:tcPr>
          <w:p w14:paraId="10EEFB88">
            <w:pPr>
              <w:jc w:val="center"/>
              <w:rPr>
                <w:rFonts w:hint="eastAsia" w:ascii="宋体" w:hAnsi="宋体"/>
                <w:szCs w:val="21"/>
              </w:rPr>
            </w:pPr>
          </w:p>
        </w:tc>
        <w:tc>
          <w:tcPr>
            <w:tcW w:w="1453" w:type="dxa"/>
            <w:vAlign w:val="center"/>
          </w:tcPr>
          <w:p w14:paraId="60A08A2A">
            <w:pPr>
              <w:jc w:val="center"/>
              <w:rPr>
                <w:rFonts w:hint="eastAsia" w:ascii="宋体" w:hAnsi="宋体"/>
                <w:szCs w:val="21"/>
              </w:rPr>
            </w:pPr>
          </w:p>
        </w:tc>
        <w:tc>
          <w:tcPr>
            <w:tcW w:w="1454" w:type="dxa"/>
            <w:vAlign w:val="center"/>
          </w:tcPr>
          <w:p w14:paraId="4C2A2675">
            <w:pPr>
              <w:jc w:val="center"/>
              <w:rPr>
                <w:rFonts w:hint="eastAsia" w:ascii="宋体" w:hAnsi="宋体"/>
                <w:szCs w:val="21"/>
              </w:rPr>
            </w:pPr>
          </w:p>
        </w:tc>
        <w:tc>
          <w:tcPr>
            <w:tcW w:w="1454" w:type="dxa"/>
            <w:vAlign w:val="center"/>
          </w:tcPr>
          <w:p w14:paraId="3A3868AA">
            <w:pPr>
              <w:jc w:val="center"/>
              <w:rPr>
                <w:rFonts w:hint="eastAsia" w:ascii="宋体" w:hAnsi="宋体"/>
                <w:szCs w:val="21"/>
              </w:rPr>
            </w:pPr>
          </w:p>
        </w:tc>
      </w:tr>
      <w:tr w14:paraId="3465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97A92D9">
            <w:pPr>
              <w:jc w:val="center"/>
              <w:rPr>
                <w:rFonts w:hint="eastAsia" w:ascii="宋体" w:hAnsi="宋体"/>
                <w:szCs w:val="21"/>
              </w:rPr>
            </w:pPr>
          </w:p>
        </w:tc>
        <w:tc>
          <w:tcPr>
            <w:tcW w:w="1453" w:type="dxa"/>
            <w:vAlign w:val="center"/>
          </w:tcPr>
          <w:p w14:paraId="66655909">
            <w:pPr>
              <w:jc w:val="center"/>
              <w:rPr>
                <w:rFonts w:hint="eastAsia" w:ascii="宋体" w:hAnsi="宋体"/>
                <w:szCs w:val="21"/>
              </w:rPr>
            </w:pPr>
          </w:p>
        </w:tc>
        <w:tc>
          <w:tcPr>
            <w:tcW w:w="1453" w:type="dxa"/>
            <w:vAlign w:val="center"/>
          </w:tcPr>
          <w:p w14:paraId="07C1963B">
            <w:pPr>
              <w:jc w:val="center"/>
              <w:rPr>
                <w:rFonts w:hint="eastAsia" w:ascii="宋体" w:hAnsi="宋体"/>
                <w:szCs w:val="21"/>
              </w:rPr>
            </w:pPr>
          </w:p>
        </w:tc>
        <w:tc>
          <w:tcPr>
            <w:tcW w:w="1453" w:type="dxa"/>
            <w:vAlign w:val="center"/>
          </w:tcPr>
          <w:p w14:paraId="5D47E92E">
            <w:pPr>
              <w:jc w:val="center"/>
              <w:rPr>
                <w:rFonts w:hint="eastAsia" w:ascii="宋体" w:hAnsi="宋体"/>
                <w:szCs w:val="21"/>
              </w:rPr>
            </w:pPr>
          </w:p>
        </w:tc>
        <w:tc>
          <w:tcPr>
            <w:tcW w:w="1454" w:type="dxa"/>
            <w:vAlign w:val="center"/>
          </w:tcPr>
          <w:p w14:paraId="78F07514">
            <w:pPr>
              <w:jc w:val="center"/>
              <w:rPr>
                <w:rFonts w:hint="eastAsia" w:ascii="宋体" w:hAnsi="宋体"/>
                <w:szCs w:val="21"/>
              </w:rPr>
            </w:pPr>
          </w:p>
        </w:tc>
        <w:tc>
          <w:tcPr>
            <w:tcW w:w="1454" w:type="dxa"/>
            <w:vAlign w:val="center"/>
          </w:tcPr>
          <w:p w14:paraId="19CAF545">
            <w:pPr>
              <w:jc w:val="center"/>
              <w:rPr>
                <w:rFonts w:hint="eastAsia" w:ascii="宋体" w:hAnsi="宋体"/>
                <w:szCs w:val="21"/>
              </w:rPr>
            </w:pPr>
          </w:p>
        </w:tc>
      </w:tr>
      <w:tr w14:paraId="112C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D543C86">
            <w:pPr>
              <w:jc w:val="center"/>
              <w:rPr>
                <w:rFonts w:hint="eastAsia" w:ascii="宋体" w:hAnsi="宋体"/>
                <w:szCs w:val="21"/>
              </w:rPr>
            </w:pPr>
          </w:p>
        </w:tc>
        <w:tc>
          <w:tcPr>
            <w:tcW w:w="1453" w:type="dxa"/>
            <w:vAlign w:val="center"/>
          </w:tcPr>
          <w:p w14:paraId="748BB67E">
            <w:pPr>
              <w:jc w:val="center"/>
              <w:rPr>
                <w:rFonts w:hint="eastAsia" w:ascii="宋体" w:hAnsi="宋体"/>
                <w:szCs w:val="21"/>
              </w:rPr>
            </w:pPr>
          </w:p>
        </w:tc>
        <w:tc>
          <w:tcPr>
            <w:tcW w:w="1453" w:type="dxa"/>
            <w:vAlign w:val="center"/>
          </w:tcPr>
          <w:p w14:paraId="5474F486">
            <w:pPr>
              <w:jc w:val="center"/>
              <w:rPr>
                <w:rFonts w:hint="eastAsia" w:ascii="宋体" w:hAnsi="宋体"/>
                <w:szCs w:val="21"/>
              </w:rPr>
            </w:pPr>
          </w:p>
        </w:tc>
        <w:tc>
          <w:tcPr>
            <w:tcW w:w="1453" w:type="dxa"/>
            <w:vAlign w:val="center"/>
          </w:tcPr>
          <w:p w14:paraId="5FE8F134">
            <w:pPr>
              <w:jc w:val="center"/>
              <w:rPr>
                <w:rFonts w:hint="eastAsia" w:ascii="宋体" w:hAnsi="宋体"/>
                <w:szCs w:val="21"/>
              </w:rPr>
            </w:pPr>
          </w:p>
        </w:tc>
        <w:tc>
          <w:tcPr>
            <w:tcW w:w="1454" w:type="dxa"/>
            <w:vAlign w:val="center"/>
          </w:tcPr>
          <w:p w14:paraId="15EAE83D">
            <w:pPr>
              <w:jc w:val="center"/>
              <w:rPr>
                <w:rFonts w:hint="eastAsia" w:ascii="宋体" w:hAnsi="宋体"/>
                <w:szCs w:val="21"/>
              </w:rPr>
            </w:pPr>
          </w:p>
        </w:tc>
        <w:tc>
          <w:tcPr>
            <w:tcW w:w="1454" w:type="dxa"/>
            <w:vAlign w:val="center"/>
          </w:tcPr>
          <w:p w14:paraId="6A308E42">
            <w:pPr>
              <w:jc w:val="center"/>
              <w:rPr>
                <w:rFonts w:hint="eastAsia" w:ascii="宋体" w:hAnsi="宋体"/>
                <w:szCs w:val="21"/>
              </w:rPr>
            </w:pPr>
          </w:p>
        </w:tc>
      </w:tr>
      <w:tr w14:paraId="5671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A430A6F">
            <w:pPr>
              <w:jc w:val="center"/>
              <w:rPr>
                <w:rFonts w:hint="eastAsia" w:ascii="宋体" w:hAnsi="宋体"/>
                <w:szCs w:val="21"/>
              </w:rPr>
            </w:pPr>
          </w:p>
        </w:tc>
        <w:tc>
          <w:tcPr>
            <w:tcW w:w="1453" w:type="dxa"/>
            <w:vAlign w:val="center"/>
          </w:tcPr>
          <w:p w14:paraId="2B63D2C3">
            <w:pPr>
              <w:jc w:val="center"/>
              <w:rPr>
                <w:rFonts w:hint="eastAsia" w:ascii="宋体" w:hAnsi="宋体"/>
                <w:szCs w:val="21"/>
              </w:rPr>
            </w:pPr>
          </w:p>
        </w:tc>
        <w:tc>
          <w:tcPr>
            <w:tcW w:w="1453" w:type="dxa"/>
            <w:vAlign w:val="center"/>
          </w:tcPr>
          <w:p w14:paraId="3F62E60F">
            <w:pPr>
              <w:jc w:val="center"/>
              <w:rPr>
                <w:rFonts w:hint="eastAsia" w:ascii="宋体" w:hAnsi="宋体"/>
                <w:szCs w:val="21"/>
              </w:rPr>
            </w:pPr>
          </w:p>
        </w:tc>
        <w:tc>
          <w:tcPr>
            <w:tcW w:w="1453" w:type="dxa"/>
            <w:vAlign w:val="center"/>
          </w:tcPr>
          <w:p w14:paraId="69778BF6">
            <w:pPr>
              <w:jc w:val="center"/>
              <w:rPr>
                <w:rFonts w:hint="eastAsia" w:ascii="宋体" w:hAnsi="宋体"/>
                <w:szCs w:val="21"/>
              </w:rPr>
            </w:pPr>
          </w:p>
        </w:tc>
        <w:tc>
          <w:tcPr>
            <w:tcW w:w="1454" w:type="dxa"/>
            <w:vAlign w:val="center"/>
          </w:tcPr>
          <w:p w14:paraId="14544D1C">
            <w:pPr>
              <w:jc w:val="center"/>
              <w:rPr>
                <w:rFonts w:hint="eastAsia" w:ascii="宋体" w:hAnsi="宋体"/>
                <w:szCs w:val="21"/>
              </w:rPr>
            </w:pPr>
          </w:p>
        </w:tc>
        <w:tc>
          <w:tcPr>
            <w:tcW w:w="1454" w:type="dxa"/>
            <w:vAlign w:val="center"/>
          </w:tcPr>
          <w:p w14:paraId="065A26AC">
            <w:pPr>
              <w:jc w:val="center"/>
              <w:rPr>
                <w:rFonts w:hint="eastAsia" w:ascii="宋体" w:hAnsi="宋体"/>
                <w:szCs w:val="21"/>
              </w:rPr>
            </w:pPr>
          </w:p>
        </w:tc>
      </w:tr>
      <w:tr w14:paraId="0BA0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85856A4">
            <w:pPr>
              <w:jc w:val="center"/>
              <w:rPr>
                <w:rFonts w:hint="eastAsia" w:ascii="宋体" w:hAnsi="宋体"/>
                <w:szCs w:val="21"/>
              </w:rPr>
            </w:pPr>
          </w:p>
        </w:tc>
        <w:tc>
          <w:tcPr>
            <w:tcW w:w="1453" w:type="dxa"/>
            <w:vAlign w:val="center"/>
          </w:tcPr>
          <w:p w14:paraId="5BAAAFCA">
            <w:pPr>
              <w:jc w:val="center"/>
              <w:rPr>
                <w:rFonts w:hint="eastAsia" w:ascii="宋体" w:hAnsi="宋体"/>
                <w:szCs w:val="21"/>
              </w:rPr>
            </w:pPr>
          </w:p>
        </w:tc>
        <w:tc>
          <w:tcPr>
            <w:tcW w:w="1453" w:type="dxa"/>
            <w:vAlign w:val="center"/>
          </w:tcPr>
          <w:p w14:paraId="5F517538">
            <w:pPr>
              <w:jc w:val="center"/>
              <w:rPr>
                <w:rFonts w:hint="eastAsia" w:ascii="宋体" w:hAnsi="宋体"/>
                <w:szCs w:val="21"/>
              </w:rPr>
            </w:pPr>
          </w:p>
        </w:tc>
        <w:tc>
          <w:tcPr>
            <w:tcW w:w="1453" w:type="dxa"/>
            <w:vAlign w:val="center"/>
          </w:tcPr>
          <w:p w14:paraId="128DE45A">
            <w:pPr>
              <w:jc w:val="center"/>
              <w:rPr>
                <w:rFonts w:hint="eastAsia" w:ascii="宋体" w:hAnsi="宋体"/>
                <w:szCs w:val="21"/>
              </w:rPr>
            </w:pPr>
          </w:p>
        </w:tc>
        <w:tc>
          <w:tcPr>
            <w:tcW w:w="1454" w:type="dxa"/>
            <w:vAlign w:val="center"/>
          </w:tcPr>
          <w:p w14:paraId="055CDF27">
            <w:pPr>
              <w:jc w:val="center"/>
              <w:rPr>
                <w:rFonts w:hint="eastAsia" w:ascii="宋体" w:hAnsi="宋体"/>
                <w:szCs w:val="21"/>
              </w:rPr>
            </w:pPr>
          </w:p>
        </w:tc>
        <w:tc>
          <w:tcPr>
            <w:tcW w:w="1454" w:type="dxa"/>
            <w:vAlign w:val="center"/>
          </w:tcPr>
          <w:p w14:paraId="560299A2">
            <w:pPr>
              <w:jc w:val="center"/>
              <w:rPr>
                <w:rFonts w:hint="eastAsia" w:ascii="宋体" w:hAnsi="宋体"/>
                <w:szCs w:val="21"/>
              </w:rPr>
            </w:pPr>
          </w:p>
        </w:tc>
      </w:tr>
      <w:tr w14:paraId="25ED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241F736">
            <w:pPr>
              <w:jc w:val="center"/>
              <w:rPr>
                <w:rFonts w:hint="eastAsia" w:ascii="宋体" w:hAnsi="宋体"/>
                <w:szCs w:val="21"/>
              </w:rPr>
            </w:pPr>
          </w:p>
        </w:tc>
        <w:tc>
          <w:tcPr>
            <w:tcW w:w="1453" w:type="dxa"/>
            <w:vAlign w:val="center"/>
          </w:tcPr>
          <w:p w14:paraId="56DCEA8A">
            <w:pPr>
              <w:jc w:val="center"/>
              <w:rPr>
                <w:rFonts w:hint="eastAsia" w:ascii="宋体" w:hAnsi="宋体"/>
                <w:szCs w:val="21"/>
              </w:rPr>
            </w:pPr>
          </w:p>
        </w:tc>
        <w:tc>
          <w:tcPr>
            <w:tcW w:w="1453" w:type="dxa"/>
            <w:vAlign w:val="center"/>
          </w:tcPr>
          <w:p w14:paraId="155A96BF">
            <w:pPr>
              <w:jc w:val="center"/>
              <w:rPr>
                <w:rFonts w:hint="eastAsia" w:ascii="宋体" w:hAnsi="宋体"/>
                <w:szCs w:val="21"/>
              </w:rPr>
            </w:pPr>
          </w:p>
        </w:tc>
        <w:tc>
          <w:tcPr>
            <w:tcW w:w="1453" w:type="dxa"/>
            <w:vAlign w:val="center"/>
          </w:tcPr>
          <w:p w14:paraId="65DAE75B">
            <w:pPr>
              <w:jc w:val="center"/>
              <w:rPr>
                <w:rFonts w:hint="eastAsia" w:ascii="宋体" w:hAnsi="宋体"/>
                <w:szCs w:val="21"/>
              </w:rPr>
            </w:pPr>
          </w:p>
        </w:tc>
        <w:tc>
          <w:tcPr>
            <w:tcW w:w="1454" w:type="dxa"/>
            <w:vAlign w:val="center"/>
          </w:tcPr>
          <w:p w14:paraId="43BBCE40">
            <w:pPr>
              <w:jc w:val="center"/>
              <w:rPr>
                <w:rFonts w:hint="eastAsia" w:ascii="宋体" w:hAnsi="宋体"/>
                <w:szCs w:val="21"/>
              </w:rPr>
            </w:pPr>
          </w:p>
        </w:tc>
        <w:tc>
          <w:tcPr>
            <w:tcW w:w="1454" w:type="dxa"/>
            <w:vAlign w:val="center"/>
          </w:tcPr>
          <w:p w14:paraId="5829D8C8">
            <w:pPr>
              <w:jc w:val="center"/>
              <w:rPr>
                <w:rFonts w:hint="eastAsia" w:ascii="宋体" w:hAnsi="宋体"/>
                <w:szCs w:val="21"/>
              </w:rPr>
            </w:pPr>
          </w:p>
        </w:tc>
      </w:tr>
      <w:tr w14:paraId="60FE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5B7B7C3">
            <w:pPr>
              <w:jc w:val="center"/>
              <w:rPr>
                <w:rFonts w:hint="eastAsia" w:ascii="宋体" w:hAnsi="宋体"/>
                <w:szCs w:val="21"/>
              </w:rPr>
            </w:pPr>
          </w:p>
        </w:tc>
        <w:tc>
          <w:tcPr>
            <w:tcW w:w="1453" w:type="dxa"/>
            <w:vAlign w:val="center"/>
          </w:tcPr>
          <w:p w14:paraId="666C8391">
            <w:pPr>
              <w:jc w:val="center"/>
              <w:rPr>
                <w:rFonts w:hint="eastAsia" w:ascii="宋体" w:hAnsi="宋体"/>
                <w:szCs w:val="21"/>
              </w:rPr>
            </w:pPr>
          </w:p>
        </w:tc>
        <w:tc>
          <w:tcPr>
            <w:tcW w:w="1453" w:type="dxa"/>
            <w:vAlign w:val="center"/>
          </w:tcPr>
          <w:p w14:paraId="2C8730A9">
            <w:pPr>
              <w:jc w:val="center"/>
              <w:rPr>
                <w:rFonts w:hint="eastAsia" w:ascii="宋体" w:hAnsi="宋体"/>
                <w:szCs w:val="21"/>
              </w:rPr>
            </w:pPr>
          </w:p>
        </w:tc>
        <w:tc>
          <w:tcPr>
            <w:tcW w:w="1453" w:type="dxa"/>
            <w:vAlign w:val="center"/>
          </w:tcPr>
          <w:p w14:paraId="1B7053E9">
            <w:pPr>
              <w:jc w:val="center"/>
              <w:rPr>
                <w:rFonts w:hint="eastAsia" w:ascii="宋体" w:hAnsi="宋体"/>
                <w:szCs w:val="21"/>
              </w:rPr>
            </w:pPr>
          </w:p>
        </w:tc>
        <w:tc>
          <w:tcPr>
            <w:tcW w:w="1454" w:type="dxa"/>
            <w:vAlign w:val="center"/>
          </w:tcPr>
          <w:p w14:paraId="2BE7CFB0">
            <w:pPr>
              <w:jc w:val="center"/>
              <w:rPr>
                <w:rFonts w:hint="eastAsia" w:ascii="宋体" w:hAnsi="宋体"/>
                <w:szCs w:val="21"/>
              </w:rPr>
            </w:pPr>
          </w:p>
        </w:tc>
        <w:tc>
          <w:tcPr>
            <w:tcW w:w="1454" w:type="dxa"/>
            <w:vAlign w:val="center"/>
          </w:tcPr>
          <w:p w14:paraId="78086E5C">
            <w:pPr>
              <w:jc w:val="center"/>
              <w:rPr>
                <w:rFonts w:hint="eastAsia" w:ascii="宋体" w:hAnsi="宋体"/>
                <w:szCs w:val="21"/>
              </w:rPr>
            </w:pPr>
          </w:p>
        </w:tc>
      </w:tr>
      <w:tr w14:paraId="6F2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04EDFBA">
            <w:pPr>
              <w:jc w:val="center"/>
              <w:rPr>
                <w:rFonts w:hint="eastAsia" w:ascii="宋体" w:hAnsi="宋体"/>
                <w:szCs w:val="21"/>
              </w:rPr>
            </w:pPr>
          </w:p>
        </w:tc>
        <w:tc>
          <w:tcPr>
            <w:tcW w:w="1453" w:type="dxa"/>
            <w:vAlign w:val="center"/>
          </w:tcPr>
          <w:p w14:paraId="61DECE72">
            <w:pPr>
              <w:jc w:val="center"/>
              <w:rPr>
                <w:rFonts w:hint="eastAsia" w:ascii="宋体" w:hAnsi="宋体"/>
                <w:szCs w:val="21"/>
              </w:rPr>
            </w:pPr>
          </w:p>
        </w:tc>
        <w:tc>
          <w:tcPr>
            <w:tcW w:w="1453" w:type="dxa"/>
            <w:vAlign w:val="center"/>
          </w:tcPr>
          <w:p w14:paraId="235878CE">
            <w:pPr>
              <w:jc w:val="center"/>
              <w:rPr>
                <w:rFonts w:hint="eastAsia" w:ascii="宋体" w:hAnsi="宋体"/>
                <w:szCs w:val="21"/>
              </w:rPr>
            </w:pPr>
          </w:p>
        </w:tc>
        <w:tc>
          <w:tcPr>
            <w:tcW w:w="1453" w:type="dxa"/>
            <w:vAlign w:val="center"/>
          </w:tcPr>
          <w:p w14:paraId="67CDCF0B">
            <w:pPr>
              <w:jc w:val="center"/>
              <w:rPr>
                <w:rFonts w:hint="eastAsia" w:ascii="宋体" w:hAnsi="宋体"/>
                <w:szCs w:val="21"/>
              </w:rPr>
            </w:pPr>
          </w:p>
        </w:tc>
        <w:tc>
          <w:tcPr>
            <w:tcW w:w="1454" w:type="dxa"/>
            <w:vAlign w:val="center"/>
          </w:tcPr>
          <w:p w14:paraId="74E7FB98">
            <w:pPr>
              <w:jc w:val="center"/>
              <w:rPr>
                <w:rFonts w:hint="eastAsia" w:ascii="宋体" w:hAnsi="宋体"/>
                <w:szCs w:val="21"/>
              </w:rPr>
            </w:pPr>
          </w:p>
        </w:tc>
        <w:tc>
          <w:tcPr>
            <w:tcW w:w="1454" w:type="dxa"/>
            <w:vAlign w:val="center"/>
          </w:tcPr>
          <w:p w14:paraId="194E6454">
            <w:pPr>
              <w:jc w:val="center"/>
              <w:rPr>
                <w:rFonts w:hint="eastAsia" w:ascii="宋体" w:hAnsi="宋体"/>
                <w:szCs w:val="21"/>
              </w:rPr>
            </w:pPr>
          </w:p>
        </w:tc>
      </w:tr>
      <w:tr w14:paraId="4433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53" w:type="dxa"/>
            <w:vAlign w:val="center"/>
          </w:tcPr>
          <w:p w14:paraId="29B46CF3">
            <w:pPr>
              <w:jc w:val="center"/>
              <w:rPr>
                <w:rFonts w:hint="eastAsia" w:ascii="宋体" w:hAnsi="宋体"/>
                <w:szCs w:val="21"/>
              </w:rPr>
            </w:pPr>
          </w:p>
        </w:tc>
        <w:tc>
          <w:tcPr>
            <w:tcW w:w="1453" w:type="dxa"/>
            <w:vAlign w:val="center"/>
          </w:tcPr>
          <w:p w14:paraId="290D3240">
            <w:pPr>
              <w:jc w:val="center"/>
              <w:rPr>
                <w:rFonts w:hint="eastAsia" w:ascii="宋体" w:hAnsi="宋体"/>
                <w:szCs w:val="21"/>
              </w:rPr>
            </w:pPr>
          </w:p>
        </w:tc>
        <w:tc>
          <w:tcPr>
            <w:tcW w:w="1453" w:type="dxa"/>
            <w:vAlign w:val="center"/>
          </w:tcPr>
          <w:p w14:paraId="47399B70">
            <w:pPr>
              <w:jc w:val="center"/>
              <w:rPr>
                <w:rFonts w:hint="eastAsia" w:ascii="宋体" w:hAnsi="宋体"/>
                <w:szCs w:val="21"/>
              </w:rPr>
            </w:pPr>
          </w:p>
        </w:tc>
        <w:tc>
          <w:tcPr>
            <w:tcW w:w="1453" w:type="dxa"/>
            <w:vAlign w:val="center"/>
          </w:tcPr>
          <w:p w14:paraId="421831F9">
            <w:pPr>
              <w:jc w:val="center"/>
              <w:rPr>
                <w:rFonts w:hint="eastAsia" w:ascii="宋体" w:hAnsi="宋体"/>
                <w:szCs w:val="21"/>
              </w:rPr>
            </w:pPr>
          </w:p>
        </w:tc>
        <w:tc>
          <w:tcPr>
            <w:tcW w:w="1454" w:type="dxa"/>
            <w:vAlign w:val="center"/>
          </w:tcPr>
          <w:p w14:paraId="17813893">
            <w:pPr>
              <w:jc w:val="center"/>
              <w:rPr>
                <w:rFonts w:hint="eastAsia" w:ascii="宋体" w:hAnsi="宋体"/>
                <w:szCs w:val="21"/>
              </w:rPr>
            </w:pPr>
          </w:p>
        </w:tc>
        <w:tc>
          <w:tcPr>
            <w:tcW w:w="1454" w:type="dxa"/>
            <w:vAlign w:val="center"/>
          </w:tcPr>
          <w:p w14:paraId="2B3346E2">
            <w:pPr>
              <w:jc w:val="center"/>
              <w:rPr>
                <w:rFonts w:hint="eastAsia" w:ascii="宋体" w:hAnsi="宋体"/>
                <w:szCs w:val="21"/>
              </w:rPr>
            </w:pPr>
          </w:p>
        </w:tc>
      </w:tr>
      <w:tr w14:paraId="6CF3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7102CC1">
            <w:pPr>
              <w:jc w:val="center"/>
              <w:rPr>
                <w:rFonts w:hint="eastAsia" w:ascii="宋体" w:hAnsi="宋体"/>
                <w:szCs w:val="21"/>
              </w:rPr>
            </w:pPr>
          </w:p>
        </w:tc>
        <w:tc>
          <w:tcPr>
            <w:tcW w:w="1453" w:type="dxa"/>
            <w:vAlign w:val="center"/>
          </w:tcPr>
          <w:p w14:paraId="58AB5C8D">
            <w:pPr>
              <w:jc w:val="center"/>
              <w:rPr>
                <w:rFonts w:hint="eastAsia" w:ascii="宋体" w:hAnsi="宋体"/>
                <w:szCs w:val="21"/>
              </w:rPr>
            </w:pPr>
          </w:p>
        </w:tc>
        <w:tc>
          <w:tcPr>
            <w:tcW w:w="1453" w:type="dxa"/>
            <w:vAlign w:val="center"/>
          </w:tcPr>
          <w:p w14:paraId="4022427A">
            <w:pPr>
              <w:jc w:val="center"/>
              <w:rPr>
                <w:rFonts w:hint="eastAsia" w:ascii="宋体" w:hAnsi="宋体"/>
                <w:szCs w:val="21"/>
              </w:rPr>
            </w:pPr>
          </w:p>
        </w:tc>
        <w:tc>
          <w:tcPr>
            <w:tcW w:w="1453" w:type="dxa"/>
            <w:vAlign w:val="center"/>
          </w:tcPr>
          <w:p w14:paraId="2061CF37">
            <w:pPr>
              <w:jc w:val="center"/>
              <w:rPr>
                <w:rFonts w:hint="eastAsia" w:ascii="宋体" w:hAnsi="宋体"/>
                <w:szCs w:val="21"/>
              </w:rPr>
            </w:pPr>
          </w:p>
        </w:tc>
        <w:tc>
          <w:tcPr>
            <w:tcW w:w="1454" w:type="dxa"/>
            <w:vAlign w:val="center"/>
          </w:tcPr>
          <w:p w14:paraId="29D13749">
            <w:pPr>
              <w:jc w:val="center"/>
              <w:rPr>
                <w:rFonts w:hint="eastAsia" w:ascii="宋体" w:hAnsi="宋体"/>
                <w:szCs w:val="21"/>
              </w:rPr>
            </w:pPr>
          </w:p>
        </w:tc>
        <w:tc>
          <w:tcPr>
            <w:tcW w:w="1454" w:type="dxa"/>
            <w:vAlign w:val="center"/>
          </w:tcPr>
          <w:p w14:paraId="3B4AF07B">
            <w:pPr>
              <w:jc w:val="center"/>
              <w:rPr>
                <w:rFonts w:hint="eastAsia" w:ascii="宋体" w:hAnsi="宋体"/>
                <w:szCs w:val="21"/>
              </w:rPr>
            </w:pPr>
          </w:p>
        </w:tc>
      </w:tr>
      <w:tr w14:paraId="2D6E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867C7BD">
            <w:pPr>
              <w:jc w:val="center"/>
              <w:rPr>
                <w:rFonts w:hint="eastAsia" w:ascii="宋体" w:hAnsi="宋体"/>
                <w:szCs w:val="21"/>
              </w:rPr>
            </w:pPr>
          </w:p>
        </w:tc>
        <w:tc>
          <w:tcPr>
            <w:tcW w:w="1453" w:type="dxa"/>
            <w:vAlign w:val="center"/>
          </w:tcPr>
          <w:p w14:paraId="276599A7">
            <w:pPr>
              <w:jc w:val="center"/>
              <w:rPr>
                <w:rFonts w:hint="eastAsia" w:ascii="宋体" w:hAnsi="宋体"/>
                <w:szCs w:val="21"/>
              </w:rPr>
            </w:pPr>
          </w:p>
        </w:tc>
        <w:tc>
          <w:tcPr>
            <w:tcW w:w="1453" w:type="dxa"/>
            <w:vAlign w:val="center"/>
          </w:tcPr>
          <w:p w14:paraId="53523200">
            <w:pPr>
              <w:jc w:val="center"/>
              <w:rPr>
                <w:rFonts w:hint="eastAsia" w:ascii="宋体" w:hAnsi="宋体"/>
                <w:szCs w:val="21"/>
              </w:rPr>
            </w:pPr>
          </w:p>
        </w:tc>
        <w:tc>
          <w:tcPr>
            <w:tcW w:w="1453" w:type="dxa"/>
            <w:vAlign w:val="center"/>
          </w:tcPr>
          <w:p w14:paraId="1348FDC7">
            <w:pPr>
              <w:jc w:val="center"/>
              <w:rPr>
                <w:rFonts w:hint="eastAsia" w:ascii="宋体" w:hAnsi="宋体"/>
                <w:szCs w:val="21"/>
              </w:rPr>
            </w:pPr>
          </w:p>
        </w:tc>
        <w:tc>
          <w:tcPr>
            <w:tcW w:w="1454" w:type="dxa"/>
            <w:vAlign w:val="center"/>
          </w:tcPr>
          <w:p w14:paraId="78273861">
            <w:pPr>
              <w:jc w:val="center"/>
              <w:rPr>
                <w:rFonts w:hint="eastAsia" w:ascii="宋体" w:hAnsi="宋体"/>
                <w:szCs w:val="21"/>
              </w:rPr>
            </w:pPr>
          </w:p>
        </w:tc>
        <w:tc>
          <w:tcPr>
            <w:tcW w:w="1454" w:type="dxa"/>
            <w:vAlign w:val="center"/>
          </w:tcPr>
          <w:p w14:paraId="33360EAE">
            <w:pPr>
              <w:jc w:val="center"/>
              <w:rPr>
                <w:rFonts w:hint="eastAsia" w:ascii="宋体" w:hAnsi="宋体"/>
                <w:szCs w:val="21"/>
              </w:rPr>
            </w:pPr>
          </w:p>
        </w:tc>
      </w:tr>
      <w:tr w14:paraId="5640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81A6BB6">
            <w:pPr>
              <w:jc w:val="center"/>
              <w:rPr>
                <w:rFonts w:hint="eastAsia" w:ascii="宋体" w:hAnsi="宋体"/>
                <w:szCs w:val="21"/>
              </w:rPr>
            </w:pPr>
          </w:p>
        </w:tc>
        <w:tc>
          <w:tcPr>
            <w:tcW w:w="1453" w:type="dxa"/>
            <w:vAlign w:val="center"/>
          </w:tcPr>
          <w:p w14:paraId="43A08EA2">
            <w:pPr>
              <w:jc w:val="center"/>
              <w:rPr>
                <w:rFonts w:hint="eastAsia" w:ascii="宋体" w:hAnsi="宋体"/>
                <w:szCs w:val="21"/>
              </w:rPr>
            </w:pPr>
          </w:p>
        </w:tc>
        <w:tc>
          <w:tcPr>
            <w:tcW w:w="1453" w:type="dxa"/>
            <w:vAlign w:val="center"/>
          </w:tcPr>
          <w:p w14:paraId="018B18CD">
            <w:pPr>
              <w:jc w:val="center"/>
              <w:rPr>
                <w:rFonts w:hint="eastAsia" w:ascii="宋体" w:hAnsi="宋体"/>
                <w:szCs w:val="21"/>
              </w:rPr>
            </w:pPr>
          </w:p>
        </w:tc>
        <w:tc>
          <w:tcPr>
            <w:tcW w:w="1453" w:type="dxa"/>
            <w:vAlign w:val="center"/>
          </w:tcPr>
          <w:p w14:paraId="444A87AC">
            <w:pPr>
              <w:jc w:val="center"/>
              <w:rPr>
                <w:rFonts w:hint="eastAsia" w:ascii="宋体" w:hAnsi="宋体"/>
                <w:szCs w:val="21"/>
              </w:rPr>
            </w:pPr>
          </w:p>
        </w:tc>
        <w:tc>
          <w:tcPr>
            <w:tcW w:w="1454" w:type="dxa"/>
            <w:vAlign w:val="center"/>
          </w:tcPr>
          <w:p w14:paraId="7EA5212E">
            <w:pPr>
              <w:jc w:val="center"/>
              <w:rPr>
                <w:rFonts w:hint="eastAsia" w:ascii="宋体" w:hAnsi="宋体"/>
                <w:szCs w:val="21"/>
              </w:rPr>
            </w:pPr>
          </w:p>
        </w:tc>
        <w:tc>
          <w:tcPr>
            <w:tcW w:w="1454" w:type="dxa"/>
            <w:vAlign w:val="center"/>
          </w:tcPr>
          <w:p w14:paraId="1E3B4BA1">
            <w:pPr>
              <w:jc w:val="center"/>
              <w:rPr>
                <w:rFonts w:hint="eastAsia" w:ascii="宋体" w:hAnsi="宋体"/>
                <w:szCs w:val="21"/>
              </w:rPr>
            </w:pPr>
          </w:p>
        </w:tc>
      </w:tr>
      <w:tr w14:paraId="7D46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2B6B415">
            <w:pPr>
              <w:jc w:val="center"/>
              <w:rPr>
                <w:rFonts w:hint="eastAsia" w:ascii="宋体" w:hAnsi="宋体"/>
                <w:szCs w:val="21"/>
              </w:rPr>
            </w:pPr>
          </w:p>
        </w:tc>
        <w:tc>
          <w:tcPr>
            <w:tcW w:w="1453" w:type="dxa"/>
            <w:vAlign w:val="center"/>
          </w:tcPr>
          <w:p w14:paraId="13786B8F">
            <w:pPr>
              <w:jc w:val="center"/>
              <w:rPr>
                <w:rFonts w:hint="eastAsia" w:ascii="宋体" w:hAnsi="宋体"/>
                <w:szCs w:val="21"/>
              </w:rPr>
            </w:pPr>
          </w:p>
        </w:tc>
        <w:tc>
          <w:tcPr>
            <w:tcW w:w="1453" w:type="dxa"/>
            <w:vAlign w:val="center"/>
          </w:tcPr>
          <w:p w14:paraId="690BF53C">
            <w:pPr>
              <w:jc w:val="center"/>
              <w:rPr>
                <w:rFonts w:hint="eastAsia" w:ascii="宋体" w:hAnsi="宋体"/>
                <w:szCs w:val="21"/>
              </w:rPr>
            </w:pPr>
          </w:p>
        </w:tc>
        <w:tc>
          <w:tcPr>
            <w:tcW w:w="1453" w:type="dxa"/>
            <w:vAlign w:val="center"/>
          </w:tcPr>
          <w:p w14:paraId="33AA429E">
            <w:pPr>
              <w:jc w:val="center"/>
              <w:rPr>
                <w:rFonts w:hint="eastAsia" w:ascii="宋体" w:hAnsi="宋体"/>
                <w:szCs w:val="21"/>
              </w:rPr>
            </w:pPr>
          </w:p>
        </w:tc>
        <w:tc>
          <w:tcPr>
            <w:tcW w:w="1454" w:type="dxa"/>
            <w:vAlign w:val="center"/>
          </w:tcPr>
          <w:p w14:paraId="23724986">
            <w:pPr>
              <w:jc w:val="center"/>
              <w:rPr>
                <w:rFonts w:hint="eastAsia" w:ascii="宋体" w:hAnsi="宋体"/>
                <w:szCs w:val="21"/>
              </w:rPr>
            </w:pPr>
          </w:p>
        </w:tc>
        <w:tc>
          <w:tcPr>
            <w:tcW w:w="1454" w:type="dxa"/>
            <w:vAlign w:val="center"/>
          </w:tcPr>
          <w:p w14:paraId="024BB78F">
            <w:pPr>
              <w:jc w:val="center"/>
              <w:rPr>
                <w:rFonts w:hint="eastAsia" w:ascii="宋体" w:hAnsi="宋体"/>
                <w:szCs w:val="21"/>
              </w:rPr>
            </w:pPr>
          </w:p>
        </w:tc>
      </w:tr>
      <w:tr w14:paraId="4BC2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D5CEDE6">
            <w:pPr>
              <w:jc w:val="center"/>
              <w:rPr>
                <w:rFonts w:hint="eastAsia" w:ascii="宋体" w:hAnsi="宋体"/>
                <w:szCs w:val="21"/>
              </w:rPr>
            </w:pPr>
          </w:p>
        </w:tc>
        <w:tc>
          <w:tcPr>
            <w:tcW w:w="1453" w:type="dxa"/>
            <w:vAlign w:val="center"/>
          </w:tcPr>
          <w:p w14:paraId="605E13EC">
            <w:pPr>
              <w:jc w:val="center"/>
              <w:rPr>
                <w:rFonts w:hint="eastAsia" w:ascii="宋体" w:hAnsi="宋体"/>
                <w:szCs w:val="21"/>
              </w:rPr>
            </w:pPr>
          </w:p>
        </w:tc>
        <w:tc>
          <w:tcPr>
            <w:tcW w:w="1453" w:type="dxa"/>
            <w:vAlign w:val="center"/>
          </w:tcPr>
          <w:p w14:paraId="279A9A02">
            <w:pPr>
              <w:jc w:val="center"/>
              <w:rPr>
                <w:rFonts w:hint="eastAsia" w:ascii="宋体" w:hAnsi="宋体"/>
                <w:szCs w:val="21"/>
              </w:rPr>
            </w:pPr>
          </w:p>
        </w:tc>
        <w:tc>
          <w:tcPr>
            <w:tcW w:w="1453" w:type="dxa"/>
            <w:vAlign w:val="center"/>
          </w:tcPr>
          <w:p w14:paraId="16A73484">
            <w:pPr>
              <w:jc w:val="center"/>
              <w:rPr>
                <w:rFonts w:hint="eastAsia" w:ascii="宋体" w:hAnsi="宋体"/>
                <w:szCs w:val="21"/>
              </w:rPr>
            </w:pPr>
          </w:p>
        </w:tc>
        <w:tc>
          <w:tcPr>
            <w:tcW w:w="1454" w:type="dxa"/>
            <w:vAlign w:val="center"/>
          </w:tcPr>
          <w:p w14:paraId="7B10E338">
            <w:pPr>
              <w:jc w:val="center"/>
              <w:rPr>
                <w:rFonts w:hint="eastAsia" w:ascii="宋体" w:hAnsi="宋体"/>
                <w:szCs w:val="21"/>
              </w:rPr>
            </w:pPr>
          </w:p>
        </w:tc>
        <w:tc>
          <w:tcPr>
            <w:tcW w:w="1454" w:type="dxa"/>
            <w:vAlign w:val="center"/>
          </w:tcPr>
          <w:p w14:paraId="3B1EBEA2">
            <w:pPr>
              <w:jc w:val="center"/>
              <w:rPr>
                <w:rFonts w:hint="eastAsia" w:ascii="宋体" w:hAnsi="宋体"/>
                <w:szCs w:val="21"/>
              </w:rPr>
            </w:pPr>
          </w:p>
        </w:tc>
      </w:tr>
      <w:tr w14:paraId="31B3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53" w:type="dxa"/>
            <w:vAlign w:val="center"/>
          </w:tcPr>
          <w:p w14:paraId="1C123C0A">
            <w:pPr>
              <w:jc w:val="center"/>
              <w:rPr>
                <w:rFonts w:hint="eastAsia" w:ascii="宋体" w:hAnsi="宋体"/>
                <w:szCs w:val="21"/>
              </w:rPr>
            </w:pPr>
          </w:p>
        </w:tc>
        <w:tc>
          <w:tcPr>
            <w:tcW w:w="1453" w:type="dxa"/>
            <w:vAlign w:val="center"/>
          </w:tcPr>
          <w:p w14:paraId="398C3162">
            <w:pPr>
              <w:jc w:val="center"/>
              <w:rPr>
                <w:rFonts w:hint="eastAsia" w:ascii="宋体" w:hAnsi="宋体"/>
                <w:szCs w:val="21"/>
              </w:rPr>
            </w:pPr>
          </w:p>
        </w:tc>
        <w:tc>
          <w:tcPr>
            <w:tcW w:w="1453" w:type="dxa"/>
            <w:vAlign w:val="center"/>
          </w:tcPr>
          <w:p w14:paraId="0E133AC0">
            <w:pPr>
              <w:jc w:val="center"/>
              <w:rPr>
                <w:rFonts w:hint="eastAsia" w:ascii="宋体" w:hAnsi="宋体"/>
                <w:szCs w:val="21"/>
              </w:rPr>
            </w:pPr>
          </w:p>
        </w:tc>
        <w:tc>
          <w:tcPr>
            <w:tcW w:w="1453" w:type="dxa"/>
            <w:vAlign w:val="center"/>
          </w:tcPr>
          <w:p w14:paraId="4D2B99FD">
            <w:pPr>
              <w:jc w:val="center"/>
              <w:rPr>
                <w:rFonts w:hint="eastAsia" w:ascii="宋体" w:hAnsi="宋体"/>
                <w:szCs w:val="21"/>
              </w:rPr>
            </w:pPr>
          </w:p>
        </w:tc>
        <w:tc>
          <w:tcPr>
            <w:tcW w:w="1454" w:type="dxa"/>
            <w:vAlign w:val="center"/>
          </w:tcPr>
          <w:p w14:paraId="03709863">
            <w:pPr>
              <w:jc w:val="center"/>
              <w:rPr>
                <w:rFonts w:hint="eastAsia" w:ascii="宋体" w:hAnsi="宋体"/>
                <w:szCs w:val="21"/>
              </w:rPr>
            </w:pPr>
          </w:p>
        </w:tc>
        <w:tc>
          <w:tcPr>
            <w:tcW w:w="1454" w:type="dxa"/>
            <w:vAlign w:val="center"/>
          </w:tcPr>
          <w:p w14:paraId="799CC4D2">
            <w:pPr>
              <w:jc w:val="center"/>
              <w:rPr>
                <w:rFonts w:hint="eastAsia" w:ascii="宋体" w:hAnsi="宋体"/>
                <w:szCs w:val="21"/>
              </w:rPr>
            </w:pPr>
          </w:p>
        </w:tc>
      </w:tr>
    </w:tbl>
    <w:p w14:paraId="5DFA74C9">
      <w:pPr>
        <w:rPr>
          <w:szCs w:val="21"/>
        </w:rPr>
      </w:pPr>
    </w:p>
    <w:p w14:paraId="01BC31D6">
      <w:pPr>
        <w:rPr>
          <w:szCs w:val="21"/>
        </w:rPr>
      </w:pPr>
      <w:r>
        <w:rPr>
          <w:szCs w:val="21"/>
        </w:rPr>
        <w:br w:type="page"/>
      </w:r>
    </w:p>
    <w:p w14:paraId="74102E52">
      <w:pPr>
        <w:pStyle w:val="23"/>
        <w:rPr>
          <w:rFonts w:ascii="黑体"/>
          <w:sz w:val="24"/>
        </w:rPr>
      </w:pPr>
      <w:bookmarkStart w:id="2202" w:name="_Toc173866993"/>
      <w:bookmarkStart w:id="2203" w:name="_Toc256000378"/>
      <w:r>
        <w:rPr>
          <w:rFonts w:hint="eastAsia"/>
          <w:sz w:val="24"/>
          <w:szCs w:val="24"/>
        </w:rPr>
        <w:t>2．图  纸</w:t>
      </w:r>
      <w:bookmarkEnd w:id="2202"/>
      <w:bookmarkEnd w:id="2203"/>
    </w:p>
    <w:p w14:paraId="3C9F3284">
      <w:pPr>
        <w:sectPr>
          <w:pgSz w:w="11906" w:h="16838"/>
          <w:pgMar w:top="1440" w:right="1800" w:bottom="1440" w:left="1800" w:header="851" w:footer="992" w:gutter="0"/>
          <w:cols w:space="425" w:num="1"/>
          <w:docGrid w:type="lines" w:linePitch="312" w:charSpace="0"/>
        </w:sectPr>
      </w:pPr>
    </w:p>
    <w:p w14:paraId="4E2724D9">
      <w:pPr>
        <w:rPr>
          <w:rFonts w:ascii="黑体" w:eastAsia="黑体"/>
          <w:sz w:val="24"/>
        </w:rPr>
      </w:pPr>
    </w:p>
    <w:p w14:paraId="4975FA4F">
      <w:pPr>
        <w:rPr>
          <w:rFonts w:ascii="黑体" w:eastAsia="黑体"/>
          <w:sz w:val="24"/>
        </w:rPr>
      </w:pPr>
    </w:p>
    <w:p w14:paraId="0F4E3DF9">
      <w:pPr>
        <w:rPr>
          <w:rFonts w:ascii="黑体" w:eastAsia="黑体"/>
          <w:sz w:val="24"/>
        </w:rPr>
      </w:pPr>
    </w:p>
    <w:p w14:paraId="57445293">
      <w:pPr>
        <w:rPr>
          <w:rFonts w:hint="eastAsia" w:ascii="黑体" w:eastAsia="黑体"/>
          <w:sz w:val="24"/>
        </w:rPr>
      </w:pPr>
    </w:p>
    <w:p w14:paraId="06A9296A">
      <w:pPr>
        <w:rPr>
          <w:rFonts w:hint="eastAsia" w:ascii="黑体" w:eastAsia="黑体"/>
          <w:sz w:val="24"/>
        </w:rPr>
      </w:pPr>
    </w:p>
    <w:p w14:paraId="65A3322F">
      <w:pPr>
        <w:rPr>
          <w:rFonts w:hint="eastAsia" w:ascii="黑体" w:eastAsia="黑体"/>
          <w:sz w:val="24"/>
        </w:rPr>
      </w:pPr>
    </w:p>
    <w:p w14:paraId="52821010">
      <w:pPr>
        <w:rPr>
          <w:rFonts w:hint="eastAsia" w:ascii="黑体" w:eastAsia="黑体"/>
          <w:sz w:val="24"/>
        </w:rPr>
      </w:pPr>
    </w:p>
    <w:p w14:paraId="22FAB1EE">
      <w:pPr>
        <w:rPr>
          <w:rFonts w:hint="eastAsia" w:ascii="黑体" w:eastAsia="黑体"/>
          <w:sz w:val="24"/>
        </w:rPr>
      </w:pPr>
    </w:p>
    <w:p w14:paraId="3AF106F1">
      <w:pPr>
        <w:rPr>
          <w:rFonts w:hint="eastAsia" w:ascii="黑体" w:eastAsia="黑体"/>
          <w:sz w:val="24"/>
        </w:rPr>
      </w:pPr>
    </w:p>
    <w:p w14:paraId="55F15320">
      <w:pPr>
        <w:rPr>
          <w:rFonts w:hint="eastAsia"/>
          <w:szCs w:val="21"/>
        </w:rPr>
      </w:pPr>
    </w:p>
    <w:p w14:paraId="75D409E5">
      <w:pPr>
        <w:pStyle w:val="2"/>
        <w:spacing w:before="120" w:after="120" w:line="400" w:lineRule="exact"/>
        <w:jc w:val="center"/>
        <w:rPr>
          <w:rFonts w:hint="eastAsia" w:ascii="黑体" w:hAnsi="黑体" w:eastAsia="黑体"/>
          <w:b w:val="0"/>
          <w:bCs w:val="0"/>
          <w:sz w:val="48"/>
          <w:szCs w:val="48"/>
        </w:rPr>
      </w:pPr>
      <w:bookmarkStart w:id="2204" w:name="_Toc122603041"/>
      <w:bookmarkStart w:id="2205" w:name="_Toc256000379"/>
      <w:r>
        <w:rPr>
          <w:rFonts w:hint="eastAsia" w:ascii="黑体" w:hAnsi="黑体" w:eastAsia="黑体"/>
          <w:b w:val="0"/>
          <w:bCs w:val="0"/>
          <w:sz w:val="48"/>
          <w:szCs w:val="48"/>
        </w:rPr>
        <w:t>第三卷</w:t>
      </w:r>
      <w:bookmarkEnd w:id="2204"/>
      <w:bookmarkEnd w:id="2205"/>
    </w:p>
    <w:p w14:paraId="671FECDC">
      <w:pPr>
        <w:jc w:val="center"/>
        <w:rPr>
          <w:rFonts w:hint="eastAsia" w:ascii="黑体" w:eastAsia="黑体"/>
          <w:sz w:val="32"/>
          <w:szCs w:val="32"/>
        </w:rPr>
      </w:pPr>
    </w:p>
    <w:p w14:paraId="2B176819">
      <w:pPr>
        <w:sectPr>
          <w:pgSz w:w="11906" w:h="16838"/>
          <w:pgMar w:top="1440" w:right="1800" w:bottom="1440" w:left="1800" w:header="851" w:footer="992" w:gutter="0"/>
          <w:cols w:space="425" w:num="1"/>
          <w:docGrid w:type="lines" w:linePitch="312" w:charSpace="0"/>
        </w:sectPr>
      </w:pPr>
    </w:p>
    <w:p w14:paraId="2C7847FD">
      <w:pPr>
        <w:spacing w:line="420" w:lineRule="exact"/>
        <w:jc w:val="center"/>
        <w:rPr>
          <w:rFonts w:ascii="楷体_GB2312" w:eastAsia="楷体_GB2312"/>
        </w:rPr>
      </w:pPr>
    </w:p>
    <w:p w14:paraId="42555809">
      <w:pPr>
        <w:spacing w:line="420" w:lineRule="exact"/>
        <w:jc w:val="center"/>
        <w:rPr>
          <w:rFonts w:ascii="楷体_GB2312" w:eastAsia="楷体_GB2312"/>
        </w:rPr>
      </w:pPr>
    </w:p>
    <w:p w14:paraId="7C9659B6">
      <w:pPr>
        <w:spacing w:line="420" w:lineRule="exact"/>
        <w:jc w:val="center"/>
        <w:rPr>
          <w:rFonts w:ascii="楷体_GB2312" w:eastAsia="楷体_GB2312"/>
        </w:rPr>
      </w:pPr>
    </w:p>
    <w:p w14:paraId="1F28A185">
      <w:pPr>
        <w:spacing w:line="420" w:lineRule="exact"/>
        <w:jc w:val="center"/>
        <w:rPr>
          <w:rFonts w:ascii="楷体_GB2312" w:eastAsia="楷体_GB2312"/>
        </w:rPr>
      </w:pPr>
    </w:p>
    <w:p w14:paraId="585A00CB">
      <w:pPr>
        <w:spacing w:line="420" w:lineRule="exact"/>
        <w:jc w:val="center"/>
        <w:rPr>
          <w:rFonts w:ascii="楷体_GB2312" w:eastAsia="楷体_GB2312"/>
        </w:rPr>
      </w:pPr>
    </w:p>
    <w:p w14:paraId="283B604D">
      <w:pPr>
        <w:spacing w:line="420" w:lineRule="exact"/>
        <w:jc w:val="center"/>
        <w:rPr>
          <w:rFonts w:ascii="楷体_GB2312" w:eastAsia="楷体_GB2312"/>
        </w:rPr>
      </w:pPr>
    </w:p>
    <w:p w14:paraId="341C9E8F">
      <w:pPr>
        <w:spacing w:line="420" w:lineRule="exact"/>
        <w:jc w:val="center"/>
        <w:rPr>
          <w:rFonts w:ascii="楷体_GB2312" w:eastAsia="楷体_GB2312"/>
        </w:rPr>
      </w:pPr>
    </w:p>
    <w:p w14:paraId="0A01F498">
      <w:pPr>
        <w:spacing w:line="420" w:lineRule="exact"/>
        <w:jc w:val="center"/>
        <w:rPr>
          <w:rFonts w:ascii="楷体_GB2312" w:eastAsia="楷体_GB2312"/>
        </w:rPr>
      </w:pPr>
    </w:p>
    <w:p w14:paraId="5A589D94">
      <w:pPr>
        <w:pStyle w:val="2"/>
        <w:spacing w:before="120" w:after="120" w:line="400" w:lineRule="exact"/>
        <w:jc w:val="center"/>
        <w:rPr>
          <w:rFonts w:ascii="黑体" w:hAnsi="黑体" w:eastAsia="黑体"/>
          <w:b w:val="0"/>
          <w:bCs w:val="0"/>
          <w:sz w:val="32"/>
        </w:rPr>
      </w:pPr>
      <w:bookmarkStart w:id="2206" w:name="_Toc152264764"/>
      <w:bookmarkStart w:id="2207" w:name="_Toc256000380"/>
      <w:r>
        <w:rPr>
          <w:rFonts w:hint="eastAsia" w:ascii="黑体" w:hAnsi="黑体" w:eastAsia="黑体"/>
          <w:b w:val="0"/>
          <w:bCs w:val="0"/>
          <w:sz w:val="32"/>
        </w:rPr>
        <w:t>第七章  技术标准和要求</w:t>
      </w:r>
      <w:bookmarkEnd w:id="2206"/>
      <w:bookmarkEnd w:id="2207"/>
    </w:p>
    <w:p w14:paraId="078C726E">
      <w:pPr>
        <w:sectPr>
          <w:pgSz w:w="11906" w:h="16838"/>
          <w:pgMar w:top="1440" w:right="1800" w:bottom="1440" w:left="1800" w:header="851" w:footer="992" w:gutter="0"/>
          <w:cols w:space="425" w:num="1"/>
          <w:docGrid w:type="lines" w:linePitch="312" w:charSpace="0"/>
        </w:sectPr>
      </w:pPr>
    </w:p>
    <w:p w14:paraId="3FFFC6E5">
      <w:pPr>
        <w:pStyle w:val="23"/>
        <w:jc w:val="center"/>
      </w:pPr>
      <w:bookmarkStart w:id="2208" w:name="_Toc256000381"/>
      <w:bookmarkStart w:id="2209" w:name="_Toc152264765"/>
      <w:r>
        <w:rPr>
          <w:rFonts w:hint="eastAsia"/>
        </w:rPr>
        <w:t>第一节 一般要求</w:t>
      </w:r>
      <w:bookmarkEnd w:id="2208"/>
      <w:bookmarkEnd w:id="2209"/>
    </w:p>
    <w:p w14:paraId="3843DAC7">
      <w:pPr>
        <w:pStyle w:val="25"/>
        <w:rPr>
          <w:sz w:val="28"/>
          <w:szCs w:val="28"/>
        </w:rPr>
      </w:pPr>
      <w:bookmarkStart w:id="2210" w:name="_Toc152264766"/>
      <w:bookmarkStart w:id="2211" w:name="_Toc256000382"/>
      <w:r>
        <w:rPr>
          <w:rFonts w:hint="eastAsia"/>
          <w:sz w:val="28"/>
          <w:szCs w:val="28"/>
        </w:rPr>
        <w:t>1.工程说明</w:t>
      </w:r>
      <w:bookmarkEnd w:id="2210"/>
      <w:bookmarkEnd w:id="2211"/>
    </w:p>
    <w:p w14:paraId="3B4B0865">
      <w:pPr>
        <w:spacing w:line="480" w:lineRule="exact"/>
        <w:ind w:left="420" w:hanging="420" w:hangingChars="200"/>
        <w:rPr>
          <w:rFonts w:ascii="黑体" w:hAnsi="宋体" w:eastAsia="黑体"/>
          <w:szCs w:val="21"/>
        </w:rPr>
      </w:pPr>
      <w:r>
        <w:rPr>
          <w:rFonts w:hint="eastAsia" w:ascii="黑体" w:hAnsi="宋体" w:eastAsia="黑体"/>
          <w:szCs w:val="21"/>
        </w:rPr>
        <w:t>1.1  工程概况</w:t>
      </w:r>
    </w:p>
    <w:p w14:paraId="03D89978">
      <w:pPr>
        <w:spacing w:line="480" w:lineRule="exact"/>
        <w:ind w:left="420" w:hanging="420" w:hangingChars="200"/>
        <w:rPr>
          <w:rFonts w:ascii="宋体" w:hAnsi="宋体"/>
          <w:szCs w:val="21"/>
        </w:rPr>
      </w:pPr>
      <w:r>
        <w:rPr>
          <w:rFonts w:hint="eastAsia" w:ascii="宋体" w:hAnsi="宋体"/>
          <w:szCs w:val="21"/>
        </w:rPr>
        <w:t>l.1.1  本工程基本情况如下：</w:t>
      </w:r>
    </w:p>
    <w:p w14:paraId="28523D90">
      <w:pPr>
        <w:spacing w:line="480" w:lineRule="exact"/>
        <w:ind w:left="420" w:hanging="420" w:hangingChars="200"/>
        <w:rPr>
          <w:rFonts w:hint="eastAsia" w:ascii="宋体" w:hAnsi="宋体"/>
          <w:szCs w:val="21"/>
          <w:lang w:val="en-US" w:eastAsia="zh-CN"/>
        </w:rPr>
      </w:pPr>
      <w:r>
        <w:rPr>
          <w:rFonts w:hint="eastAsia" w:ascii="宋体" w:hAnsi="宋体"/>
          <w:szCs w:val="21"/>
        </w:rPr>
        <w:t xml:space="preserve">       </w:t>
      </w:r>
      <w:r>
        <w:rPr>
          <w:rFonts w:hint="eastAsia" w:ascii="宋体" w:hAnsi="宋体"/>
          <w:szCs w:val="21"/>
          <w:u w:val="single"/>
          <w:lang w:val="en-US" w:eastAsia="zh-CN"/>
        </w:rPr>
        <w:t>项目总占地面积185492.6平方米，总建筑面积414651平方米，其中住宅建筑面积388889平方米、公建建筑面积25762平方米。项目综合容积率为2.235,建筑密度为26.2%,绿地率为37.6%。套型按国办发[2006]37号文执行。</w:t>
      </w:r>
    </w:p>
    <w:p w14:paraId="747E391F">
      <w:pPr>
        <w:spacing w:line="480" w:lineRule="exact"/>
        <w:ind w:left="420" w:hanging="420" w:hangingChars="200"/>
        <w:rPr>
          <w:rFonts w:ascii="宋体" w:hAnsi="宋体"/>
          <w:szCs w:val="21"/>
        </w:rPr>
      </w:pPr>
      <w:r>
        <w:rPr>
          <w:rFonts w:hint="eastAsia" w:ascii="宋体" w:hAnsi="宋体"/>
          <w:szCs w:val="21"/>
        </w:rPr>
        <w:t>1.1.2  本工程施工场地（现场）具体地理位置如下：</w:t>
      </w:r>
    </w:p>
    <w:p w14:paraId="1AAFCDAB">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lang w:eastAsia="zh-CN"/>
        </w:rPr>
        <w:t>营口市老边区文化路以南、规划路以</w:t>
      </w:r>
      <w:r>
        <w:rPr>
          <w:rFonts w:hint="eastAsia" w:ascii="宋体" w:hAnsi="宋体"/>
          <w:szCs w:val="21"/>
          <w:u w:val="single"/>
          <w:lang w:val="en-US" w:eastAsia="zh-CN"/>
        </w:rPr>
        <w:t>西、</w:t>
      </w:r>
      <w:r>
        <w:rPr>
          <w:rFonts w:hint="eastAsia" w:ascii="宋体" w:hAnsi="宋体"/>
          <w:szCs w:val="21"/>
          <w:u w:val="single"/>
          <w:lang w:eastAsia="zh-CN"/>
        </w:rPr>
        <w:t>北营路以东、繁荣路以南、老边河以北</w:t>
      </w:r>
      <w:r>
        <w:rPr>
          <w:rFonts w:hint="eastAsia" w:ascii="宋体" w:hAnsi="宋体"/>
          <w:szCs w:val="21"/>
          <w:u w:val="single"/>
        </w:rPr>
        <w:t xml:space="preserve"> </w:t>
      </w:r>
      <w:r>
        <w:rPr>
          <w:rFonts w:hint="eastAsia" w:ascii="宋体" w:hAnsi="宋体"/>
          <w:szCs w:val="21"/>
          <w:u w:val="single"/>
          <w:lang w:eastAsia="zh-CN"/>
        </w:rPr>
        <w:t>。</w:t>
      </w:r>
    </w:p>
    <w:p w14:paraId="68F5861F">
      <w:pPr>
        <w:spacing w:line="480" w:lineRule="exact"/>
        <w:ind w:left="420" w:hanging="420" w:hangingChars="200"/>
        <w:rPr>
          <w:rFonts w:ascii="黑体" w:hAnsi="宋体" w:eastAsia="黑体"/>
          <w:szCs w:val="21"/>
        </w:rPr>
      </w:pPr>
      <w:r>
        <w:rPr>
          <w:rFonts w:hint="eastAsia" w:ascii="黑体" w:hAnsi="宋体" w:eastAsia="黑体"/>
          <w:szCs w:val="21"/>
        </w:rPr>
        <w:t>1.2    现场条件和周围环境</w:t>
      </w:r>
    </w:p>
    <w:p w14:paraId="23A50611">
      <w:pPr>
        <w:spacing w:line="480" w:lineRule="exact"/>
        <w:ind w:left="735" w:hanging="735" w:hangingChars="350"/>
        <w:rPr>
          <w:rFonts w:ascii="宋体" w:hAnsi="宋体"/>
          <w:szCs w:val="21"/>
        </w:rPr>
      </w:pPr>
      <w:r>
        <w:rPr>
          <w:rFonts w:hint="eastAsia" w:ascii="宋体" w:hAnsi="宋体"/>
          <w:szCs w:val="21"/>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26F0CC66">
      <w:pPr>
        <w:spacing w:line="480" w:lineRule="exact"/>
        <w:ind w:left="1050" w:hanging="1050" w:hangingChars="500"/>
        <w:rPr>
          <w:rFonts w:hint="eastAsia" w:ascii="宋体" w:hAnsi="宋体"/>
          <w:szCs w:val="21"/>
          <w:highlight w:val="none"/>
        </w:rPr>
      </w:pPr>
      <w:r>
        <w:rPr>
          <w:rFonts w:hint="eastAsia" w:ascii="宋体" w:hAnsi="宋体"/>
          <w:szCs w:val="21"/>
        </w:rPr>
        <w:t>1.2.2</w:t>
      </w:r>
      <w:r>
        <w:rPr>
          <w:rFonts w:hint="eastAsia" w:ascii="宋体" w:hAnsi="宋体"/>
          <w:szCs w:val="21"/>
          <w:highlight w:val="none"/>
        </w:rPr>
        <w:t xml:space="preserve">  施工场地（现场）临时供水管径</w:t>
      </w:r>
      <w:r>
        <w:rPr>
          <w:rFonts w:hint="eastAsia" w:ascii="宋体" w:hAnsi="宋体"/>
          <w:szCs w:val="21"/>
          <w:highlight w:val="none"/>
          <w:u w:val="single"/>
        </w:rPr>
        <w:t xml:space="preserve">                               </w:t>
      </w:r>
      <w:r>
        <w:rPr>
          <w:rFonts w:hint="eastAsia" w:ascii="宋体" w:hAnsi="宋体"/>
          <w:szCs w:val="21"/>
          <w:highlight w:val="none"/>
          <w:u w:val="none"/>
          <w:lang w:eastAsia="zh-CN"/>
        </w:rPr>
        <w:t>。</w:t>
      </w:r>
    </w:p>
    <w:p w14:paraId="0C6A1176">
      <w:pPr>
        <w:spacing w:line="480" w:lineRule="exact"/>
        <w:ind w:firstLine="735" w:firstLineChars="350"/>
        <w:rPr>
          <w:rFonts w:hint="eastAsia" w:ascii="宋体" w:hAnsi="宋体"/>
          <w:szCs w:val="21"/>
          <w:highlight w:val="none"/>
        </w:rPr>
      </w:pPr>
      <w:r>
        <w:rPr>
          <w:rFonts w:hint="eastAsia" w:ascii="宋体" w:hAnsi="宋体"/>
          <w:szCs w:val="21"/>
          <w:highlight w:val="none"/>
        </w:rPr>
        <w:t>施工场地（现场）临时排污管径</w:t>
      </w:r>
      <w:r>
        <w:rPr>
          <w:rFonts w:hint="eastAsia" w:ascii="宋体" w:hAnsi="宋体"/>
          <w:szCs w:val="21"/>
          <w:highlight w:val="none"/>
          <w:u w:val="single"/>
        </w:rPr>
        <w:t xml:space="preserve">                               </w:t>
      </w:r>
      <w:r>
        <w:rPr>
          <w:rFonts w:hint="eastAsia" w:ascii="宋体" w:hAnsi="宋体"/>
          <w:szCs w:val="21"/>
          <w:highlight w:val="none"/>
          <w:u w:val="none"/>
          <w:lang w:eastAsia="zh-CN"/>
        </w:rPr>
        <w:t>。</w:t>
      </w:r>
    </w:p>
    <w:p w14:paraId="49CFC4C1">
      <w:pPr>
        <w:spacing w:line="480" w:lineRule="exact"/>
        <w:ind w:left="798" w:leftChars="330" w:hanging="105" w:hangingChars="50"/>
        <w:rPr>
          <w:rFonts w:hint="eastAsia" w:ascii="宋体" w:hAnsi="宋体"/>
          <w:szCs w:val="21"/>
        </w:rPr>
      </w:pPr>
      <w:r>
        <w:rPr>
          <w:rFonts w:hint="eastAsia" w:ascii="宋体" w:hAnsi="宋体"/>
          <w:szCs w:val="21"/>
          <w:highlight w:val="none"/>
        </w:rPr>
        <w:t>施工场地（现场）临时雨水管径</w:t>
      </w:r>
      <w:r>
        <w:rPr>
          <w:rFonts w:hint="eastAsia" w:ascii="宋体" w:hAnsi="宋体"/>
          <w:szCs w:val="21"/>
          <w:u w:val="single"/>
        </w:rPr>
        <w:t xml:space="preserve">                               </w:t>
      </w:r>
      <w:r>
        <w:rPr>
          <w:rFonts w:hint="eastAsia" w:ascii="宋体" w:hAnsi="宋体"/>
          <w:szCs w:val="21"/>
          <w:u w:val="none"/>
          <w:lang w:eastAsia="zh-CN"/>
        </w:rPr>
        <w:t>。</w:t>
      </w:r>
    </w:p>
    <w:p w14:paraId="1A93A8AA">
      <w:pPr>
        <w:spacing w:line="480" w:lineRule="exact"/>
        <w:ind w:firstLine="756" w:firstLineChars="360"/>
        <w:rPr>
          <w:rFonts w:hint="eastAsia" w:ascii="宋体" w:hAnsi="宋体"/>
          <w:szCs w:val="21"/>
        </w:rPr>
      </w:pPr>
      <w:r>
        <w:rPr>
          <w:rFonts w:hint="eastAsia" w:ascii="宋体" w:hAnsi="宋体"/>
          <w:szCs w:val="21"/>
        </w:rPr>
        <w:t>施工现场临时供电容量（变压器输出功率）</w:t>
      </w:r>
      <w:r>
        <w:rPr>
          <w:rFonts w:hint="eastAsia" w:ascii="宋体" w:hAnsi="宋体"/>
          <w:szCs w:val="21"/>
          <w:u w:val="single"/>
        </w:rPr>
        <w:t xml:space="preserve">                     </w:t>
      </w:r>
      <w:r>
        <w:rPr>
          <w:rFonts w:hint="eastAsia" w:ascii="宋体" w:hAnsi="宋体"/>
          <w:szCs w:val="21"/>
          <w:u w:val="none"/>
          <w:lang w:eastAsia="zh-CN"/>
        </w:rPr>
        <w:t>。</w:t>
      </w:r>
    </w:p>
    <w:p w14:paraId="18410DBD">
      <w:pPr>
        <w:spacing w:line="480" w:lineRule="exact"/>
        <w:ind w:left="420" w:hanging="420" w:hangingChars="200"/>
        <w:rPr>
          <w:rFonts w:ascii="宋体" w:hAnsi="宋体"/>
          <w:szCs w:val="21"/>
        </w:rPr>
      </w:pPr>
      <w:r>
        <w:rPr>
          <w:rFonts w:hint="eastAsia" w:ascii="宋体" w:hAnsi="宋体"/>
          <w:szCs w:val="21"/>
        </w:rPr>
        <w:t>1.2.3  现场条件和周围环境的其他资料和信息数据如下：</w:t>
      </w:r>
    </w:p>
    <w:p w14:paraId="58483C38">
      <w:pPr>
        <w:spacing w:line="480" w:lineRule="exact"/>
        <w:ind w:left="420" w:hanging="420" w:hangingChars="2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14:paraId="78623962">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6C836CEB">
      <w:pPr>
        <w:spacing w:line="480" w:lineRule="exact"/>
        <w:ind w:left="420" w:hanging="420" w:hangingChars="200"/>
        <w:rPr>
          <w:rFonts w:ascii="宋体" w:hAnsi="宋体"/>
          <w:szCs w:val="21"/>
        </w:rPr>
      </w:pPr>
      <w:r>
        <w:rPr>
          <w:rFonts w:hint="eastAsia" w:ascii="宋体" w:hAnsi="宋体"/>
          <w:szCs w:val="21"/>
        </w:rPr>
        <w:t>1.2.4  承包人被认为已在本工程投标阶段踏勘现场时充分了解本工程现场条件和周围</w:t>
      </w:r>
    </w:p>
    <w:p w14:paraId="21DDFA9C">
      <w:pPr>
        <w:spacing w:line="480" w:lineRule="exact"/>
        <w:ind w:left="420" w:leftChars="200" w:firstLine="315" w:firstLineChars="150"/>
        <w:rPr>
          <w:rFonts w:ascii="宋体" w:hAnsi="宋体"/>
          <w:szCs w:val="21"/>
        </w:rPr>
      </w:pPr>
      <w:r>
        <w:rPr>
          <w:rFonts w:hint="eastAsia" w:ascii="宋体" w:hAnsi="宋体"/>
          <w:szCs w:val="21"/>
        </w:rPr>
        <w:t>环境，并已在其投标时就此给予了充分的考虑。</w:t>
      </w:r>
    </w:p>
    <w:p w14:paraId="4AB1B96A">
      <w:pPr>
        <w:spacing w:line="480" w:lineRule="exact"/>
        <w:ind w:left="420" w:hanging="420" w:hangingChars="200"/>
        <w:rPr>
          <w:rFonts w:ascii="黑体" w:hAnsi="宋体" w:eastAsia="黑体"/>
          <w:szCs w:val="21"/>
        </w:rPr>
      </w:pPr>
      <w:r>
        <w:rPr>
          <w:rFonts w:hint="eastAsia" w:ascii="黑体" w:hAnsi="宋体" w:eastAsia="黑体"/>
          <w:szCs w:val="21"/>
        </w:rPr>
        <w:t>1.3   地质及水文资料</w:t>
      </w:r>
    </w:p>
    <w:p w14:paraId="6B6DD0D8">
      <w:pPr>
        <w:spacing w:line="480" w:lineRule="exact"/>
        <w:ind w:left="420" w:hanging="420" w:hangingChars="200"/>
        <w:rPr>
          <w:rFonts w:ascii="宋体" w:hAnsi="宋体"/>
          <w:szCs w:val="21"/>
        </w:rPr>
      </w:pPr>
      <w:r>
        <w:rPr>
          <w:rFonts w:hint="eastAsia" w:ascii="宋体" w:hAnsi="宋体"/>
          <w:szCs w:val="21"/>
        </w:rPr>
        <w:t>1.3.1  现场地质及水文资料和信息数据如下：</w:t>
      </w:r>
    </w:p>
    <w:p w14:paraId="038CA588">
      <w:pPr>
        <w:spacing w:line="480" w:lineRule="exact"/>
        <w:ind w:left="420" w:hanging="420" w:hangingChars="2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5622C4DD">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AD0D587">
      <w:pPr>
        <w:spacing w:line="400" w:lineRule="exact"/>
        <w:ind w:left="1200" w:hanging="1200" w:hangingChars="500"/>
        <w:rPr>
          <w:rFonts w:ascii="黑体" w:hAnsi="宋体" w:eastAsia="黑体"/>
          <w:sz w:val="24"/>
        </w:rPr>
      </w:pPr>
      <w:r>
        <w:rPr>
          <w:rFonts w:hint="eastAsia" w:ascii="黑体" w:hAnsi="宋体" w:eastAsia="黑体"/>
          <w:sz w:val="24"/>
        </w:rPr>
        <w:t>1.4    资料和信息的使用</w:t>
      </w:r>
    </w:p>
    <w:p w14:paraId="01569AA2">
      <w:pPr>
        <w:spacing w:line="400" w:lineRule="exact"/>
        <w:ind w:left="783" w:hanging="783" w:hangingChars="373"/>
        <w:rPr>
          <w:rFonts w:ascii="宋体" w:hAnsi="宋体"/>
          <w:szCs w:val="21"/>
        </w:rPr>
      </w:pPr>
      <w:r>
        <w:rPr>
          <w:rFonts w:hint="eastAsia" w:ascii="宋体" w:hAnsi="宋体"/>
          <w:szCs w:val="21"/>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6C2C0DF3">
      <w:pPr>
        <w:pStyle w:val="25"/>
        <w:rPr>
          <w:sz w:val="28"/>
          <w:szCs w:val="28"/>
        </w:rPr>
      </w:pPr>
      <w:bookmarkStart w:id="2212" w:name="_Toc256000383"/>
      <w:bookmarkStart w:id="2213" w:name="_Toc152264767"/>
      <w:r>
        <w:rPr>
          <w:rFonts w:hint="eastAsia"/>
          <w:sz w:val="28"/>
          <w:szCs w:val="28"/>
        </w:rPr>
        <w:t>2.承包范围</w:t>
      </w:r>
      <w:bookmarkEnd w:id="2212"/>
      <w:bookmarkEnd w:id="2213"/>
    </w:p>
    <w:p w14:paraId="6D3742F3">
      <w:pPr>
        <w:spacing w:line="400" w:lineRule="exact"/>
        <w:ind w:left="1200" w:hanging="1200" w:hangingChars="500"/>
        <w:rPr>
          <w:rFonts w:ascii="黑体" w:hAnsi="宋体" w:eastAsia="黑体"/>
          <w:sz w:val="24"/>
        </w:rPr>
      </w:pPr>
      <w:r>
        <w:rPr>
          <w:rFonts w:hint="eastAsia" w:ascii="黑体" w:hAnsi="宋体" w:eastAsia="黑体"/>
          <w:sz w:val="24"/>
        </w:rPr>
        <w:t>2.1    承包范围</w:t>
      </w:r>
    </w:p>
    <w:p w14:paraId="6C92837D">
      <w:pPr>
        <w:spacing w:line="400" w:lineRule="exact"/>
        <w:ind w:left="1050" w:hanging="1050" w:hangingChars="500"/>
        <w:rPr>
          <w:rFonts w:ascii="黑体" w:hAnsi="宋体" w:eastAsia="黑体"/>
          <w:szCs w:val="21"/>
        </w:rPr>
      </w:pPr>
      <w:r>
        <w:rPr>
          <w:rFonts w:hint="eastAsia" w:ascii="黑体" w:hAnsi="宋体" w:eastAsia="黑体"/>
          <w:szCs w:val="21"/>
        </w:rPr>
        <w:t>2.1.1   承包人自行施工范围</w:t>
      </w:r>
    </w:p>
    <w:p w14:paraId="04E26C6A">
      <w:pPr>
        <w:spacing w:line="400" w:lineRule="exact"/>
        <w:ind w:left="1050" w:leftChars="250" w:hanging="525" w:hangingChars="250"/>
        <w:rPr>
          <w:rFonts w:ascii="宋体" w:hAnsi="宋体"/>
          <w:szCs w:val="21"/>
        </w:rPr>
      </w:pPr>
      <w:r>
        <w:rPr>
          <w:rFonts w:hint="eastAsia" w:ascii="宋体" w:hAnsi="宋体"/>
          <w:szCs w:val="21"/>
        </w:rPr>
        <w:t xml:space="preserve">   本工程承包人自行施工的工程范围如下：</w:t>
      </w:r>
    </w:p>
    <w:p w14:paraId="13D141A3">
      <w:pPr>
        <w:spacing w:line="500" w:lineRule="exact"/>
        <w:ind w:left="420" w:hanging="420" w:hangingChars="2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22198BC">
      <w:pPr>
        <w:spacing w:line="50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742E96F">
      <w:pPr>
        <w:spacing w:line="400" w:lineRule="exact"/>
        <w:ind w:left="1050" w:hanging="1050" w:hangingChars="500"/>
        <w:rPr>
          <w:rFonts w:ascii="黑体" w:hAnsi="宋体" w:eastAsia="黑体"/>
          <w:szCs w:val="21"/>
        </w:rPr>
      </w:pPr>
      <w:r>
        <w:rPr>
          <w:rFonts w:hint="eastAsia" w:ascii="黑体" w:hAnsi="宋体" w:eastAsia="黑体"/>
          <w:szCs w:val="21"/>
        </w:rPr>
        <w:t>2.1.2    承包范围内的暂估价项目</w:t>
      </w:r>
    </w:p>
    <w:p w14:paraId="2E952BC6">
      <w:pPr>
        <w:spacing w:line="400" w:lineRule="exact"/>
        <w:ind w:left="945" w:hanging="945" w:hangingChars="450"/>
        <w:rPr>
          <w:rFonts w:ascii="宋体" w:hAnsi="宋体"/>
          <w:szCs w:val="21"/>
        </w:rPr>
      </w:pPr>
      <w:r>
        <w:rPr>
          <w:rFonts w:hint="eastAsia" w:ascii="宋体" w:hAnsi="宋体"/>
          <w:szCs w:val="21"/>
        </w:rPr>
        <w:t>2.1.2.1  承包范围内以暂估价形式实施的专业工程见第五章“工程量清单”表4.11—3“专业工程暂估价表”。</w:t>
      </w:r>
    </w:p>
    <w:p w14:paraId="1125574F">
      <w:pPr>
        <w:tabs>
          <w:tab w:val="left" w:pos="1260"/>
        </w:tabs>
        <w:spacing w:line="400" w:lineRule="exact"/>
        <w:ind w:left="945" w:hanging="945" w:hangingChars="450"/>
        <w:rPr>
          <w:rFonts w:ascii="宋体" w:hAnsi="宋体"/>
          <w:szCs w:val="21"/>
        </w:rPr>
      </w:pPr>
      <w:r>
        <w:rPr>
          <w:rFonts w:hint="eastAsia" w:ascii="宋体" w:hAnsi="宋体"/>
          <w:szCs w:val="21"/>
        </w:rPr>
        <w:t>2.1.2.2  承包范围内以暂估价形式实施的材料和工程设备见第五章“工程量清单”表4.11—2“材料和工程设备暂估单价表”。</w:t>
      </w:r>
    </w:p>
    <w:p w14:paraId="774D154A">
      <w:pPr>
        <w:spacing w:line="400" w:lineRule="exact"/>
        <w:ind w:left="735" w:hanging="735" w:hangingChars="350"/>
        <w:rPr>
          <w:rFonts w:ascii="宋体" w:hAnsi="宋体"/>
          <w:szCs w:val="21"/>
        </w:rPr>
      </w:pPr>
      <w:r>
        <w:rPr>
          <w:rFonts w:hint="eastAsia" w:ascii="宋体" w:hAnsi="宋体"/>
          <w:szCs w:val="21"/>
        </w:rPr>
        <w:t>2.1.2.3  上述暂估价项目与本节第2.1.1项承包人自行施工范围的工作界面划分如下：</w:t>
      </w:r>
    </w:p>
    <w:p w14:paraId="0E9A274F">
      <w:pPr>
        <w:spacing w:line="500" w:lineRule="exact"/>
        <w:ind w:left="735" w:hanging="735" w:hangingChars="35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410E506">
      <w:pPr>
        <w:spacing w:line="4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350C7318">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008DFA4">
      <w:pPr>
        <w:spacing w:line="400" w:lineRule="exact"/>
        <w:ind w:left="735" w:hanging="735" w:hangingChars="350"/>
        <w:rPr>
          <w:rFonts w:ascii="黑体" w:hAnsi="宋体" w:eastAsia="黑体"/>
          <w:szCs w:val="21"/>
        </w:rPr>
      </w:pPr>
      <w:r>
        <w:rPr>
          <w:rFonts w:hint="eastAsia" w:ascii="黑体" w:hAnsi="宋体" w:eastAsia="黑体"/>
          <w:szCs w:val="21"/>
        </w:rPr>
        <w:t>2.1.3     承包范围内的暂列金额项目</w:t>
      </w:r>
    </w:p>
    <w:p w14:paraId="4C05C848">
      <w:pPr>
        <w:spacing w:line="400" w:lineRule="exact"/>
        <w:ind w:left="945" w:hanging="945" w:hangingChars="450"/>
        <w:rPr>
          <w:rFonts w:ascii="宋体" w:hAnsi="宋体"/>
          <w:szCs w:val="21"/>
        </w:rPr>
      </w:pPr>
      <w:r>
        <w:rPr>
          <w:rFonts w:hint="eastAsia" w:ascii="宋体" w:hAnsi="宋体"/>
          <w:szCs w:val="21"/>
        </w:rPr>
        <w:t>2.1.3.1  承包范围内以暂列金额（包括计日工）方式实施的项目见第五章“工程量清单”表4.1l—l“暂列金额明细表”（不包括计日工）和表4.1l一4“计日工表”，其中计日工金额为承包人在其投标报价中按表4.11—4“计日工表”所列计日工子目、数量和相应规定填报的金额。</w:t>
      </w:r>
    </w:p>
    <w:p w14:paraId="3A571CBB">
      <w:pPr>
        <w:spacing w:line="400" w:lineRule="exact"/>
        <w:ind w:left="945" w:hanging="945" w:hangingChars="450"/>
        <w:rPr>
          <w:rFonts w:ascii="宋体" w:hAnsi="宋体"/>
          <w:szCs w:val="21"/>
        </w:rPr>
      </w:pPr>
      <w:r>
        <w:rPr>
          <w:rFonts w:hint="eastAsia" w:ascii="宋体" w:hAnsi="宋体"/>
          <w:szCs w:val="21"/>
        </w:rPr>
        <w:t>2.1.3.2  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1938312A">
      <w:pPr>
        <w:spacing w:line="400" w:lineRule="exact"/>
        <w:ind w:left="945" w:hanging="945" w:hangingChars="450"/>
        <w:rPr>
          <w:rFonts w:ascii="宋体" w:hAnsi="宋体"/>
          <w:szCs w:val="21"/>
        </w:rPr>
      </w:pPr>
      <w:r>
        <w:rPr>
          <w:rFonts w:hint="eastAsia" w:ascii="宋体" w:hAnsi="宋体"/>
          <w:szCs w:val="21"/>
        </w:rPr>
        <w:t>2.1.3.3  暂列金额是否实际发生、其再分和合并等均不应成为承包人要求任何追加费用和（或）延长工期的理由。</w:t>
      </w:r>
    </w:p>
    <w:p w14:paraId="36CBAB51">
      <w:pPr>
        <w:spacing w:line="400" w:lineRule="exact"/>
        <w:ind w:left="735" w:hanging="735" w:hangingChars="350"/>
        <w:rPr>
          <w:rFonts w:ascii="宋体" w:hAnsi="宋体"/>
          <w:szCs w:val="21"/>
        </w:rPr>
      </w:pPr>
      <w:r>
        <w:rPr>
          <w:rFonts w:hint="eastAsia" w:ascii="宋体" w:hAnsi="宋体"/>
          <w:szCs w:val="21"/>
        </w:rPr>
        <w:t>2.1.3.4  关于暂列金额的其他说明：</w:t>
      </w:r>
    </w:p>
    <w:p w14:paraId="6326DBD8">
      <w:pPr>
        <w:spacing w:line="4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6B943A0">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151E098B">
      <w:pPr>
        <w:spacing w:line="400" w:lineRule="exact"/>
        <w:ind w:left="735" w:hanging="735" w:hangingChars="350"/>
        <w:rPr>
          <w:rFonts w:ascii="黑体" w:hAnsi="宋体" w:eastAsia="黑体"/>
          <w:szCs w:val="21"/>
        </w:rPr>
      </w:pPr>
      <w:r>
        <w:rPr>
          <w:rFonts w:hint="eastAsia" w:ascii="黑体" w:hAnsi="宋体" w:eastAsia="黑体"/>
          <w:szCs w:val="21"/>
        </w:rPr>
        <w:t>2.2    发包人发包专业工程和发包人供应的材料和工程设备</w:t>
      </w:r>
    </w:p>
    <w:p w14:paraId="105DFD7A">
      <w:pPr>
        <w:spacing w:line="400" w:lineRule="exact"/>
        <w:ind w:left="735" w:hanging="735" w:hangingChars="350"/>
        <w:rPr>
          <w:rFonts w:ascii="宋体" w:hAnsi="宋体"/>
          <w:szCs w:val="21"/>
        </w:rPr>
      </w:pPr>
      <w:r>
        <w:rPr>
          <w:rFonts w:hint="eastAsia" w:ascii="宋体" w:hAnsi="宋体"/>
          <w:szCs w:val="21"/>
        </w:rPr>
        <w:t>2.2.1  由发包人发包的专业工程属于与本工程有关的其他工程，不属于承包人的承包范围。发包人发包的专业工程如下：</w:t>
      </w:r>
    </w:p>
    <w:p w14:paraId="57CA8DFA">
      <w:pPr>
        <w:spacing w:line="5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D1852CE">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3A4ACF55">
      <w:pPr>
        <w:spacing w:line="400" w:lineRule="exact"/>
        <w:ind w:left="735" w:hanging="735" w:hangingChars="350"/>
        <w:rPr>
          <w:rFonts w:ascii="宋体" w:hAnsi="宋体"/>
          <w:szCs w:val="21"/>
        </w:rPr>
      </w:pPr>
      <w:r>
        <w:rPr>
          <w:rFonts w:hint="eastAsia" w:ascii="宋体" w:hAnsi="宋体"/>
          <w:szCs w:val="21"/>
        </w:rPr>
        <w:t>2.2.2  由发包人供应的材料和工程设备不属于承包人的承包范围。发包人供应的材料和工程设备见合同附件二“发包人供应的材料和工程设备一览表”。</w:t>
      </w:r>
    </w:p>
    <w:p w14:paraId="03063ECB">
      <w:pPr>
        <w:spacing w:line="400" w:lineRule="exact"/>
        <w:ind w:left="735" w:hanging="735" w:hangingChars="350"/>
        <w:rPr>
          <w:rFonts w:ascii="黑体" w:hAnsi="宋体" w:eastAsia="黑体"/>
          <w:szCs w:val="21"/>
        </w:rPr>
      </w:pPr>
      <w:r>
        <w:rPr>
          <w:rFonts w:hint="eastAsia" w:ascii="黑体" w:hAnsi="宋体" w:eastAsia="黑体"/>
          <w:szCs w:val="21"/>
        </w:rPr>
        <w:t>2.3    承包人与发包人发包专业工程承包人的工作界面</w:t>
      </w:r>
    </w:p>
    <w:p w14:paraId="52117E8F">
      <w:pPr>
        <w:spacing w:line="400" w:lineRule="exact"/>
        <w:ind w:left="735" w:hanging="735" w:hangingChars="350"/>
        <w:rPr>
          <w:rFonts w:ascii="宋体" w:hAnsi="宋体"/>
          <w:szCs w:val="21"/>
        </w:rPr>
      </w:pPr>
      <w:r>
        <w:rPr>
          <w:rFonts w:hint="eastAsia" w:ascii="宋体" w:hAnsi="宋体"/>
          <w:szCs w:val="21"/>
        </w:rPr>
        <w:t>2.3.1  承包人与发包人发包专业工程承包人以及与发包人供应的材料和设备的供应商之间的工作界面划分如下：</w:t>
      </w:r>
    </w:p>
    <w:p w14:paraId="55991BAB">
      <w:pPr>
        <w:spacing w:line="5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C256E2A">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642AE39">
      <w:pPr>
        <w:spacing w:line="400" w:lineRule="exact"/>
        <w:ind w:left="735" w:hanging="735" w:hangingChars="350"/>
        <w:rPr>
          <w:rFonts w:ascii="黑体" w:hAnsi="宋体" w:eastAsia="黑体"/>
          <w:szCs w:val="21"/>
        </w:rPr>
      </w:pPr>
      <w:r>
        <w:rPr>
          <w:rFonts w:hint="eastAsia" w:ascii="黑体" w:hAnsi="宋体" w:eastAsia="黑体"/>
          <w:szCs w:val="21"/>
        </w:rPr>
        <w:t>2.4    承包人需要为发包人和监理人提供的现场办公条件和设施</w:t>
      </w:r>
    </w:p>
    <w:p w14:paraId="62E84F7B">
      <w:pPr>
        <w:spacing w:line="400" w:lineRule="exact"/>
        <w:ind w:left="735" w:hanging="735" w:hangingChars="350"/>
        <w:rPr>
          <w:rFonts w:ascii="宋体" w:hAnsi="宋体"/>
          <w:szCs w:val="21"/>
        </w:rPr>
      </w:pPr>
      <w:r>
        <w:rPr>
          <w:rFonts w:hint="eastAsia" w:ascii="宋体" w:hAnsi="宋体"/>
          <w:szCs w:val="21"/>
        </w:rPr>
        <w:t>2.4.1  承包人需要为发包人和监理人提供的现场办公条件和设施及其详细要求如下：</w:t>
      </w:r>
    </w:p>
    <w:p w14:paraId="3D82EEAD">
      <w:pPr>
        <w:spacing w:line="4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47D16D9">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351DE81D">
      <w:pPr>
        <w:pStyle w:val="25"/>
        <w:rPr>
          <w:sz w:val="28"/>
          <w:szCs w:val="28"/>
        </w:rPr>
      </w:pPr>
      <w:bookmarkStart w:id="2214" w:name="_Toc152264768"/>
      <w:bookmarkStart w:id="2215" w:name="_Toc256000384"/>
      <w:r>
        <w:rPr>
          <w:rFonts w:hint="eastAsia"/>
          <w:sz w:val="28"/>
          <w:szCs w:val="28"/>
        </w:rPr>
        <w:t>3.工期要求</w:t>
      </w:r>
      <w:bookmarkEnd w:id="2214"/>
      <w:bookmarkEnd w:id="2215"/>
    </w:p>
    <w:p w14:paraId="03078F2F">
      <w:pPr>
        <w:spacing w:line="400" w:lineRule="exact"/>
        <w:ind w:left="840" w:hanging="840" w:hangingChars="350"/>
        <w:rPr>
          <w:rFonts w:ascii="黑体" w:hAnsi="宋体" w:eastAsia="黑体"/>
          <w:sz w:val="24"/>
        </w:rPr>
      </w:pPr>
      <w:r>
        <w:rPr>
          <w:rFonts w:hint="eastAsia" w:ascii="黑体" w:hAnsi="宋体" w:eastAsia="黑体"/>
          <w:sz w:val="24"/>
        </w:rPr>
        <w:t>3.1   合同工期</w:t>
      </w:r>
    </w:p>
    <w:p w14:paraId="43071E7E">
      <w:pPr>
        <w:spacing w:line="400" w:lineRule="exact"/>
        <w:ind w:left="711" w:leftChars="333" w:hanging="12" w:hangingChars="6"/>
        <w:rPr>
          <w:rFonts w:ascii="宋体" w:hAnsi="宋体"/>
          <w:szCs w:val="21"/>
        </w:rPr>
      </w:pPr>
      <w:r>
        <w:rPr>
          <w:rFonts w:hint="eastAsia" w:ascii="宋体" w:hAnsi="宋体"/>
          <w:szCs w:val="21"/>
        </w:rPr>
        <w:t>本工程合同工期和计划开、竣工日期为承包人在投标函附录中承诺的工期和计划开、竣工日期，并在合同协议书中载明。</w:t>
      </w:r>
    </w:p>
    <w:p w14:paraId="40235CC6">
      <w:pPr>
        <w:spacing w:line="400" w:lineRule="exact"/>
        <w:ind w:left="840" w:hanging="840" w:hangingChars="350"/>
        <w:rPr>
          <w:rFonts w:ascii="黑体" w:hAnsi="宋体" w:eastAsia="黑体"/>
          <w:sz w:val="24"/>
        </w:rPr>
      </w:pPr>
      <w:r>
        <w:rPr>
          <w:rFonts w:hint="eastAsia" w:ascii="黑体" w:hAnsi="宋体" w:eastAsia="黑体"/>
          <w:sz w:val="24"/>
        </w:rPr>
        <w:t>3.2   关于工期的一般规定</w:t>
      </w:r>
    </w:p>
    <w:p w14:paraId="35B8F3EA">
      <w:pPr>
        <w:spacing w:line="400" w:lineRule="exact"/>
        <w:ind w:left="735" w:hanging="735" w:hangingChars="350"/>
        <w:rPr>
          <w:rFonts w:ascii="宋体" w:hAnsi="宋体"/>
          <w:szCs w:val="21"/>
        </w:rPr>
      </w:pPr>
      <w:r>
        <w:rPr>
          <w:rFonts w:hint="eastAsia" w:ascii="宋体" w:hAnsi="宋体"/>
          <w:szCs w:val="21"/>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7FF9F49D">
      <w:pPr>
        <w:spacing w:line="400" w:lineRule="exact"/>
        <w:ind w:left="735" w:hanging="735" w:hangingChars="350"/>
        <w:rPr>
          <w:rFonts w:ascii="宋体" w:hAnsi="宋体"/>
          <w:szCs w:val="21"/>
        </w:rPr>
      </w:pPr>
      <w:r>
        <w:rPr>
          <w:rFonts w:hint="eastAsia" w:ascii="宋体" w:hAnsi="宋体"/>
          <w:szCs w:val="21"/>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CB37927">
      <w:pPr>
        <w:spacing w:line="400" w:lineRule="exact"/>
        <w:ind w:left="735" w:hanging="735" w:hangingChars="350"/>
        <w:rPr>
          <w:rFonts w:ascii="宋体" w:hAnsi="宋体"/>
          <w:szCs w:val="21"/>
        </w:rPr>
      </w:pPr>
      <w:r>
        <w:rPr>
          <w:rFonts w:hint="eastAsia" w:ascii="宋体" w:hAnsi="宋体"/>
          <w:szCs w:val="21"/>
        </w:rPr>
        <w:t>3.2.3  承包人在投标函附录中所承诺的工期应当包括实施并完成本节上述2.1.2项规定的暂估价项目和上述2.1.3项规定的实际可能发生的暂列金额在内的所有工作的工期。</w:t>
      </w:r>
    </w:p>
    <w:p w14:paraId="60F50823">
      <w:pPr>
        <w:pStyle w:val="25"/>
        <w:rPr>
          <w:sz w:val="28"/>
          <w:szCs w:val="28"/>
        </w:rPr>
      </w:pPr>
      <w:bookmarkStart w:id="2216" w:name="_Toc256000385"/>
      <w:bookmarkStart w:id="2217" w:name="_Toc152264769"/>
      <w:r>
        <w:rPr>
          <w:rFonts w:hint="eastAsia"/>
          <w:sz w:val="28"/>
          <w:szCs w:val="28"/>
        </w:rPr>
        <w:t>4.质量要求</w:t>
      </w:r>
      <w:bookmarkEnd w:id="2216"/>
      <w:bookmarkEnd w:id="2217"/>
    </w:p>
    <w:p w14:paraId="05EFB63C">
      <w:pPr>
        <w:spacing w:line="400" w:lineRule="exact"/>
        <w:ind w:left="840" w:hanging="840" w:hangingChars="350"/>
        <w:rPr>
          <w:rFonts w:ascii="黑体" w:hAnsi="宋体" w:eastAsia="黑体"/>
          <w:sz w:val="24"/>
        </w:rPr>
      </w:pPr>
      <w:r>
        <w:rPr>
          <w:rFonts w:hint="eastAsia" w:ascii="黑体" w:hAnsi="宋体" w:eastAsia="黑体"/>
          <w:sz w:val="24"/>
        </w:rPr>
        <w:t>4.1   质量标准</w:t>
      </w:r>
    </w:p>
    <w:p w14:paraId="498ED198">
      <w:pPr>
        <w:spacing w:line="400" w:lineRule="exact"/>
        <w:ind w:left="735" w:hanging="735" w:hangingChars="350"/>
        <w:rPr>
          <w:rFonts w:ascii="宋体" w:hAnsi="宋体"/>
          <w:szCs w:val="21"/>
        </w:rPr>
      </w:pPr>
      <w:r>
        <w:rPr>
          <w:rFonts w:hint="eastAsia" w:ascii="宋体" w:hAnsi="宋体"/>
          <w:szCs w:val="21"/>
        </w:rPr>
        <w:t>4.1.1  本工程要求的质量标准为</w:t>
      </w:r>
      <w:r>
        <w:rPr>
          <w:rFonts w:hint="eastAsia" w:ascii="宋体" w:hAnsi="宋体" w:cs="Arial"/>
          <w:u w:val="single"/>
        </w:rPr>
        <w:t>符合现行国家有关工程施工验收规范和标准的要求（也称合格）</w:t>
      </w:r>
      <w:r>
        <w:rPr>
          <w:rFonts w:hint="eastAsia" w:ascii="宋体" w:hAnsi="宋体"/>
          <w:szCs w:val="21"/>
        </w:rPr>
        <w:t>。</w:t>
      </w:r>
    </w:p>
    <w:p w14:paraId="444627E5">
      <w:pPr>
        <w:spacing w:before="24" w:beforeLines="10" w:after="24" w:afterLines="10" w:line="420" w:lineRule="exact"/>
        <w:ind w:left="840" w:hanging="840" w:hangingChars="350"/>
        <w:rPr>
          <w:rFonts w:ascii="黑体" w:hAnsi="宋体" w:eastAsia="黑体"/>
          <w:sz w:val="24"/>
        </w:rPr>
      </w:pPr>
      <w:r>
        <w:rPr>
          <w:rFonts w:hint="eastAsia" w:ascii="黑体" w:hAnsi="宋体" w:eastAsia="黑体"/>
          <w:sz w:val="24"/>
        </w:rPr>
        <w:t>4.2   特殊质量要求</w:t>
      </w:r>
    </w:p>
    <w:p w14:paraId="7A35947A">
      <w:pPr>
        <w:spacing w:line="400" w:lineRule="exact"/>
        <w:ind w:left="735" w:hanging="735" w:hangingChars="350"/>
        <w:rPr>
          <w:rFonts w:ascii="宋体" w:hAnsi="宋体"/>
          <w:szCs w:val="21"/>
        </w:rPr>
      </w:pPr>
      <w:r>
        <w:rPr>
          <w:rFonts w:hint="eastAsia" w:ascii="宋体" w:hAnsi="宋体"/>
          <w:szCs w:val="21"/>
        </w:rPr>
        <w:t>4.2.1  有关本工程质量方面的特殊要求如下：</w:t>
      </w:r>
    </w:p>
    <w:p w14:paraId="62C79578">
      <w:pPr>
        <w:spacing w:line="5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1EAC374">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63C673C5">
      <w:pPr>
        <w:pStyle w:val="25"/>
        <w:rPr>
          <w:sz w:val="28"/>
          <w:szCs w:val="28"/>
        </w:rPr>
      </w:pPr>
      <w:bookmarkStart w:id="2218" w:name="_Toc152264770"/>
      <w:bookmarkStart w:id="2219" w:name="_Toc256000386"/>
      <w:r>
        <w:rPr>
          <w:rFonts w:hint="eastAsia"/>
          <w:sz w:val="28"/>
          <w:szCs w:val="28"/>
        </w:rPr>
        <w:t>5.适用规范和标准</w:t>
      </w:r>
      <w:bookmarkEnd w:id="2218"/>
      <w:bookmarkEnd w:id="2219"/>
    </w:p>
    <w:p w14:paraId="438DDB90">
      <w:pPr>
        <w:spacing w:before="24" w:beforeLines="10" w:after="24" w:afterLines="10" w:line="420" w:lineRule="exact"/>
        <w:ind w:left="840" w:hanging="840" w:hangingChars="350"/>
        <w:rPr>
          <w:rFonts w:ascii="黑体" w:hAnsi="宋体" w:eastAsia="黑体"/>
          <w:sz w:val="24"/>
        </w:rPr>
      </w:pPr>
      <w:r>
        <w:rPr>
          <w:rFonts w:hint="eastAsia" w:ascii="黑体" w:hAnsi="宋体" w:eastAsia="黑体"/>
          <w:sz w:val="24"/>
        </w:rPr>
        <w:t>5.1    适用的规范、标准和规程</w:t>
      </w:r>
    </w:p>
    <w:p w14:paraId="7457F3BB">
      <w:pPr>
        <w:spacing w:line="420" w:lineRule="exact"/>
        <w:ind w:left="735" w:hanging="735" w:hangingChars="350"/>
        <w:rPr>
          <w:rFonts w:ascii="宋体" w:hAnsi="宋体"/>
          <w:szCs w:val="21"/>
        </w:rPr>
      </w:pPr>
      <w:r>
        <w:rPr>
          <w:rFonts w:hint="eastAsia" w:ascii="宋体" w:hAnsi="宋体"/>
          <w:szCs w:val="21"/>
        </w:rPr>
        <w:t>5.1.1  除合同另有约定外，本工程适用现行国家、行业和地方规范、标准和规程。适用于本工程的国家、行业和地方的规范、标准和规范等的名录见本章第三节。</w:t>
      </w:r>
    </w:p>
    <w:p w14:paraId="13E1E899">
      <w:pPr>
        <w:spacing w:line="420" w:lineRule="exact"/>
        <w:ind w:left="737"/>
        <w:rPr>
          <w:rFonts w:ascii="宋体" w:hAnsi="宋体"/>
          <w:szCs w:val="21"/>
        </w:rPr>
      </w:pPr>
      <w:r>
        <w:rPr>
          <w:rFonts w:hint="eastAsia" w:ascii="宋体" w:hAnsi="宋体"/>
          <w:szCs w:val="21"/>
        </w:rPr>
        <w:t>构成合同文件的任何内容与适用的规范、标准和规程之间出现矛盾，承包人应书面要求监理人予以澄清，除监理人有特别指示外，承包人应按照其中要求最严格的标准执行。</w:t>
      </w:r>
    </w:p>
    <w:p w14:paraId="158C20BA">
      <w:pPr>
        <w:spacing w:line="420" w:lineRule="exact"/>
        <w:ind w:left="735" w:hanging="735" w:hangingChars="350"/>
        <w:rPr>
          <w:rFonts w:ascii="宋体" w:hAnsi="宋体"/>
          <w:szCs w:val="21"/>
        </w:rPr>
      </w:pPr>
      <w:r>
        <w:rPr>
          <w:rFonts w:hint="eastAsia" w:ascii="宋体" w:hAnsi="宋体"/>
          <w:szCs w:val="21"/>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2DAA6069">
      <w:pPr>
        <w:spacing w:before="24" w:beforeLines="10" w:after="24" w:afterLines="10" w:line="420" w:lineRule="exact"/>
        <w:ind w:left="840" w:hanging="840" w:hangingChars="350"/>
        <w:rPr>
          <w:rFonts w:ascii="黑体" w:hAnsi="宋体" w:eastAsia="黑体"/>
          <w:sz w:val="24"/>
        </w:rPr>
      </w:pPr>
      <w:r>
        <w:rPr>
          <w:rFonts w:hint="eastAsia" w:ascii="黑体" w:hAnsi="宋体" w:eastAsia="黑体"/>
          <w:sz w:val="24"/>
        </w:rPr>
        <w:t>5.2    特殊技术标准和要求</w:t>
      </w:r>
    </w:p>
    <w:p w14:paraId="7EB1E25A">
      <w:pPr>
        <w:spacing w:line="430" w:lineRule="exact"/>
        <w:ind w:left="735" w:hanging="735" w:hangingChars="350"/>
        <w:rPr>
          <w:rFonts w:ascii="宋体" w:hAnsi="宋体"/>
          <w:szCs w:val="21"/>
        </w:rPr>
      </w:pPr>
      <w:r>
        <w:rPr>
          <w:rFonts w:hint="eastAsia" w:ascii="宋体" w:hAnsi="宋体"/>
          <w:szCs w:val="21"/>
        </w:rPr>
        <w:t>5.2.1  适用本工程的特殊技术标准和要求见本章第二节。</w:t>
      </w:r>
    </w:p>
    <w:p w14:paraId="3360958F">
      <w:pPr>
        <w:spacing w:line="430" w:lineRule="exact"/>
        <w:ind w:left="735" w:hanging="735" w:hangingChars="350"/>
        <w:rPr>
          <w:rFonts w:ascii="宋体" w:hAnsi="宋体"/>
          <w:szCs w:val="21"/>
        </w:rPr>
      </w:pPr>
      <w:r>
        <w:rPr>
          <w:rFonts w:hint="eastAsia" w:ascii="宋体" w:hAnsi="宋体"/>
          <w:szCs w:val="21"/>
        </w:rPr>
        <w:t>5.2.2  有合同约束力的图纸和其他设计文件中的有关文字说明是本节的组成内容。</w:t>
      </w:r>
    </w:p>
    <w:p w14:paraId="03E9F51C">
      <w:pPr>
        <w:pStyle w:val="25"/>
        <w:rPr>
          <w:sz w:val="28"/>
          <w:szCs w:val="28"/>
        </w:rPr>
      </w:pPr>
      <w:bookmarkStart w:id="2220" w:name="_Toc256000387"/>
      <w:bookmarkStart w:id="2221" w:name="_Toc152264771"/>
      <w:r>
        <w:rPr>
          <w:rFonts w:hint="eastAsia"/>
          <w:sz w:val="28"/>
          <w:szCs w:val="28"/>
        </w:rPr>
        <w:t>6.安全文明施工</w:t>
      </w:r>
      <w:bookmarkEnd w:id="2220"/>
      <w:bookmarkEnd w:id="2221"/>
    </w:p>
    <w:p w14:paraId="4648AE77">
      <w:pPr>
        <w:spacing w:line="400" w:lineRule="exact"/>
        <w:ind w:left="840" w:hanging="840" w:hangingChars="350"/>
        <w:rPr>
          <w:rFonts w:ascii="黑体" w:hAnsi="宋体" w:eastAsia="黑体"/>
          <w:sz w:val="24"/>
        </w:rPr>
      </w:pPr>
      <w:r>
        <w:rPr>
          <w:rFonts w:hint="eastAsia" w:ascii="黑体" w:hAnsi="宋体" w:eastAsia="黑体"/>
          <w:sz w:val="24"/>
        </w:rPr>
        <w:t>6.1   安全防护</w:t>
      </w:r>
    </w:p>
    <w:p w14:paraId="2149AB50">
      <w:pPr>
        <w:spacing w:line="430" w:lineRule="exact"/>
        <w:ind w:left="735" w:hanging="735" w:hangingChars="350"/>
        <w:rPr>
          <w:rFonts w:ascii="宋体" w:hAnsi="宋体"/>
          <w:szCs w:val="21"/>
        </w:rPr>
      </w:pPr>
      <w:r>
        <w:rPr>
          <w:rFonts w:hint="eastAsia" w:ascii="宋体" w:hAnsi="宋体"/>
          <w:szCs w:val="21"/>
        </w:rPr>
        <w:t>6.1.1  在工程施工、竣工、交付及修补任何缺陷的过程中，承包人应当始终遵守国家和地方有关安全生产的法律、法规、规范、标准和规程等，按照通用合同条款第9.2款的约定履行其安全施工职责。</w:t>
      </w:r>
    </w:p>
    <w:p w14:paraId="08727404">
      <w:pPr>
        <w:spacing w:line="430" w:lineRule="exact"/>
        <w:ind w:left="735" w:hanging="735" w:hangingChars="350"/>
        <w:rPr>
          <w:rFonts w:ascii="宋体" w:hAnsi="宋体"/>
          <w:szCs w:val="21"/>
        </w:rPr>
      </w:pPr>
      <w:r>
        <w:rPr>
          <w:rFonts w:hint="eastAsia" w:ascii="宋体" w:hAnsi="宋体"/>
          <w:szCs w:val="21"/>
        </w:rPr>
        <w:t>6.1.2  承包人应坚持“安全第一，预防为主”的方针，建立、健全安全生产责任制度和安全生产教育培训制度。在整个工程施工期间，承包人应在施工场地（现场）设立、提供和维护并在有关工作完成或竣工后撤除：</w:t>
      </w:r>
    </w:p>
    <w:p w14:paraId="4CBCD1B8">
      <w:pPr>
        <w:spacing w:line="420" w:lineRule="exact"/>
        <w:ind w:left="1075" w:leftChars="249" w:hanging="552" w:hangingChars="263"/>
        <w:rPr>
          <w:rFonts w:ascii="宋体" w:hAnsi="宋体"/>
          <w:szCs w:val="21"/>
        </w:rPr>
      </w:pPr>
      <w:r>
        <w:rPr>
          <w:rFonts w:hint="eastAsia" w:ascii="宋体" w:hAnsi="宋体"/>
          <w:szCs w:val="21"/>
        </w:rPr>
        <w:t>（1）设立在现场入口显著位置的现场施工总平面图、总平面管理、安全生产、文明施工、环境保护、质量控制、材料管理等的规章制度和主要参建单位名称和工程概况等说明的图板；</w:t>
      </w:r>
    </w:p>
    <w:p w14:paraId="62994DF8">
      <w:pPr>
        <w:spacing w:line="400" w:lineRule="exact"/>
        <w:ind w:left="1050" w:leftChars="250" w:hanging="525" w:hangingChars="250"/>
        <w:rPr>
          <w:rFonts w:ascii="宋体" w:hAnsi="宋体"/>
          <w:szCs w:val="21"/>
        </w:rPr>
      </w:pPr>
      <w:r>
        <w:rPr>
          <w:rFonts w:hint="eastAsia" w:ascii="宋体" w:hAnsi="宋体"/>
          <w:szCs w:val="21"/>
        </w:rPr>
        <w:t>（2）为确保工程安全施工须设立的足够的标志、宣传画、标语、指示牌、警告牌、火警、匪警和急救电话提示牌等等；</w:t>
      </w:r>
    </w:p>
    <w:p w14:paraId="1E3020F5">
      <w:pPr>
        <w:spacing w:line="400" w:lineRule="exact"/>
        <w:ind w:left="1155" w:leftChars="250" w:hanging="630" w:hangingChars="300"/>
        <w:rPr>
          <w:rFonts w:ascii="宋体" w:hAnsi="宋体"/>
          <w:szCs w:val="21"/>
        </w:rPr>
      </w:pPr>
      <w:r>
        <w:rPr>
          <w:rFonts w:hint="eastAsia" w:ascii="宋体" w:hAnsi="宋体"/>
          <w:szCs w:val="21"/>
        </w:rPr>
        <w:t>（3）洞口和临边位置的安全防护设施，包括护身栏杆、脚手架、洞口盖板和加筋、竖井防护栏杆、防护棚、防护网、坡道等等；</w:t>
      </w:r>
    </w:p>
    <w:p w14:paraId="27BF81DD">
      <w:pPr>
        <w:spacing w:line="400" w:lineRule="exact"/>
        <w:ind w:left="1155" w:leftChars="250" w:hanging="630" w:hangingChars="300"/>
        <w:rPr>
          <w:rFonts w:ascii="宋体" w:hAnsi="宋体"/>
          <w:szCs w:val="21"/>
        </w:rPr>
      </w:pPr>
      <w:r>
        <w:rPr>
          <w:rFonts w:hint="eastAsia" w:ascii="宋体" w:hAnsi="宋体"/>
          <w:szCs w:val="21"/>
        </w:rPr>
        <w:t>（4）安全带、安全绳、安全帽、安全网、绝缘鞋、绝缘手套、防护口罩和防护衣等安全生产用品；</w:t>
      </w:r>
    </w:p>
    <w:p w14:paraId="51516777">
      <w:pPr>
        <w:spacing w:line="400" w:lineRule="exact"/>
        <w:ind w:firstLine="525" w:firstLineChars="250"/>
        <w:rPr>
          <w:rFonts w:ascii="宋体" w:hAnsi="宋体"/>
          <w:szCs w:val="21"/>
        </w:rPr>
      </w:pPr>
      <w:r>
        <w:rPr>
          <w:rFonts w:hint="eastAsia" w:ascii="宋体" w:hAnsi="宋体"/>
          <w:szCs w:val="21"/>
        </w:rPr>
        <w:t>（5）所有机械设备包括各类电动工具的安全保护和接地装置和操作说明；</w:t>
      </w:r>
    </w:p>
    <w:p w14:paraId="1E30A381">
      <w:pPr>
        <w:spacing w:line="400" w:lineRule="exact"/>
        <w:ind w:firstLine="525" w:firstLineChars="250"/>
        <w:rPr>
          <w:rFonts w:ascii="宋体" w:hAnsi="宋体"/>
          <w:szCs w:val="21"/>
        </w:rPr>
      </w:pPr>
      <w:r>
        <w:rPr>
          <w:rFonts w:hint="eastAsia" w:ascii="宋体" w:hAnsi="宋体"/>
          <w:szCs w:val="21"/>
        </w:rPr>
        <w:t>（6）装备良好的临时急救站和配备称职的医护人员；</w:t>
      </w:r>
    </w:p>
    <w:p w14:paraId="1E8697FD">
      <w:pPr>
        <w:spacing w:line="400" w:lineRule="exact"/>
        <w:ind w:left="1050" w:leftChars="250" w:hanging="525" w:hangingChars="250"/>
        <w:rPr>
          <w:rFonts w:ascii="宋体" w:hAnsi="宋体"/>
          <w:szCs w:val="21"/>
        </w:rPr>
      </w:pPr>
      <w:r>
        <w:rPr>
          <w:rFonts w:hint="eastAsia" w:ascii="宋体" w:hAnsi="宋体"/>
          <w:szCs w:val="21"/>
        </w:rPr>
        <w:t>（7）主要作业场所和临时安全疏散通道24小时36伏安全照明和必要的警示等以防止各种可能的事故；</w:t>
      </w:r>
    </w:p>
    <w:p w14:paraId="5877A821">
      <w:pPr>
        <w:spacing w:line="400" w:lineRule="exact"/>
        <w:ind w:firstLine="525" w:firstLineChars="250"/>
        <w:rPr>
          <w:rFonts w:ascii="宋体" w:hAnsi="宋体"/>
          <w:szCs w:val="21"/>
        </w:rPr>
      </w:pPr>
      <w:r>
        <w:rPr>
          <w:rFonts w:hint="eastAsia" w:ascii="宋体" w:hAnsi="宋体"/>
          <w:szCs w:val="21"/>
        </w:rPr>
        <w:t>（8）足够数量的和合格的手提灭火器；</w:t>
      </w:r>
    </w:p>
    <w:p w14:paraId="47DD13DE">
      <w:pPr>
        <w:spacing w:line="400" w:lineRule="exact"/>
        <w:ind w:firstLine="525" w:firstLineChars="250"/>
        <w:rPr>
          <w:rFonts w:ascii="宋体" w:hAnsi="宋体"/>
          <w:szCs w:val="21"/>
        </w:rPr>
      </w:pPr>
      <w:r>
        <w:rPr>
          <w:rFonts w:hint="eastAsia" w:ascii="宋体" w:hAnsi="宋体"/>
          <w:szCs w:val="21"/>
        </w:rPr>
        <w:t>（9）装备良好的易燃易爆物品仓库和相应的使用管理制度；</w:t>
      </w:r>
    </w:p>
    <w:p w14:paraId="4DAB5CF5">
      <w:pPr>
        <w:spacing w:line="400" w:lineRule="exact"/>
        <w:ind w:firstLine="525" w:firstLineChars="250"/>
        <w:rPr>
          <w:rFonts w:ascii="宋体" w:hAnsi="宋体"/>
          <w:szCs w:val="21"/>
        </w:rPr>
      </w:pPr>
      <w:r>
        <w:rPr>
          <w:rFonts w:hint="eastAsia" w:ascii="宋体" w:hAnsi="宋体"/>
          <w:szCs w:val="21"/>
        </w:rPr>
        <w:t>（10）对涉及明火施工的工作制定诸如用火证等的管理制度；</w:t>
      </w:r>
    </w:p>
    <w:p w14:paraId="3F147590">
      <w:pPr>
        <w:spacing w:line="400" w:lineRule="exact"/>
        <w:ind w:firstLine="525" w:firstLineChars="250"/>
        <w:rPr>
          <w:rFonts w:hint="eastAsia" w:ascii="宋体" w:hAnsi="宋体"/>
          <w:szCs w:val="21"/>
        </w:rPr>
      </w:pPr>
      <w:r>
        <w:rPr>
          <w:rFonts w:hint="eastAsia" w:ascii="宋体" w:hAnsi="宋体"/>
          <w:szCs w:val="21"/>
        </w:rPr>
        <w:t>（11）其他：</w:t>
      </w:r>
      <w:r>
        <w:rPr>
          <w:rFonts w:hint="eastAsia" w:ascii="宋体" w:hAnsi="宋体"/>
          <w:szCs w:val="21"/>
          <w:u w:val="single"/>
        </w:rPr>
        <w:t xml:space="preserve">                                                 </w:t>
      </w:r>
      <w:r>
        <w:rPr>
          <w:rFonts w:hint="eastAsia" w:ascii="宋体" w:hAnsi="宋体"/>
          <w:szCs w:val="21"/>
          <w:u w:val="none"/>
          <w:lang w:eastAsia="zh-CN"/>
        </w:rPr>
        <w:t>。</w:t>
      </w:r>
    </w:p>
    <w:p w14:paraId="3715292B">
      <w:pPr>
        <w:spacing w:line="400" w:lineRule="exact"/>
        <w:ind w:left="945" w:hanging="945" w:hangingChars="450"/>
        <w:rPr>
          <w:rFonts w:ascii="宋体" w:hAnsi="宋体"/>
          <w:szCs w:val="21"/>
        </w:rPr>
      </w:pPr>
      <w:r>
        <w:rPr>
          <w:rFonts w:hint="eastAsia" w:ascii="宋体" w:hAnsi="宋体"/>
          <w:szCs w:val="21"/>
        </w:rPr>
        <w:t>6.1.3    安全文明施工费用必须专款专用，承包人应对其由于安全文明施工费用和施工安全措施不到位而发生的安全事故承担全部责任。</w:t>
      </w:r>
    </w:p>
    <w:p w14:paraId="476910F4">
      <w:pPr>
        <w:spacing w:line="400" w:lineRule="exact"/>
        <w:ind w:left="945" w:hanging="945" w:hangingChars="450"/>
        <w:rPr>
          <w:rFonts w:ascii="宋体" w:hAnsi="宋体"/>
          <w:szCs w:val="21"/>
        </w:rPr>
      </w:pPr>
      <w:r>
        <w:rPr>
          <w:rFonts w:hint="eastAsia" w:ascii="宋体" w:hAnsi="宋体"/>
          <w:szCs w:val="21"/>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2FC59C60">
      <w:pPr>
        <w:spacing w:line="400" w:lineRule="exact"/>
        <w:ind w:left="945" w:hanging="945" w:hangingChars="450"/>
        <w:rPr>
          <w:rFonts w:ascii="宋体" w:hAnsi="宋体"/>
          <w:szCs w:val="21"/>
        </w:rPr>
      </w:pPr>
      <w:r>
        <w:rPr>
          <w:rFonts w:hint="eastAsia" w:ascii="宋体" w:hAnsi="宋体"/>
          <w:szCs w:val="21"/>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97E2E95">
      <w:pPr>
        <w:spacing w:line="360" w:lineRule="exact"/>
        <w:ind w:left="945" w:hanging="945" w:hangingChars="450"/>
        <w:rPr>
          <w:rFonts w:ascii="宋体" w:hAnsi="宋体"/>
          <w:szCs w:val="21"/>
        </w:rPr>
      </w:pPr>
      <w:r>
        <w:rPr>
          <w:rFonts w:hint="eastAsia" w:ascii="宋体" w:hAnsi="宋体"/>
          <w:szCs w:val="21"/>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53FF60BE">
      <w:pPr>
        <w:spacing w:line="360" w:lineRule="exact"/>
        <w:ind w:left="945" w:hanging="945" w:hangingChars="450"/>
        <w:rPr>
          <w:rFonts w:ascii="宋体" w:hAnsi="宋体"/>
          <w:szCs w:val="21"/>
        </w:rPr>
      </w:pPr>
      <w:r>
        <w:rPr>
          <w:rFonts w:hint="eastAsia" w:ascii="宋体" w:hAnsi="宋体"/>
          <w:szCs w:val="21"/>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154E503A">
      <w:pPr>
        <w:spacing w:line="360" w:lineRule="exact"/>
        <w:ind w:left="945" w:hanging="945" w:hangingChars="450"/>
        <w:rPr>
          <w:rFonts w:ascii="宋体" w:hAnsi="宋体"/>
          <w:szCs w:val="21"/>
        </w:rPr>
      </w:pPr>
      <w:r>
        <w:rPr>
          <w:rFonts w:hint="eastAsia" w:ascii="宋体" w:hAnsi="宋体"/>
          <w:szCs w:val="21"/>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4393309D">
      <w:pPr>
        <w:spacing w:line="360" w:lineRule="exact"/>
        <w:ind w:left="945" w:hanging="945" w:hangingChars="450"/>
        <w:rPr>
          <w:rFonts w:ascii="宋体" w:hAnsi="宋体"/>
          <w:szCs w:val="21"/>
        </w:rPr>
      </w:pPr>
      <w:r>
        <w:rPr>
          <w:rFonts w:hint="eastAsia" w:ascii="宋体" w:hAnsi="宋体"/>
          <w:szCs w:val="21"/>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1F530655">
      <w:pPr>
        <w:spacing w:line="360" w:lineRule="exact"/>
        <w:ind w:left="945" w:hanging="945" w:hangingChars="450"/>
        <w:rPr>
          <w:rFonts w:ascii="宋体" w:hAnsi="宋体"/>
          <w:szCs w:val="21"/>
        </w:rPr>
      </w:pPr>
      <w:r>
        <w:rPr>
          <w:rFonts w:hint="eastAsia" w:ascii="宋体" w:hAnsi="宋体"/>
          <w:szCs w:val="21"/>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235796D0">
      <w:pPr>
        <w:spacing w:line="360" w:lineRule="exact"/>
        <w:ind w:left="945" w:hanging="945" w:hangingChars="450"/>
        <w:rPr>
          <w:rFonts w:ascii="宋体" w:hAnsi="宋体"/>
          <w:szCs w:val="21"/>
        </w:rPr>
      </w:pPr>
      <w:r>
        <w:rPr>
          <w:rFonts w:hint="eastAsia" w:ascii="宋体" w:hAnsi="宋体"/>
          <w:szCs w:val="21"/>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19D4242D">
      <w:pPr>
        <w:spacing w:line="360" w:lineRule="exact"/>
        <w:ind w:left="945" w:hanging="945" w:hangingChars="450"/>
        <w:rPr>
          <w:rFonts w:ascii="宋体" w:hAnsi="宋体"/>
          <w:szCs w:val="21"/>
        </w:rPr>
      </w:pPr>
      <w:r>
        <w:rPr>
          <w:rFonts w:hint="eastAsia" w:ascii="宋体" w:hAnsi="宋体"/>
          <w:szCs w:val="21"/>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64605F72">
      <w:pPr>
        <w:spacing w:line="360" w:lineRule="exact"/>
        <w:ind w:left="945" w:hanging="945" w:hangingChars="450"/>
        <w:rPr>
          <w:rFonts w:ascii="宋体" w:hAnsi="宋体"/>
          <w:szCs w:val="21"/>
        </w:rPr>
      </w:pPr>
      <w:r>
        <w:rPr>
          <w:rFonts w:hint="eastAsia" w:ascii="宋体" w:hAnsi="宋体"/>
          <w:szCs w:val="21"/>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61D05F6E">
      <w:pPr>
        <w:spacing w:line="360" w:lineRule="exact"/>
        <w:ind w:left="945" w:hanging="945" w:hangingChars="450"/>
        <w:rPr>
          <w:rFonts w:ascii="宋体" w:hAnsi="宋体"/>
          <w:szCs w:val="21"/>
        </w:rPr>
      </w:pPr>
      <w:r>
        <w:rPr>
          <w:rFonts w:hint="eastAsia" w:ascii="宋体" w:hAnsi="宋体"/>
          <w:szCs w:val="21"/>
        </w:rPr>
        <w:t>6.1.14   施工过程中需要使用爆破或带炸药的工具等危险性施工方法时，承包人应提前通</w:t>
      </w:r>
    </w:p>
    <w:p w14:paraId="455B008A">
      <w:pPr>
        <w:spacing w:line="360" w:lineRule="exact"/>
        <w:ind w:left="945" w:leftChars="450"/>
        <w:rPr>
          <w:rFonts w:ascii="宋体" w:hAnsi="宋体"/>
          <w:szCs w:val="21"/>
        </w:rPr>
      </w:pPr>
      <w:r>
        <w:rPr>
          <w:rFonts w:hint="eastAsia" w:ascii="宋体" w:hAnsi="宋体"/>
          <w:szCs w:val="21"/>
        </w:rPr>
        <w:t>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592ABDC7">
      <w:pPr>
        <w:spacing w:line="360" w:lineRule="exact"/>
        <w:ind w:left="945" w:hanging="945" w:hangingChars="450"/>
        <w:rPr>
          <w:rFonts w:ascii="宋体" w:hAnsi="宋体"/>
          <w:szCs w:val="21"/>
        </w:rPr>
      </w:pPr>
      <w:r>
        <w:rPr>
          <w:rFonts w:hint="eastAsia" w:ascii="宋体" w:hAnsi="宋体"/>
          <w:szCs w:val="21"/>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50447D1B">
      <w:pPr>
        <w:spacing w:line="360" w:lineRule="exact"/>
        <w:ind w:left="945" w:hanging="945" w:hangingChars="450"/>
        <w:rPr>
          <w:rFonts w:ascii="宋体" w:hAnsi="宋体"/>
          <w:szCs w:val="21"/>
        </w:rPr>
      </w:pPr>
      <w:r>
        <w:rPr>
          <w:rFonts w:hint="eastAsia" w:ascii="宋体" w:hAnsi="宋体"/>
          <w:szCs w:val="21"/>
        </w:rPr>
        <w:t>6.1.16   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269FCFF6">
      <w:pPr>
        <w:spacing w:line="360" w:lineRule="exact"/>
        <w:ind w:left="945" w:hanging="945" w:hangingChars="450"/>
        <w:rPr>
          <w:rFonts w:ascii="宋体" w:hAnsi="宋体"/>
          <w:szCs w:val="21"/>
        </w:rPr>
      </w:pPr>
      <w:r>
        <w:rPr>
          <w:rFonts w:hint="eastAsia" w:ascii="宋体" w:hAnsi="宋体"/>
          <w:szCs w:val="21"/>
        </w:rPr>
        <w:t>6.1.17   承包人还应根据有关法律、法规、规定和条例等的要求，制定一套安全生产应急措施和程序，保证一旦出现任何安全事故，能立即保护好现场，抢救伤员和财产，保证施工生产的正常进行，防止损失扩大。</w:t>
      </w:r>
    </w:p>
    <w:p w14:paraId="50741483">
      <w:pPr>
        <w:spacing w:line="360" w:lineRule="exact"/>
        <w:ind w:left="945" w:hanging="945" w:hangingChars="450"/>
        <w:rPr>
          <w:rFonts w:ascii="宋体" w:hAnsi="宋体"/>
          <w:szCs w:val="21"/>
        </w:rPr>
      </w:pPr>
      <w:r>
        <w:rPr>
          <w:rFonts w:hint="eastAsia" w:ascii="宋体" w:hAnsi="宋体"/>
          <w:szCs w:val="21"/>
        </w:rPr>
        <w:t>6.1.18   安全防护方面的其他要求如下：</w:t>
      </w:r>
    </w:p>
    <w:p w14:paraId="56D8CA07">
      <w:pPr>
        <w:spacing w:line="5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A1D015A">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69276BEE">
      <w:pPr>
        <w:spacing w:before="72" w:beforeLines="30" w:after="72" w:afterLines="30" w:line="360" w:lineRule="exact"/>
        <w:ind w:left="1080" w:hanging="1080" w:hangingChars="450"/>
        <w:rPr>
          <w:rFonts w:ascii="黑体" w:hAnsi="宋体" w:eastAsia="黑体"/>
          <w:sz w:val="24"/>
        </w:rPr>
      </w:pPr>
      <w:r>
        <w:rPr>
          <w:rFonts w:hint="eastAsia" w:ascii="黑体" w:hAnsi="宋体" w:eastAsia="黑体"/>
          <w:sz w:val="24"/>
        </w:rPr>
        <w:t>6.2     临时消防</w:t>
      </w:r>
    </w:p>
    <w:p w14:paraId="52B6D4C4">
      <w:pPr>
        <w:spacing w:line="400" w:lineRule="exact"/>
        <w:ind w:left="945" w:hanging="945" w:hangingChars="450"/>
        <w:rPr>
          <w:rFonts w:ascii="宋体" w:hAnsi="宋体"/>
          <w:szCs w:val="21"/>
        </w:rPr>
      </w:pPr>
      <w:r>
        <w:rPr>
          <w:rFonts w:hint="eastAsia" w:ascii="宋体" w:hAnsi="宋体"/>
          <w:szCs w:val="21"/>
        </w:rPr>
        <w:t>6.2.1    承包人应建立消防安全责任制度，制定用火、用电和使用易燃易爆等危险品的消防安全管理制度和操作规程。各项制度和规程等应满足相关法律法规和政府消防管理部门的要求。</w:t>
      </w:r>
    </w:p>
    <w:p w14:paraId="44FE82A1">
      <w:pPr>
        <w:spacing w:line="400" w:lineRule="exact"/>
        <w:ind w:left="945" w:hanging="945" w:hangingChars="450"/>
        <w:rPr>
          <w:rFonts w:ascii="宋体" w:hAnsi="宋体"/>
          <w:szCs w:val="21"/>
        </w:rPr>
      </w:pPr>
      <w:r>
        <w:rPr>
          <w:rFonts w:hint="eastAsia" w:ascii="宋体" w:hAnsi="宋体"/>
          <w:szCs w:val="21"/>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422EA8C4">
      <w:pPr>
        <w:spacing w:line="400" w:lineRule="exact"/>
        <w:ind w:left="945" w:hanging="945" w:hangingChars="450"/>
        <w:rPr>
          <w:rFonts w:ascii="宋体" w:hAnsi="宋体"/>
          <w:szCs w:val="21"/>
        </w:rPr>
      </w:pPr>
      <w:r>
        <w:rPr>
          <w:rFonts w:hint="eastAsia" w:ascii="宋体" w:hAnsi="宋体"/>
          <w:szCs w:val="21"/>
        </w:rPr>
        <w:t>6.2.3    承包人应当成立由项目主要负责人担任组长的临时消防组或消防队，宣传消防基本知识和基本操作培训，组织消防演练，保证一旦发生火灾，能够组织有效的自救，保护生命和财产安全。</w:t>
      </w:r>
    </w:p>
    <w:p w14:paraId="0037C07F">
      <w:pPr>
        <w:spacing w:line="400" w:lineRule="exact"/>
        <w:ind w:left="945" w:hanging="945" w:hangingChars="450"/>
        <w:rPr>
          <w:rFonts w:ascii="宋体" w:hAnsi="宋体"/>
          <w:szCs w:val="21"/>
        </w:rPr>
      </w:pPr>
      <w:r>
        <w:rPr>
          <w:rFonts w:hint="eastAsia" w:ascii="宋体" w:hAnsi="宋体"/>
          <w:szCs w:val="21"/>
        </w:rPr>
        <w:t>6.2.4    施工场地（现场）内的易燃、易爆物品应单独和安全地存放，设专人进行存放和领用管理。施工场地（现场）储有或正在使用易燃、易爆或可燃材料时或有明火施工的工序，应当实行严格的“用火证”管理制度。</w:t>
      </w:r>
    </w:p>
    <w:p w14:paraId="57837ECC">
      <w:pPr>
        <w:spacing w:line="400" w:lineRule="exact"/>
        <w:ind w:left="945" w:hanging="945" w:hangingChars="450"/>
        <w:rPr>
          <w:rFonts w:ascii="宋体" w:hAnsi="宋体"/>
          <w:szCs w:val="21"/>
        </w:rPr>
      </w:pPr>
      <w:r>
        <w:rPr>
          <w:rFonts w:hint="eastAsia" w:ascii="宋体" w:hAnsi="宋体"/>
          <w:szCs w:val="21"/>
        </w:rPr>
        <w:t>6.2.5    临时消防方面的其他要求如下：</w:t>
      </w:r>
    </w:p>
    <w:p w14:paraId="400C33D6">
      <w:pPr>
        <w:spacing w:line="5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19282B69">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492E8E53">
      <w:pPr>
        <w:spacing w:before="72" w:beforeLines="30" w:after="72" w:afterLines="30" w:line="360" w:lineRule="exact"/>
        <w:ind w:left="1080" w:hanging="1080" w:hangingChars="450"/>
        <w:rPr>
          <w:rFonts w:ascii="黑体" w:hAnsi="宋体" w:eastAsia="黑体"/>
          <w:sz w:val="24"/>
        </w:rPr>
      </w:pPr>
      <w:r>
        <w:rPr>
          <w:rFonts w:hint="eastAsia" w:ascii="黑体" w:hAnsi="宋体" w:eastAsia="黑体"/>
          <w:sz w:val="24"/>
        </w:rPr>
        <w:t>6.3      临时供电</w:t>
      </w:r>
    </w:p>
    <w:p w14:paraId="0D06B23A">
      <w:pPr>
        <w:spacing w:line="390" w:lineRule="exact"/>
        <w:ind w:left="945" w:hanging="945" w:hangingChars="450"/>
        <w:rPr>
          <w:rFonts w:ascii="宋体" w:hAnsi="宋体"/>
          <w:szCs w:val="21"/>
        </w:rPr>
      </w:pPr>
      <w:r>
        <w:rPr>
          <w:rFonts w:hint="eastAsia" w:ascii="宋体" w:hAnsi="宋体"/>
          <w:szCs w:val="21"/>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74D6A6B7">
      <w:pPr>
        <w:spacing w:line="390" w:lineRule="exact"/>
        <w:ind w:left="945" w:hanging="945" w:hangingChars="450"/>
        <w:rPr>
          <w:rFonts w:ascii="宋体" w:hAnsi="宋体"/>
          <w:szCs w:val="21"/>
        </w:rPr>
      </w:pPr>
      <w:r>
        <w:rPr>
          <w:rFonts w:hint="eastAsia" w:ascii="宋体" w:hAnsi="宋体"/>
          <w:szCs w:val="21"/>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22879BE3">
      <w:pPr>
        <w:spacing w:line="390" w:lineRule="exact"/>
        <w:ind w:left="945" w:hanging="945" w:hangingChars="450"/>
        <w:rPr>
          <w:rFonts w:ascii="宋体" w:hAnsi="宋体"/>
          <w:szCs w:val="21"/>
        </w:rPr>
      </w:pPr>
      <w:r>
        <w:rPr>
          <w:rFonts w:hint="eastAsia" w:ascii="宋体" w:hAnsi="宋体"/>
          <w:szCs w:val="21"/>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49430952">
      <w:pPr>
        <w:spacing w:line="390" w:lineRule="exact"/>
        <w:ind w:left="945" w:hanging="945" w:hangingChars="450"/>
        <w:rPr>
          <w:rFonts w:ascii="宋体" w:hAnsi="宋体"/>
          <w:szCs w:val="21"/>
        </w:rPr>
      </w:pPr>
      <w:r>
        <w:rPr>
          <w:rFonts w:hint="eastAsia" w:ascii="宋体" w:hAnsi="宋体"/>
          <w:szCs w:val="21"/>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31F8AE36">
      <w:pPr>
        <w:spacing w:line="390" w:lineRule="exact"/>
        <w:ind w:left="945" w:hanging="945" w:hangingChars="450"/>
        <w:rPr>
          <w:rFonts w:ascii="宋体" w:hAnsi="宋体"/>
          <w:szCs w:val="21"/>
        </w:rPr>
      </w:pPr>
      <w:r>
        <w:rPr>
          <w:rFonts w:hint="eastAsia" w:ascii="宋体" w:hAnsi="宋体"/>
          <w:szCs w:val="21"/>
        </w:rPr>
        <w:t>6.3.5    凡可能漏电伤人或易受雷击的电器及建筑物均应设置接地和避雷装置。承包人应负责避雷装置的采购、安装、管理和维修，并建立定期检查制度。</w:t>
      </w:r>
    </w:p>
    <w:p w14:paraId="7ACB2B63">
      <w:pPr>
        <w:spacing w:line="390" w:lineRule="exact"/>
        <w:ind w:left="945" w:hanging="945" w:hangingChars="450"/>
        <w:rPr>
          <w:rFonts w:ascii="宋体" w:hAnsi="宋体"/>
          <w:szCs w:val="21"/>
        </w:rPr>
      </w:pPr>
      <w:r>
        <w:rPr>
          <w:rFonts w:hint="eastAsia" w:ascii="宋体" w:hAnsi="宋体"/>
          <w:szCs w:val="21"/>
        </w:rPr>
        <w:t>6.3.6    临时用电方面的其他要求如下：</w:t>
      </w:r>
    </w:p>
    <w:p w14:paraId="51189F15">
      <w:pPr>
        <w:spacing w:line="39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1561F044">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0EEA7B1F">
      <w:pPr>
        <w:spacing w:line="390" w:lineRule="exact"/>
        <w:ind w:left="1080" w:hanging="1080" w:hangingChars="450"/>
        <w:rPr>
          <w:rFonts w:ascii="黑体" w:hAnsi="宋体" w:eastAsia="黑体"/>
          <w:sz w:val="24"/>
        </w:rPr>
      </w:pPr>
      <w:r>
        <w:rPr>
          <w:rFonts w:hint="eastAsia" w:ascii="黑体" w:hAnsi="宋体" w:eastAsia="黑体"/>
          <w:sz w:val="24"/>
        </w:rPr>
        <w:t>6.4     劳动保护</w:t>
      </w:r>
    </w:p>
    <w:p w14:paraId="538EDECF">
      <w:pPr>
        <w:spacing w:line="390" w:lineRule="exact"/>
        <w:ind w:left="945" w:hanging="945" w:hangingChars="450"/>
        <w:rPr>
          <w:rFonts w:ascii="宋体" w:hAnsi="宋体"/>
          <w:szCs w:val="21"/>
        </w:rPr>
      </w:pPr>
      <w:r>
        <w:rPr>
          <w:rFonts w:hint="eastAsia" w:ascii="宋体" w:hAnsi="宋体"/>
          <w:szCs w:val="21"/>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4E1DA5F8">
      <w:pPr>
        <w:spacing w:line="390" w:lineRule="exact"/>
        <w:ind w:left="945" w:hanging="945" w:hangingChars="450"/>
        <w:rPr>
          <w:rFonts w:ascii="宋体" w:hAnsi="宋体"/>
          <w:szCs w:val="21"/>
        </w:rPr>
      </w:pPr>
      <w:r>
        <w:rPr>
          <w:rFonts w:hint="eastAsia" w:ascii="宋体" w:hAnsi="宋体"/>
          <w:szCs w:val="21"/>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01937A50">
      <w:pPr>
        <w:spacing w:line="390" w:lineRule="exact"/>
        <w:ind w:left="945" w:hanging="945" w:hangingChars="450"/>
        <w:rPr>
          <w:rFonts w:ascii="宋体" w:hAnsi="宋体"/>
          <w:szCs w:val="21"/>
        </w:rPr>
      </w:pPr>
      <w:r>
        <w:rPr>
          <w:rFonts w:hint="eastAsia" w:ascii="宋体" w:hAnsi="宋体"/>
          <w:szCs w:val="21"/>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398438D1">
      <w:pPr>
        <w:spacing w:line="360" w:lineRule="exact"/>
        <w:ind w:left="945" w:hanging="945" w:hangingChars="450"/>
        <w:rPr>
          <w:rFonts w:ascii="宋体" w:hAnsi="宋体"/>
          <w:szCs w:val="21"/>
        </w:rPr>
      </w:pPr>
      <w:r>
        <w:rPr>
          <w:rFonts w:hint="eastAsia" w:ascii="宋体" w:hAnsi="宋体"/>
          <w:szCs w:val="21"/>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5FDBB81A">
      <w:pPr>
        <w:spacing w:line="360" w:lineRule="exact"/>
        <w:ind w:left="945" w:hanging="945" w:hangingChars="450"/>
        <w:rPr>
          <w:rFonts w:ascii="宋体" w:hAnsi="宋体"/>
          <w:szCs w:val="21"/>
        </w:rPr>
      </w:pPr>
      <w:r>
        <w:rPr>
          <w:rFonts w:hint="eastAsia" w:ascii="宋体" w:hAnsi="宋体"/>
          <w:szCs w:val="21"/>
        </w:rPr>
        <w:t>6.4.5    承包人应在现场设立专门的临时医疗站，配备足够的设施、药物和称职的医务人员，承包人还应准备急救担架，用于一旦发生安全事故时对受伤人员的急救。</w:t>
      </w:r>
    </w:p>
    <w:p w14:paraId="4616D406">
      <w:pPr>
        <w:spacing w:line="360" w:lineRule="exact"/>
        <w:ind w:left="945" w:hanging="945" w:hangingChars="450"/>
        <w:rPr>
          <w:rFonts w:ascii="宋体" w:hAnsi="宋体"/>
          <w:szCs w:val="21"/>
        </w:rPr>
      </w:pPr>
      <w:r>
        <w:rPr>
          <w:rFonts w:hint="eastAsia" w:ascii="宋体" w:hAnsi="宋体"/>
          <w:szCs w:val="21"/>
        </w:rPr>
        <w:t>6.4.6    劳动保护方面的其他要求如下：</w:t>
      </w:r>
    </w:p>
    <w:p w14:paraId="57F979D8">
      <w:pPr>
        <w:spacing w:line="60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C3F2430">
      <w:pPr>
        <w:spacing w:line="6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62B1301C">
      <w:pPr>
        <w:spacing w:line="360" w:lineRule="exact"/>
        <w:ind w:left="1080" w:hanging="1080" w:hangingChars="450"/>
        <w:rPr>
          <w:rFonts w:ascii="黑体" w:hAnsi="宋体" w:eastAsia="黑体"/>
          <w:sz w:val="24"/>
        </w:rPr>
      </w:pPr>
      <w:r>
        <w:rPr>
          <w:rFonts w:hint="eastAsia" w:ascii="黑体" w:hAnsi="宋体" w:eastAsia="黑体"/>
          <w:sz w:val="24"/>
        </w:rPr>
        <w:t>6.5     脚手架</w:t>
      </w:r>
    </w:p>
    <w:p w14:paraId="2651BBFD">
      <w:pPr>
        <w:spacing w:line="380" w:lineRule="exact"/>
        <w:ind w:left="945" w:hanging="945" w:hangingChars="450"/>
        <w:rPr>
          <w:rFonts w:ascii="宋体" w:hAnsi="宋体"/>
          <w:szCs w:val="21"/>
        </w:rPr>
      </w:pPr>
      <w:r>
        <w:rPr>
          <w:rFonts w:hint="eastAsia" w:ascii="宋体" w:hAnsi="宋体"/>
          <w:szCs w:val="21"/>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3222F5E3">
      <w:pPr>
        <w:spacing w:line="380" w:lineRule="exact"/>
        <w:ind w:left="945" w:hanging="945" w:hangingChars="450"/>
        <w:rPr>
          <w:rFonts w:ascii="宋体" w:hAnsi="宋体"/>
          <w:szCs w:val="21"/>
        </w:rPr>
      </w:pPr>
      <w:r>
        <w:rPr>
          <w:rFonts w:hint="eastAsia" w:ascii="宋体" w:hAnsi="宋体"/>
          <w:szCs w:val="21"/>
        </w:rPr>
        <w:t>6.5.2    所有脚手架，尤其是大型、复杂、高耸和非常规脚手架，要编制专项施工方案，还应当经过安全验算，脚手架安全验算结果必须报送监理人核查后方可实施。</w:t>
      </w:r>
    </w:p>
    <w:p w14:paraId="6157A90C">
      <w:pPr>
        <w:spacing w:line="380" w:lineRule="exact"/>
        <w:ind w:left="945" w:hanging="945" w:hangingChars="450"/>
        <w:rPr>
          <w:rFonts w:ascii="宋体" w:hAnsi="宋体"/>
          <w:szCs w:val="21"/>
        </w:rPr>
      </w:pPr>
      <w:r>
        <w:rPr>
          <w:rFonts w:hint="eastAsia" w:ascii="宋体" w:hAnsi="宋体"/>
          <w:szCs w:val="21"/>
        </w:rPr>
        <w:t>6.5.3    搭设爬架、挂架、超高脚手架等特种或新型脚手架时，承包人应确保此类脚手架的安全性和保证此类脚手架已经过有关行政管理部门允许使用的批准，并承担与此有关的一切费用。</w:t>
      </w:r>
    </w:p>
    <w:p w14:paraId="5DC8231C">
      <w:pPr>
        <w:spacing w:line="380" w:lineRule="exact"/>
        <w:ind w:left="945" w:hanging="945" w:hangingChars="450"/>
        <w:rPr>
          <w:rFonts w:ascii="宋体" w:hAnsi="宋体"/>
          <w:szCs w:val="21"/>
        </w:rPr>
      </w:pPr>
      <w:r>
        <w:rPr>
          <w:rFonts w:hint="eastAsia" w:ascii="宋体" w:hAnsi="宋体"/>
          <w:szCs w:val="21"/>
        </w:rPr>
        <w:t>6.5.4    承包人应当加强脚手架的日常安全巡查，及时对其中的安全隐患进行整改，确保脚手架使用安全。雨、雪、雾、霜和大风等天气后，承包人必须对脚手架进行安全巡查，并及时消除安全隐患。</w:t>
      </w:r>
    </w:p>
    <w:p w14:paraId="04ABA6F6">
      <w:pPr>
        <w:spacing w:line="380" w:lineRule="exact"/>
        <w:ind w:left="945" w:hanging="945" w:hangingChars="450"/>
        <w:rPr>
          <w:rFonts w:ascii="宋体" w:hAnsi="宋体"/>
          <w:szCs w:val="21"/>
        </w:rPr>
      </w:pPr>
      <w:r>
        <w:rPr>
          <w:rFonts w:hint="eastAsia" w:ascii="宋体" w:hAnsi="宋体"/>
          <w:szCs w:val="21"/>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7FE9D435">
      <w:pPr>
        <w:spacing w:line="380" w:lineRule="exact"/>
        <w:ind w:left="945" w:hanging="945" w:hangingChars="450"/>
        <w:rPr>
          <w:rFonts w:ascii="宋体" w:hAnsi="宋体"/>
          <w:szCs w:val="21"/>
        </w:rPr>
      </w:pPr>
      <w:r>
        <w:rPr>
          <w:rFonts w:hint="eastAsia" w:ascii="宋体" w:hAnsi="宋体"/>
          <w:szCs w:val="21"/>
        </w:rPr>
        <w:t>6.5.6    脚手架的其他要求如下：</w:t>
      </w:r>
    </w:p>
    <w:p w14:paraId="237CD16C">
      <w:pPr>
        <w:spacing w:line="380" w:lineRule="exact"/>
        <w:ind w:left="735" w:hanging="735" w:hangingChars="3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FA259D0">
      <w:pPr>
        <w:spacing w:line="38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0847568F">
      <w:pPr>
        <w:spacing w:before="48" w:beforeLines="20" w:after="48" w:afterLines="20" w:line="420" w:lineRule="exact"/>
        <w:ind w:left="1080" w:hanging="1080" w:hangingChars="450"/>
        <w:rPr>
          <w:rFonts w:ascii="黑体" w:hAnsi="宋体" w:eastAsia="黑体"/>
          <w:sz w:val="24"/>
        </w:rPr>
      </w:pPr>
      <w:r>
        <w:rPr>
          <w:rFonts w:hint="eastAsia" w:ascii="黑体" w:hAnsi="宋体" w:eastAsia="黑体"/>
          <w:sz w:val="24"/>
        </w:rPr>
        <w:t>6.6     施工安全措施计划</w:t>
      </w:r>
    </w:p>
    <w:p w14:paraId="160B7896">
      <w:pPr>
        <w:spacing w:line="400" w:lineRule="exact"/>
        <w:ind w:left="945" w:hanging="945" w:hangingChars="450"/>
        <w:rPr>
          <w:rFonts w:ascii="宋体" w:hAnsi="宋体"/>
          <w:szCs w:val="21"/>
        </w:rPr>
      </w:pPr>
      <w:r>
        <w:rPr>
          <w:rFonts w:hint="eastAsia" w:ascii="宋体" w:hAnsi="宋体"/>
          <w:szCs w:val="21"/>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1213C1E6">
      <w:pPr>
        <w:spacing w:line="400" w:lineRule="exact"/>
        <w:ind w:left="945" w:hanging="945" w:hangingChars="450"/>
        <w:rPr>
          <w:rFonts w:hint="eastAsia" w:ascii="宋体" w:hAnsi="宋体"/>
          <w:szCs w:val="21"/>
        </w:rPr>
      </w:pPr>
      <w:r>
        <w:rPr>
          <w:rFonts w:hint="eastAsia" w:ascii="宋体" w:hAnsi="宋体"/>
          <w:szCs w:val="21"/>
        </w:rPr>
        <w:t>6.6.2    施工安全措施计划是承包人阐明其安全管理方针、管理体系、安全制度和安全措施等的文件，其内容应当反映现行法律法规规定的和合同条款约定的以及本条上述约定的承包人安全职责，包括但不限于：（1）施工安全管理机构的设置；（2）专职安全管理人员的配备；（3）安全责任制度和管理措施；（4）安全教育和培训制度及管理措施；（5）各项安全生产规章制度和操作规程；（6）各项施工安全措施和防护措施；（7）危险品管理和使用制度；（8）安全设施、设备、器材和劳动保护用品的配置；（9）其他：</w:t>
      </w:r>
      <w:r>
        <w:rPr>
          <w:rFonts w:hint="eastAsia" w:ascii="宋体" w:hAnsi="宋体"/>
          <w:szCs w:val="21"/>
          <w:u w:val="single"/>
        </w:rPr>
        <w:t xml:space="preserve">     </w:t>
      </w:r>
      <w:r>
        <w:rPr>
          <w:rFonts w:hint="eastAsia" w:ascii="宋体" w:hAnsi="宋体"/>
          <w:szCs w:val="21"/>
          <w:lang w:eastAsia="zh-CN"/>
        </w:rPr>
        <w:t>。</w:t>
      </w:r>
    </w:p>
    <w:p w14:paraId="586BFB7F">
      <w:pPr>
        <w:spacing w:line="400" w:lineRule="exact"/>
        <w:ind w:left="947" w:firstLine="21" w:firstLineChars="10"/>
        <w:rPr>
          <w:rFonts w:ascii="宋体" w:hAnsi="宋体"/>
          <w:szCs w:val="21"/>
        </w:rPr>
      </w:pPr>
      <w:r>
        <w:rPr>
          <w:rFonts w:hint="eastAsia" w:ascii="宋体" w:hAnsi="宋体"/>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2E896EEB">
      <w:pPr>
        <w:spacing w:line="400" w:lineRule="exact"/>
        <w:ind w:left="945" w:hanging="945" w:hangingChars="450"/>
        <w:rPr>
          <w:rFonts w:ascii="宋体" w:hAnsi="宋体"/>
          <w:szCs w:val="21"/>
        </w:rPr>
      </w:pPr>
      <w:r>
        <w:rPr>
          <w:rFonts w:hint="eastAsia" w:ascii="宋体" w:hAnsi="宋体"/>
          <w:szCs w:val="21"/>
        </w:rPr>
        <w:t>6.6.3    施工安全措施计划应当在专用合同条款第9.2.1项约定的期限内报送监理人。承包人应当严格执行经监理人批准的施工安全措施计划，并及时补充、修订和完善施工安全措施计划，确保安全生产。</w:t>
      </w:r>
    </w:p>
    <w:p w14:paraId="5802B34B">
      <w:pPr>
        <w:spacing w:before="48" w:beforeLines="20" w:after="48" w:afterLines="20" w:line="420" w:lineRule="exact"/>
        <w:ind w:left="1080" w:hanging="1080" w:hangingChars="450"/>
        <w:rPr>
          <w:rFonts w:ascii="黑体" w:hAnsi="宋体" w:eastAsia="黑体"/>
          <w:sz w:val="24"/>
        </w:rPr>
      </w:pPr>
      <w:r>
        <w:rPr>
          <w:rFonts w:hint="eastAsia" w:ascii="黑体" w:hAnsi="宋体" w:eastAsia="黑体"/>
          <w:sz w:val="24"/>
        </w:rPr>
        <w:t>6.7    文明施工</w:t>
      </w:r>
    </w:p>
    <w:p w14:paraId="090A9FAA">
      <w:pPr>
        <w:spacing w:line="420" w:lineRule="exact"/>
        <w:ind w:left="945" w:hanging="945" w:hangingChars="450"/>
        <w:rPr>
          <w:rFonts w:ascii="宋体" w:hAnsi="宋体"/>
          <w:szCs w:val="21"/>
        </w:rPr>
      </w:pPr>
      <w:r>
        <w:rPr>
          <w:rFonts w:hint="eastAsia" w:ascii="宋体" w:hAnsi="宋体"/>
          <w:szCs w:val="21"/>
        </w:rPr>
        <w:t>6.7.1    承包人应遵守国家和工程所在地有关法规、规范、规程和标准的规定，履行文明施工义务，确保文明施工专项费用专款专用。</w:t>
      </w:r>
    </w:p>
    <w:p w14:paraId="21041F74">
      <w:pPr>
        <w:spacing w:line="420" w:lineRule="exact"/>
        <w:ind w:left="945" w:hanging="945" w:hangingChars="450"/>
        <w:rPr>
          <w:rFonts w:ascii="宋体" w:hAnsi="宋体"/>
          <w:szCs w:val="21"/>
        </w:rPr>
      </w:pPr>
      <w:r>
        <w:rPr>
          <w:rFonts w:hint="eastAsia" w:ascii="宋体" w:hAnsi="宋体"/>
          <w:szCs w:val="21"/>
        </w:rPr>
        <w:t>6.7.2     承包人应当规范现场施工秩序，实行标准化管理：</w:t>
      </w:r>
    </w:p>
    <w:p w14:paraId="22E44A17">
      <w:pPr>
        <w:spacing w:line="420" w:lineRule="exact"/>
        <w:ind w:left="1365" w:leftChars="500" w:hanging="315" w:hangingChars="150"/>
        <w:rPr>
          <w:rFonts w:ascii="宋体" w:hAnsi="宋体"/>
          <w:szCs w:val="21"/>
        </w:rPr>
      </w:pPr>
      <w:r>
        <w:rPr>
          <w:rFonts w:hint="eastAsia" w:ascii="宋体" w:hAnsi="宋体"/>
          <w:szCs w:val="21"/>
        </w:rPr>
        <w:t>（1）承包人的施工场地（现场）必须干净整治、做到无积水、无淤泥、无杂物，材料堆放整齐；</w:t>
      </w:r>
    </w:p>
    <w:p w14:paraId="5C10D550">
      <w:pPr>
        <w:spacing w:line="420" w:lineRule="exact"/>
        <w:ind w:left="945" w:leftChars="450" w:right="-174" w:rightChars="-83" w:firstLine="105" w:firstLineChars="50"/>
        <w:rPr>
          <w:rFonts w:ascii="宋体" w:hAnsi="宋体"/>
          <w:szCs w:val="21"/>
        </w:rPr>
      </w:pPr>
      <w:r>
        <w:rPr>
          <w:rFonts w:hint="eastAsia" w:ascii="宋体" w:hAnsi="宋体"/>
          <w:szCs w:val="21"/>
        </w:rPr>
        <w:t>（2）施工场地（现场）应进行硬化处理，定期定时洒水，做好防治扬尘和大气污染工作；</w:t>
      </w:r>
    </w:p>
    <w:p w14:paraId="75A15D9E">
      <w:pPr>
        <w:spacing w:line="420" w:lineRule="exact"/>
        <w:ind w:left="945" w:leftChars="450" w:firstLine="105" w:firstLineChars="50"/>
        <w:rPr>
          <w:rFonts w:ascii="宋体" w:hAnsi="宋体"/>
          <w:szCs w:val="21"/>
        </w:rPr>
      </w:pPr>
      <w:r>
        <w:rPr>
          <w:rFonts w:hint="eastAsia" w:ascii="宋体" w:hAnsi="宋体"/>
          <w:szCs w:val="21"/>
        </w:rPr>
        <w:t>（3）严格遵守“工完、料尽、场地净”的原则，不留垃圾、不留剩余施工材料和施工机具，各种设备运转正常；</w:t>
      </w:r>
    </w:p>
    <w:p w14:paraId="774F0849">
      <w:pPr>
        <w:spacing w:line="380" w:lineRule="exact"/>
        <w:ind w:left="1365" w:leftChars="500" w:hanging="315" w:hangingChars="150"/>
        <w:rPr>
          <w:rFonts w:ascii="宋体" w:hAnsi="宋体"/>
          <w:szCs w:val="21"/>
        </w:rPr>
      </w:pPr>
      <w:r>
        <w:rPr>
          <w:rFonts w:hint="eastAsia" w:ascii="宋体" w:hAnsi="宋体"/>
          <w:szCs w:val="21"/>
        </w:rPr>
        <w:t>（4）承包人修建的施工临时设施应符合监理人批准的施工规划要求，并应满足本节规定的各项安全要求；</w:t>
      </w:r>
    </w:p>
    <w:p w14:paraId="208BD39F">
      <w:pPr>
        <w:spacing w:line="380" w:lineRule="exact"/>
        <w:ind w:left="1365" w:leftChars="500" w:hanging="315" w:hangingChars="150"/>
        <w:rPr>
          <w:rFonts w:ascii="宋体" w:hAnsi="宋体"/>
          <w:szCs w:val="21"/>
        </w:rPr>
      </w:pPr>
      <w:r>
        <w:rPr>
          <w:rFonts w:hint="eastAsia" w:ascii="宋体" w:hAnsi="宋体"/>
          <w:szCs w:val="21"/>
        </w:rPr>
        <w:t>（5）监理人可要求承包人在施工场地（现场）设置各级承包人的安全文明施工责任牌等文明施工警示牌；</w:t>
      </w:r>
    </w:p>
    <w:p w14:paraId="07B2D4FA">
      <w:pPr>
        <w:spacing w:line="380" w:lineRule="exact"/>
        <w:ind w:left="1365" w:leftChars="500" w:hanging="315" w:hangingChars="150"/>
        <w:rPr>
          <w:rFonts w:ascii="宋体" w:hAnsi="宋体"/>
          <w:szCs w:val="21"/>
        </w:rPr>
      </w:pPr>
      <w:r>
        <w:rPr>
          <w:rFonts w:hint="eastAsia" w:ascii="宋体" w:hAnsi="宋体"/>
          <w:szCs w:val="21"/>
        </w:rPr>
        <w:t>（6）材料进入现场应按指定位置堆放整齐，不得影响现场施工和堵塞施工、消防通道。材料堆放场地应有专职的管理人员；</w:t>
      </w:r>
    </w:p>
    <w:p w14:paraId="10731814">
      <w:pPr>
        <w:spacing w:line="380" w:lineRule="exact"/>
        <w:ind w:left="1365" w:leftChars="500" w:hanging="315" w:hangingChars="150"/>
        <w:rPr>
          <w:rFonts w:ascii="宋体" w:hAnsi="宋体"/>
          <w:szCs w:val="21"/>
        </w:rPr>
      </w:pPr>
      <w:r>
        <w:rPr>
          <w:rFonts w:hint="eastAsia" w:ascii="宋体" w:hAnsi="宋体"/>
          <w:szCs w:val="21"/>
        </w:rPr>
        <w:t>（7）施工和安装用的各种扣件、紧固件、绳索具、小型配件、镙钉等应在专设的仓库内装箱放置；</w:t>
      </w:r>
    </w:p>
    <w:p w14:paraId="359738ED">
      <w:pPr>
        <w:spacing w:line="380" w:lineRule="exact"/>
        <w:ind w:left="1365" w:leftChars="500" w:hanging="315" w:hangingChars="150"/>
        <w:rPr>
          <w:rFonts w:ascii="宋体" w:hAnsi="宋体"/>
          <w:szCs w:val="21"/>
        </w:rPr>
      </w:pPr>
      <w:r>
        <w:rPr>
          <w:rFonts w:hint="eastAsia" w:ascii="宋体" w:hAnsi="宋体"/>
          <w:szCs w:val="21"/>
        </w:rPr>
        <w:t>（8）现场风、水管及照明电线的布置应安全、合理、规范、有序，做到整齐美观。不得随意架设和造成隐患或影响施工。</w:t>
      </w:r>
    </w:p>
    <w:p w14:paraId="75604ADC">
      <w:pPr>
        <w:spacing w:line="380" w:lineRule="exact"/>
        <w:ind w:left="945" w:right="42" w:rightChars="20" w:hanging="945" w:hangingChars="450"/>
        <w:rPr>
          <w:rFonts w:ascii="宋体" w:hAnsi="宋体"/>
          <w:szCs w:val="21"/>
        </w:rPr>
      </w:pPr>
      <w:r>
        <w:rPr>
          <w:rFonts w:hint="eastAsia" w:ascii="宋体" w:hAnsi="宋体"/>
          <w:szCs w:val="21"/>
        </w:rPr>
        <w:t>6.7.3    承包人应为其雇佣的施工工人建立并维护相应的生活宿舍、食堂、浴室、厕所和文化活动室等，其标准应满足政府有关机构的生活标准和卫生标准等的要求。</w:t>
      </w:r>
    </w:p>
    <w:p w14:paraId="0ACB6627">
      <w:pPr>
        <w:spacing w:line="380" w:lineRule="exact"/>
        <w:ind w:left="945" w:right="42" w:rightChars="20" w:hanging="945" w:hangingChars="450"/>
        <w:rPr>
          <w:rFonts w:ascii="宋体" w:hAnsi="宋体"/>
          <w:szCs w:val="21"/>
        </w:rPr>
      </w:pPr>
      <w:r>
        <w:rPr>
          <w:rFonts w:hint="eastAsia" w:ascii="宋体" w:hAnsi="宋体"/>
          <w:szCs w:val="21"/>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4A8BFE58">
      <w:pPr>
        <w:spacing w:line="380" w:lineRule="exact"/>
        <w:ind w:left="945" w:right="42" w:rightChars="20" w:hanging="945" w:hangingChars="450"/>
        <w:rPr>
          <w:rFonts w:ascii="宋体" w:hAnsi="宋体"/>
          <w:szCs w:val="21"/>
        </w:rPr>
      </w:pPr>
      <w:r>
        <w:rPr>
          <w:rFonts w:hint="eastAsia" w:ascii="宋体" w:hAnsi="宋体"/>
          <w:szCs w:val="21"/>
        </w:rPr>
        <w:t>6.7.5    在工程施工期间，承包人应始终避免现场出现不必要的障碍物，妥当存放并处置施工设备和多余的材料，及时从现场清除运走任何废料、垃圾或不再需要的临时工程和设施。</w:t>
      </w:r>
    </w:p>
    <w:p w14:paraId="5B63183B">
      <w:pPr>
        <w:spacing w:line="380" w:lineRule="exact"/>
        <w:ind w:left="945" w:right="42" w:rightChars="20" w:hanging="945" w:hangingChars="450"/>
        <w:rPr>
          <w:rFonts w:ascii="宋体" w:hAnsi="宋体"/>
          <w:szCs w:val="21"/>
        </w:rPr>
      </w:pPr>
      <w:r>
        <w:rPr>
          <w:rFonts w:hint="eastAsia" w:ascii="宋体" w:hAnsi="宋体"/>
          <w:szCs w:val="21"/>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1FD8AB9A">
      <w:pPr>
        <w:spacing w:line="380" w:lineRule="exact"/>
        <w:ind w:left="945" w:right="42" w:rightChars="20" w:hanging="945" w:hangingChars="450"/>
        <w:rPr>
          <w:rFonts w:ascii="宋体" w:hAnsi="宋体"/>
          <w:szCs w:val="21"/>
        </w:rPr>
      </w:pPr>
      <w:r>
        <w:rPr>
          <w:rFonts w:hint="eastAsia" w:ascii="宋体" w:hAnsi="宋体"/>
          <w:szCs w:val="21"/>
        </w:rPr>
        <w:t>6.7.7    承包人应在现场设立固定的垃圾临时存放点并在各楼层或区域设立必要的垃圾箱；所有垃圾必须在当天清除出现场，并按有关行政管理部门的规定，运送到指定的垃圾消纳场。</w:t>
      </w:r>
    </w:p>
    <w:p w14:paraId="6CE8ECF9">
      <w:pPr>
        <w:spacing w:line="380" w:lineRule="exact"/>
        <w:ind w:left="945" w:right="42" w:rightChars="20" w:hanging="945" w:hangingChars="450"/>
        <w:rPr>
          <w:rFonts w:ascii="宋体" w:hAnsi="宋体"/>
          <w:szCs w:val="21"/>
        </w:rPr>
      </w:pPr>
      <w:r>
        <w:rPr>
          <w:rFonts w:hint="eastAsia" w:ascii="宋体" w:hAnsi="宋体"/>
          <w:szCs w:val="21"/>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3A27D93E">
      <w:pPr>
        <w:spacing w:line="380" w:lineRule="exact"/>
        <w:ind w:left="945" w:right="42" w:rightChars="20" w:hanging="945" w:hangingChars="450"/>
        <w:rPr>
          <w:rFonts w:ascii="宋体" w:hAnsi="宋体"/>
          <w:szCs w:val="21"/>
        </w:rPr>
      </w:pPr>
      <w:r>
        <w:rPr>
          <w:rFonts w:hint="eastAsia" w:ascii="宋体" w:hAnsi="宋体"/>
          <w:szCs w:val="21"/>
        </w:rPr>
        <w:t>6.7.9    承包人应当制订成品保护措施计划，并提供必要的人员、材料和设备用于整个工程的成品保护，包括对已完成的所有分包人和独立承包人（如果有）的工程或工作的保护，防止已完</w:t>
      </w:r>
      <w:r>
        <w:rPr>
          <w:rFonts w:hint="eastAsia" w:ascii="宋体" w:hAnsi="宋体"/>
          <w:szCs w:val="21"/>
          <w:lang w:val="en-US" w:eastAsia="zh-CN"/>
        </w:rPr>
        <w:t>成</w:t>
      </w:r>
      <w:r>
        <w:rPr>
          <w:rFonts w:hint="eastAsia" w:ascii="宋体" w:hAnsi="宋体"/>
          <w:szCs w:val="21"/>
        </w:rPr>
        <w:t>工作遭受任何损坏或破坏。成品保护措施应当合理安排工序，并包括工作面移交制度和责任赔偿制度。成品保护措施计划最迟应当在任何专业分包人或独立承包人进场施工前不少于28天报监理人审批。</w:t>
      </w:r>
    </w:p>
    <w:p w14:paraId="30B85A86">
      <w:pPr>
        <w:spacing w:line="378" w:lineRule="exact"/>
        <w:ind w:left="945" w:right="42" w:rightChars="20" w:hanging="945" w:hangingChars="450"/>
        <w:rPr>
          <w:rFonts w:ascii="宋体" w:hAnsi="宋体"/>
          <w:szCs w:val="21"/>
        </w:rPr>
      </w:pPr>
      <w:r>
        <w:rPr>
          <w:rFonts w:hint="eastAsia" w:ascii="宋体" w:hAnsi="宋体"/>
          <w:szCs w:val="21"/>
        </w:rPr>
        <w:t>6.7.10   文明施工方面的其他要求如下：</w:t>
      </w:r>
    </w:p>
    <w:p w14:paraId="12828A54">
      <w:pPr>
        <w:spacing w:line="378" w:lineRule="exact"/>
        <w:ind w:left="945" w:right="42" w:rightChars="20" w:hanging="945" w:hangingChars="45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862BD24">
      <w:pPr>
        <w:spacing w:line="378" w:lineRule="exact"/>
        <w:ind w:left="945" w:right="42" w:rightChars="20"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1294D0AE">
      <w:pPr>
        <w:spacing w:line="378" w:lineRule="exact"/>
        <w:ind w:left="945" w:right="42" w:rightChars="20" w:hanging="949" w:hangingChars="450"/>
        <w:rPr>
          <w:rFonts w:ascii="宋体" w:hAnsi="宋体"/>
          <w:b/>
          <w:szCs w:val="21"/>
        </w:rPr>
      </w:pPr>
      <w:r>
        <w:rPr>
          <w:rFonts w:hint="eastAsia" w:ascii="宋体" w:hAnsi="宋体"/>
          <w:b/>
          <w:szCs w:val="21"/>
        </w:rPr>
        <w:t>6.8      环境保护</w:t>
      </w:r>
    </w:p>
    <w:p w14:paraId="7DA0FCBD">
      <w:pPr>
        <w:spacing w:line="378" w:lineRule="exact"/>
        <w:ind w:left="945" w:right="42" w:rightChars="20" w:hanging="945" w:hangingChars="450"/>
        <w:rPr>
          <w:rFonts w:ascii="宋体" w:hAnsi="宋体"/>
          <w:szCs w:val="21"/>
        </w:rPr>
      </w:pPr>
      <w:r>
        <w:rPr>
          <w:rFonts w:hint="eastAsia" w:ascii="宋体" w:hAnsi="宋体"/>
          <w:szCs w:val="21"/>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191D72AB">
      <w:pPr>
        <w:spacing w:line="378" w:lineRule="exact"/>
        <w:ind w:left="945" w:right="42" w:rightChars="20" w:hanging="945" w:hangingChars="450"/>
        <w:rPr>
          <w:rFonts w:ascii="宋体" w:hAnsi="宋体"/>
          <w:szCs w:val="21"/>
        </w:rPr>
      </w:pPr>
      <w:r>
        <w:rPr>
          <w:rFonts w:hint="eastAsia" w:ascii="宋体" w:hAnsi="宋体"/>
          <w:szCs w:val="21"/>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001506B3">
      <w:pPr>
        <w:spacing w:line="378" w:lineRule="exact"/>
        <w:ind w:left="945" w:right="42" w:rightChars="20" w:hanging="945" w:hangingChars="450"/>
        <w:rPr>
          <w:rFonts w:ascii="宋体" w:hAnsi="宋体"/>
          <w:szCs w:val="21"/>
        </w:rPr>
      </w:pPr>
      <w:r>
        <w:rPr>
          <w:rFonts w:hint="eastAsia" w:ascii="宋体" w:hAnsi="宋体"/>
          <w:szCs w:val="21"/>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0095DA84">
      <w:pPr>
        <w:spacing w:line="378" w:lineRule="exact"/>
        <w:ind w:left="945" w:right="42" w:rightChars="20" w:hanging="945" w:hangingChars="450"/>
        <w:rPr>
          <w:rFonts w:ascii="宋体" w:hAnsi="宋体"/>
          <w:szCs w:val="21"/>
        </w:rPr>
      </w:pPr>
      <w:r>
        <w:rPr>
          <w:rFonts w:hint="eastAsia" w:ascii="宋体" w:hAnsi="宋体"/>
          <w:szCs w:val="21"/>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08F2D107">
      <w:pPr>
        <w:spacing w:line="378" w:lineRule="exact"/>
        <w:ind w:left="945" w:right="42" w:rightChars="20" w:hanging="945" w:hangingChars="450"/>
        <w:rPr>
          <w:rFonts w:ascii="宋体" w:hAnsi="宋体"/>
          <w:szCs w:val="21"/>
        </w:rPr>
      </w:pPr>
      <w:r>
        <w:rPr>
          <w:rFonts w:hint="eastAsia" w:ascii="宋体" w:hAnsi="宋体"/>
          <w:szCs w:val="21"/>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36960EB8">
      <w:pPr>
        <w:spacing w:line="378" w:lineRule="exact"/>
        <w:ind w:left="945" w:right="42" w:rightChars="20" w:hanging="945" w:hangingChars="450"/>
        <w:rPr>
          <w:rFonts w:ascii="宋体" w:hAnsi="宋体"/>
          <w:szCs w:val="21"/>
        </w:rPr>
      </w:pPr>
      <w:r>
        <w:rPr>
          <w:rFonts w:hint="eastAsia" w:ascii="宋体" w:hAnsi="宋体"/>
          <w:szCs w:val="21"/>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1A33DA25">
      <w:pPr>
        <w:spacing w:line="378" w:lineRule="exact"/>
        <w:ind w:left="945" w:right="42" w:rightChars="20" w:hanging="945" w:hangingChars="450"/>
        <w:rPr>
          <w:rFonts w:ascii="宋体" w:hAnsi="宋体"/>
          <w:szCs w:val="21"/>
        </w:rPr>
      </w:pPr>
      <w:r>
        <w:rPr>
          <w:rFonts w:hint="eastAsia" w:ascii="宋体" w:hAnsi="宋体"/>
          <w:szCs w:val="21"/>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1180601F">
      <w:pPr>
        <w:spacing w:line="396" w:lineRule="exact"/>
        <w:ind w:left="945" w:right="42" w:rightChars="20" w:hanging="945" w:hangingChars="450"/>
        <w:rPr>
          <w:rFonts w:ascii="宋体" w:hAnsi="宋体"/>
          <w:szCs w:val="21"/>
        </w:rPr>
      </w:pPr>
      <w:r>
        <w:rPr>
          <w:rFonts w:hint="eastAsia" w:ascii="宋体" w:hAnsi="宋体"/>
          <w:szCs w:val="21"/>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14:paraId="4B937EFB">
      <w:pPr>
        <w:spacing w:line="396" w:lineRule="exact"/>
        <w:ind w:left="945" w:right="42" w:rightChars="20" w:hanging="945" w:hangingChars="450"/>
        <w:rPr>
          <w:rFonts w:ascii="宋体" w:hAnsi="宋体"/>
          <w:szCs w:val="21"/>
        </w:rPr>
      </w:pPr>
      <w:r>
        <w:rPr>
          <w:rFonts w:hint="eastAsia" w:ascii="宋体" w:hAnsi="宋体"/>
          <w:szCs w:val="21"/>
        </w:rPr>
        <w:t>6.8.9    环境保护方面的其他要求如下：</w:t>
      </w:r>
    </w:p>
    <w:p w14:paraId="09B4BC68">
      <w:pPr>
        <w:spacing w:line="440" w:lineRule="exact"/>
        <w:ind w:left="945" w:right="42" w:rightChars="20" w:hanging="945" w:hangingChars="45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0722C11E">
      <w:pPr>
        <w:spacing w:line="440" w:lineRule="exact"/>
        <w:ind w:left="945" w:right="42" w:rightChars="20"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0E04895C">
      <w:pPr>
        <w:spacing w:before="72" w:beforeLines="30" w:after="72" w:afterLines="30" w:line="396" w:lineRule="exact"/>
        <w:ind w:left="1080" w:right="42" w:rightChars="20" w:hanging="1080" w:hangingChars="450"/>
        <w:rPr>
          <w:rFonts w:ascii="黑体" w:hAnsi="宋体" w:eastAsia="黑体"/>
          <w:sz w:val="24"/>
        </w:rPr>
      </w:pPr>
      <w:r>
        <w:rPr>
          <w:rFonts w:hint="eastAsia" w:ascii="黑体" w:hAnsi="宋体" w:eastAsia="黑体"/>
          <w:sz w:val="24"/>
        </w:rPr>
        <w:t>6.9     施工环保措施计划</w:t>
      </w:r>
    </w:p>
    <w:p w14:paraId="458C70D4">
      <w:pPr>
        <w:spacing w:line="396" w:lineRule="exact"/>
        <w:ind w:left="945" w:right="42" w:rightChars="20" w:hanging="945" w:hangingChars="450"/>
        <w:rPr>
          <w:rFonts w:ascii="宋体" w:hAnsi="宋体"/>
          <w:szCs w:val="21"/>
        </w:rPr>
      </w:pPr>
      <w:r>
        <w:rPr>
          <w:rFonts w:hint="eastAsia" w:ascii="宋体" w:hAnsi="宋体"/>
          <w:szCs w:val="21"/>
        </w:rPr>
        <w:t>6.9.1    通用合同条款第9.4.2项约定的施工环保措施计划是承包人阐明环保方针和拟采用的环保措施及方法等的文件，其内容应包括但不限于：</w:t>
      </w:r>
    </w:p>
    <w:p w14:paraId="76D4F146">
      <w:pPr>
        <w:spacing w:line="396" w:lineRule="exact"/>
        <w:ind w:left="945" w:leftChars="450" w:right="42" w:rightChars="20"/>
        <w:rPr>
          <w:rFonts w:ascii="宋体" w:hAnsi="宋体"/>
          <w:szCs w:val="21"/>
        </w:rPr>
      </w:pPr>
      <w:r>
        <w:rPr>
          <w:rFonts w:hint="eastAsia" w:ascii="宋体" w:hAnsi="宋体"/>
          <w:szCs w:val="21"/>
        </w:rPr>
        <w:t>（1）承包人生活区（如果有）的生活用水和生活污水处理措施；</w:t>
      </w:r>
    </w:p>
    <w:p w14:paraId="12E4165B">
      <w:pPr>
        <w:spacing w:line="396" w:lineRule="exact"/>
        <w:ind w:left="945" w:leftChars="450" w:right="42" w:rightChars="20"/>
        <w:rPr>
          <w:rFonts w:ascii="宋体" w:hAnsi="宋体"/>
          <w:szCs w:val="21"/>
        </w:rPr>
      </w:pPr>
      <w:r>
        <w:rPr>
          <w:rFonts w:hint="eastAsia" w:ascii="宋体" w:hAnsi="宋体"/>
          <w:szCs w:val="21"/>
        </w:rPr>
        <w:t>（2）施工生产废水处理措施；</w:t>
      </w:r>
    </w:p>
    <w:p w14:paraId="7F70E34A">
      <w:pPr>
        <w:spacing w:line="396" w:lineRule="exact"/>
        <w:ind w:left="945" w:leftChars="450" w:right="42" w:rightChars="20"/>
        <w:rPr>
          <w:rFonts w:ascii="宋体" w:hAnsi="宋体"/>
          <w:szCs w:val="21"/>
        </w:rPr>
      </w:pPr>
      <w:r>
        <w:rPr>
          <w:rFonts w:hint="eastAsia" w:ascii="宋体" w:hAnsi="宋体"/>
          <w:szCs w:val="21"/>
        </w:rPr>
        <w:t>（3）施工扬尘和废气的处理措施；</w:t>
      </w:r>
    </w:p>
    <w:p w14:paraId="764C76D6">
      <w:pPr>
        <w:spacing w:line="396" w:lineRule="exact"/>
        <w:ind w:left="945" w:leftChars="450" w:right="42" w:rightChars="20"/>
        <w:rPr>
          <w:rFonts w:ascii="宋体" w:hAnsi="宋体"/>
          <w:szCs w:val="21"/>
        </w:rPr>
      </w:pPr>
      <w:r>
        <w:rPr>
          <w:rFonts w:hint="eastAsia" w:ascii="宋体" w:hAnsi="宋体"/>
          <w:szCs w:val="21"/>
        </w:rPr>
        <w:t>（4）施工噪声和光污染控制措施；</w:t>
      </w:r>
    </w:p>
    <w:p w14:paraId="49323F1D">
      <w:pPr>
        <w:spacing w:line="396" w:lineRule="exact"/>
        <w:ind w:left="945" w:leftChars="450" w:right="42" w:rightChars="20"/>
        <w:rPr>
          <w:rFonts w:ascii="宋体" w:hAnsi="宋体"/>
          <w:szCs w:val="21"/>
        </w:rPr>
      </w:pPr>
      <w:r>
        <w:rPr>
          <w:rFonts w:hint="eastAsia" w:ascii="宋体" w:hAnsi="宋体"/>
          <w:szCs w:val="21"/>
        </w:rPr>
        <w:t>（5）节能减排措施；</w:t>
      </w:r>
    </w:p>
    <w:p w14:paraId="395410C9">
      <w:pPr>
        <w:spacing w:line="396" w:lineRule="exact"/>
        <w:ind w:left="945" w:leftChars="450" w:right="42" w:rightChars="20"/>
        <w:rPr>
          <w:rFonts w:ascii="宋体" w:hAnsi="宋体"/>
          <w:szCs w:val="21"/>
        </w:rPr>
      </w:pPr>
      <w:r>
        <w:rPr>
          <w:rFonts w:hint="eastAsia" w:ascii="宋体" w:hAnsi="宋体"/>
          <w:szCs w:val="21"/>
        </w:rPr>
        <w:t>（6）不可再生资源循环利用措施；</w:t>
      </w:r>
    </w:p>
    <w:p w14:paraId="4452F5F9">
      <w:pPr>
        <w:spacing w:line="396" w:lineRule="exact"/>
        <w:ind w:left="945" w:leftChars="450" w:right="42" w:rightChars="20"/>
        <w:rPr>
          <w:rFonts w:ascii="宋体" w:hAnsi="宋体"/>
          <w:szCs w:val="21"/>
        </w:rPr>
      </w:pPr>
      <w:r>
        <w:rPr>
          <w:rFonts w:hint="eastAsia" w:ascii="宋体" w:hAnsi="宋体"/>
          <w:szCs w:val="21"/>
        </w:rPr>
        <w:t>（7）固体废弃物处理措施；</w:t>
      </w:r>
    </w:p>
    <w:p w14:paraId="1B619391">
      <w:pPr>
        <w:spacing w:line="396" w:lineRule="exact"/>
        <w:ind w:left="945" w:leftChars="450" w:right="42" w:rightChars="20"/>
        <w:rPr>
          <w:rFonts w:ascii="宋体" w:hAnsi="宋体"/>
          <w:szCs w:val="21"/>
        </w:rPr>
      </w:pPr>
      <w:r>
        <w:rPr>
          <w:rFonts w:hint="eastAsia" w:ascii="宋体" w:hAnsi="宋体"/>
          <w:szCs w:val="21"/>
        </w:rPr>
        <w:t>（8）人群健康保护和卫生防疫措施；</w:t>
      </w:r>
    </w:p>
    <w:p w14:paraId="53458BC4">
      <w:pPr>
        <w:spacing w:line="396" w:lineRule="exact"/>
        <w:ind w:left="945" w:leftChars="450" w:right="42" w:rightChars="20"/>
        <w:rPr>
          <w:rFonts w:ascii="宋体" w:hAnsi="宋体"/>
          <w:szCs w:val="21"/>
        </w:rPr>
      </w:pPr>
      <w:r>
        <w:rPr>
          <w:rFonts w:hint="eastAsia" w:ascii="宋体" w:hAnsi="宋体"/>
          <w:szCs w:val="21"/>
        </w:rPr>
        <w:t>（9）防止误用有害材料的保证措施；</w:t>
      </w:r>
    </w:p>
    <w:p w14:paraId="1672FE84">
      <w:pPr>
        <w:spacing w:line="396" w:lineRule="exact"/>
        <w:ind w:left="945" w:leftChars="450" w:right="42" w:rightChars="20"/>
        <w:rPr>
          <w:rFonts w:ascii="宋体" w:hAnsi="宋体"/>
          <w:szCs w:val="21"/>
        </w:rPr>
      </w:pPr>
      <w:r>
        <w:rPr>
          <w:rFonts w:hint="eastAsia" w:ascii="宋体" w:hAnsi="宋体"/>
          <w:szCs w:val="21"/>
        </w:rPr>
        <w:t>（10）施工边坡工程的水土流失保护措施；</w:t>
      </w:r>
    </w:p>
    <w:p w14:paraId="07C995FA">
      <w:pPr>
        <w:spacing w:line="396" w:lineRule="exact"/>
        <w:ind w:left="945" w:leftChars="450" w:right="42" w:rightChars="20"/>
        <w:rPr>
          <w:rFonts w:ascii="宋体" w:hAnsi="宋体"/>
          <w:szCs w:val="21"/>
        </w:rPr>
      </w:pPr>
      <w:r>
        <w:rPr>
          <w:rFonts w:hint="eastAsia" w:ascii="宋体" w:hAnsi="宋体"/>
          <w:szCs w:val="21"/>
        </w:rPr>
        <w:t>（11）道路污染防治措施；</w:t>
      </w:r>
    </w:p>
    <w:p w14:paraId="147124DF">
      <w:pPr>
        <w:spacing w:line="396" w:lineRule="exact"/>
        <w:ind w:left="945" w:leftChars="450" w:right="42" w:rightChars="20"/>
        <w:rPr>
          <w:rFonts w:ascii="宋体" w:hAnsi="宋体"/>
          <w:szCs w:val="21"/>
        </w:rPr>
      </w:pPr>
      <w:r>
        <w:rPr>
          <w:rFonts w:hint="eastAsia" w:ascii="宋体" w:hAnsi="宋体"/>
          <w:szCs w:val="21"/>
        </w:rPr>
        <w:t>（12）完工后场地清理及其植被（如果有）恢复的规划和措施；</w:t>
      </w:r>
    </w:p>
    <w:p w14:paraId="529A389A">
      <w:pPr>
        <w:spacing w:line="396" w:lineRule="exact"/>
        <w:ind w:left="945" w:leftChars="450" w:right="42" w:rightChars="20"/>
        <w:rPr>
          <w:rFonts w:hint="eastAsia" w:ascii="宋体" w:hAnsi="宋体"/>
          <w:szCs w:val="21"/>
        </w:rPr>
      </w:pPr>
      <w:r>
        <w:rPr>
          <w:rFonts w:hint="eastAsia" w:ascii="宋体" w:hAnsi="宋体"/>
          <w:szCs w:val="21"/>
        </w:rPr>
        <w:t>（13）其他：</w:t>
      </w:r>
      <w:r>
        <w:rPr>
          <w:rFonts w:hint="eastAsia" w:ascii="宋体" w:hAnsi="宋体"/>
          <w:szCs w:val="21"/>
          <w:u w:val="single"/>
        </w:rPr>
        <w:t xml:space="preserve">                                 </w:t>
      </w:r>
      <w:r>
        <w:rPr>
          <w:rFonts w:hint="eastAsia" w:ascii="宋体" w:hAnsi="宋体"/>
          <w:szCs w:val="21"/>
          <w:u w:val="none"/>
          <w:lang w:eastAsia="zh-CN"/>
        </w:rPr>
        <w:t>。</w:t>
      </w:r>
    </w:p>
    <w:p w14:paraId="0E59802B">
      <w:pPr>
        <w:spacing w:line="396" w:lineRule="exact"/>
        <w:ind w:left="945" w:right="42" w:rightChars="20" w:hanging="945" w:hangingChars="450"/>
        <w:rPr>
          <w:rFonts w:ascii="宋体" w:hAnsi="宋体"/>
          <w:szCs w:val="21"/>
        </w:rPr>
      </w:pPr>
      <w:r>
        <w:rPr>
          <w:rFonts w:hint="eastAsia" w:ascii="宋体" w:hAnsi="宋体"/>
          <w:szCs w:val="21"/>
        </w:rPr>
        <w:t>6.9.2    施工环保措施计划应当在专用合同条款第9.4款约定的期限内报送监理人。承包人应当严格执行经监理人批准的施工环保措施计划，并及时补充、修订和完善施工环保措施计划。</w:t>
      </w:r>
    </w:p>
    <w:p w14:paraId="53547933">
      <w:pPr>
        <w:pStyle w:val="25"/>
        <w:rPr>
          <w:sz w:val="28"/>
          <w:szCs w:val="28"/>
        </w:rPr>
      </w:pPr>
      <w:bookmarkStart w:id="2222" w:name="_Toc256000388"/>
      <w:bookmarkStart w:id="2223" w:name="_Toc152264772"/>
      <w:r>
        <w:rPr>
          <w:rFonts w:hint="eastAsia"/>
          <w:sz w:val="28"/>
          <w:szCs w:val="28"/>
        </w:rPr>
        <w:t>7.治安保卫</w:t>
      </w:r>
      <w:bookmarkEnd w:id="2222"/>
      <w:bookmarkEnd w:id="2223"/>
    </w:p>
    <w:p w14:paraId="3CBBB1B9">
      <w:pPr>
        <w:spacing w:line="390" w:lineRule="exact"/>
        <w:ind w:left="945" w:hanging="945" w:hangingChars="450"/>
        <w:rPr>
          <w:rFonts w:ascii="宋体" w:hAnsi="宋体"/>
          <w:szCs w:val="21"/>
        </w:rPr>
      </w:pPr>
      <w:r>
        <w:rPr>
          <w:rFonts w:hint="eastAsia" w:ascii="宋体" w:hAnsi="宋体"/>
          <w:szCs w:val="21"/>
        </w:rPr>
        <w:t xml:space="preserve">7.1      </w:t>
      </w:r>
      <w:r>
        <w:rPr>
          <w:rFonts w:hint="eastAsia" w:ascii="宋体" w:hAnsi="宋体"/>
          <w:spacing w:val="6"/>
          <w:szCs w:val="21"/>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5A5DE710">
      <w:pPr>
        <w:spacing w:line="390" w:lineRule="exact"/>
        <w:ind w:left="945" w:hanging="945" w:hangingChars="450"/>
        <w:rPr>
          <w:rFonts w:ascii="宋体" w:hAnsi="宋体"/>
          <w:szCs w:val="21"/>
        </w:rPr>
      </w:pPr>
      <w:r>
        <w:rPr>
          <w:rFonts w:hint="eastAsia" w:ascii="宋体" w:hAnsi="宋体"/>
          <w:szCs w:val="21"/>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70E0E8C9">
      <w:pPr>
        <w:spacing w:line="390" w:lineRule="exact"/>
        <w:ind w:left="945" w:hanging="945" w:hangingChars="450"/>
        <w:rPr>
          <w:rFonts w:ascii="宋体" w:hAnsi="宋体"/>
          <w:szCs w:val="21"/>
        </w:rPr>
      </w:pPr>
      <w:r>
        <w:rPr>
          <w:rFonts w:hint="eastAsia" w:ascii="宋体" w:hAnsi="宋体"/>
          <w:szCs w:val="21"/>
        </w:rPr>
        <w:t>7.3      承包人应制定并实施严格的施工场地（现场）出入制度并报监理人审批；车辆的出入须有出入审批制度，并有指定的专人负责管理；人员进出现场应有出入证，出入证须以经过监理人批准的格式印制。</w:t>
      </w:r>
    </w:p>
    <w:p w14:paraId="2028ABB4">
      <w:pPr>
        <w:spacing w:line="390" w:lineRule="exact"/>
        <w:ind w:left="945" w:hanging="945" w:hangingChars="450"/>
        <w:rPr>
          <w:rFonts w:ascii="宋体" w:hAnsi="宋体"/>
          <w:szCs w:val="21"/>
        </w:rPr>
      </w:pPr>
      <w:r>
        <w:rPr>
          <w:rFonts w:hint="eastAsia" w:ascii="宋体" w:hAnsi="宋体"/>
          <w:szCs w:val="21"/>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466ACE28">
      <w:pPr>
        <w:spacing w:line="390" w:lineRule="exact"/>
        <w:ind w:left="945" w:hanging="945" w:hangingChars="450"/>
        <w:rPr>
          <w:rFonts w:ascii="宋体" w:hAnsi="宋体"/>
          <w:szCs w:val="21"/>
        </w:rPr>
      </w:pPr>
      <w:r>
        <w:rPr>
          <w:rFonts w:hint="eastAsia" w:ascii="宋体" w:hAnsi="宋体"/>
          <w:szCs w:val="21"/>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7C0E35EA">
      <w:pPr>
        <w:spacing w:line="390" w:lineRule="exact"/>
        <w:ind w:left="945" w:hanging="945" w:hangingChars="450"/>
        <w:rPr>
          <w:rFonts w:ascii="宋体" w:hAnsi="宋体"/>
          <w:szCs w:val="21"/>
        </w:rPr>
      </w:pPr>
      <w:r>
        <w:rPr>
          <w:rFonts w:hint="eastAsia" w:ascii="宋体" w:hAnsi="宋体"/>
          <w:szCs w:val="21"/>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4DBB3E97">
      <w:pPr>
        <w:spacing w:line="390" w:lineRule="exact"/>
        <w:ind w:left="945" w:hanging="945" w:hangingChars="450"/>
        <w:rPr>
          <w:rFonts w:ascii="宋体" w:hAnsi="宋体"/>
          <w:szCs w:val="21"/>
        </w:rPr>
      </w:pPr>
      <w:r>
        <w:rPr>
          <w:rFonts w:hint="eastAsia" w:ascii="宋体" w:hAnsi="宋体"/>
          <w:szCs w:val="21"/>
        </w:rPr>
        <w:t>7.7      施工场地（现场）治安管理计划的要求：</w:t>
      </w:r>
    </w:p>
    <w:p w14:paraId="0D727AED">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48820F35">
      <w:pPr>
        <w:spacing w:line="390" w:lineRule="exact"/>
        <w:ind w:left="945" w:hanging="945" w:hangingChars="450"/>
        <w:rPr>
          <w:rFonts w:ascii="宋体" w:hAnsi="宋体"/>
          <w:szCs w:val="21"/>
        </w:rPr>
      </w:pPr>
      <w:r>
        <w:rPr>
          <w:rFonts w:hint="eastAsia" w:ascii="宋体" w:hAnsi="宋体"/>
          <w:szCs w:val="21"/>
        </w:rPr>
        <w:t>7.8      突发治安事件紧急预案的要求：</w:t>
      </w:r>
    </w:p>
    <w:p w14:paraId="1006F7A4">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7AD7EFF">
      <w:pPr>
        <w:spacing w:line="390" w:lineRule="exact"/>
        <w:ind w:left="945" w:hanging="945" w:hangingChars="450"/>
        <w:rPr>
          <w:rFonts w:ascii="宋体" w:hAnsi="宋体"/>
          <w:szCs w:val="21"/>
        </w:rPr>
      </w:pPr>
      <w:r>
        <w:rPr>
          <w:rFonts w:hint="eastAsia" w:ascii="宋体" w:hAnsi="宋体"/>
          <w:szCs w:val="21"/>
        </w:rPr>
        <w:t>7.9      治安保卫方面的其他要求如下：</w:t>
      </w:r>
    </w:p>
    <w:p w14:paraId="6BF7C32C">
      <w:pPr>
        <w:spacing w:line="39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416EFC3E">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1EFFE1BF">
      <w:pPr>
        <w:pStyle w:val="25"/>
        <w:rPr>
          <w:sz w:val="28"/>
          <w:szCs w:val="28"/>
        </w:rPr>
      </w:pPr>
      <w:bookmarkStart w:id="2224" w:name="_Toc152264773"/>
      <w:bookmarkStart w:id="2225" w:name="_Toc256000389"/>
      <w:r>
        <w:rPr>
          <w:rFonts w:hint="eastAsia"/>
          <w:sz w:val="28"/>
          <w:szCs w:val="28"/>
        </w:rPr>
        <w:t>8.地上、地下设施和周边建筑物的临时保护</w:t>
      </w:r>
      <w:bookmarkEnd w:id="2224"/>
      <w:bookmarkEnd w:id="2225"/>
    </w:p>
    <w:p w14:paraId="08C21088">
      <w:pPr>
        <w:spacing w:line="390" w:lineRule="exact"/>
        <w:ind w:left="945" w:hanging="945" w:hangingChars="450"/>
        <w:rPr>
          <w:rFonts w:ascii="宋体" w:hAnsi="宋体"/>
          <w:szCs w:val="21"/>
        </w:rPr>
      </w:pPr>
      <w:r>
        <w:rPr>
          <w:rFonts w:hint="eastAsia" w:ascii="宋体" w:hAnsi="宋体"/>
          <w:szCs w:val="21"/>
        </w:rPr>
        <w:t>8.1      承包人应为施工场地及其周边现有的地上、地下设施和建筑物提供足够的临时保护设施，确保施工过程中这些设施和建筑物不会受到干扰和破坏。</w:t>
      </w:r>
    </w:p>
    <w:p w14:paraId="5001F127">
      <w:pPr>
        <w:spacing w:line="400" w:lineRule="exact"/>
        <w:ind w:left="945" w:hanging="945" w:hangingChars="450"/>
        <w:rPr>
          <w:rFonts w:ascii="宋体" w:hAnsi="宋体"/>
          <w:szCs w:val="21"/>
        </w:rPr>
      </w:pPr>
      <w:r>
        <w:rPr>
          <w:rFonts w:hint="eastAsia" w:ascii="宋体" w:hAnsi="宋体"/>
          <w:szCs w:val="21"/>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1C35A97E">
      <w:pPr>
        <w:spacing w:line="390" w:lineRule="exact"/>
        <w:ind w:left="945" w:hanging="945" w:hangingChars="450"/>
        <w:rPr>
          <w:rFonts w:ascii="宋体" w:hAnsi="宋体"/>
          <w:szCs w:val="21"/>
        </w:rPr>
      </w:pPr>
      <w:r>
        <w:rPr>
          <w:rFonts w:hint="eastAsia" w:ascii="宋体" w:hAnsi="宋体"/>
          <w:szCs w:val="21"/>
        </w:rPr>
        <w:t>8.3      发包人特别提醒承包人注意以下地上、地下设施和周边建筑物的保护：</w:t>
      </w:r>
    </w:p>
    <w:p w14:paraId="25BB8ADB">
      <w:pPr>
        <w:spacing w:line="390" w:lineRule="exact"/>
        <w:ind w:left="945" w:hanging="945" w:hangingChars="45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434239A">
      <w:pPr>
        <w:spacing w:line="390" w:lineRule="exact"/>
        <w:ind w:left="945" w:hanging="945" w:hangingChars="450"/>
        <w:rPr>
          <w:rFonts w:hint="default"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14:paraId="414FDA4B">
      <w:pPr>
        <w:spacing w:line="39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B44630A">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03C05F29">
      <w:pPr>
        <w:spacing w:line="390" w:lineRule="exact"/>
        <w:ind w:left="945" w:hanging="945" w:hangingChars="450"/>
        <w:rPr>
          <w:rFonts w:ascii="宋体" w:hAnsi="宋体"/>
          <w:szCs w:val="21"/>
        </w:rPr>
      </w:pPr>
      <w:r>
        <w:rPr>
          <w:rFonts w:hint="eastAsia" w:ascii="宋体" w:hAnsi="宋体"/>
          <w:szCs w:val="21"/>
        </w:rPr>
        <w:t>8.4     地上、地下设施和周边建筑物的临时保护的其他要求如下</w:t>
      </w:r>
    </w:p>
    <w:p w14:paraId="39833BB6">
      <w:pPr>
        <w:spacing w:line="39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32F156A8">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5C8DF47C">
      <w:pPr>
        <w:pStyle w:val="25"/>
        <w:rPr>
          <w:sz w:val="28"/>
          <w:szCs w:val="28"/>
        </w:rPr>
      </w:pPr>
      <w:bookmarkStart w:id="2226" w:name="_Toc152264774"/>
      <w:bookmarkStart w:id="2227" w:name="_Toc256000390"/>
      <w:r>
        <w:rPr>
          <w:rFonts w:hint="eastAsia"/>
          <w:sz w:val="28"/>
          <w:szCs w:val="28"/>
        </w:rPr>
        <w:t>9.样品和材料代换</w:t>
      </w:r>
      <w:bookmarkEnd w:id="2226"/>
      <w:bookmarkEnd w:id="2227"/>
    </w:p>
    <w:p w14:paraId="3CA13FF5">
      <w:pPr>
        <w:spacing w:line="400" w:lineRule="exact"/>
        <w:ind w:left="945" w:hanging="945" w:hangingChars="450"/>
        <w:rPr>
          <w:rFonts w:ascii="宋体" w:hAnsi="宋体"/>
          <w:szCs w:val="21"/>
        </w:rPr>
      </w:pPr>
      <w:r>
        <w:rPr>
          <w:rFonts w:hint="eastAsia" w:ascii="宋体" w:hAnsi="宋体"/>
          <w:szCs w:val="21"/>
        </w:rPr>
        <w:t>9.1      样品</w:t>
      </w:r>
    </w:p>
    <w:p w14:paraId="2EB56AA0">
      <w:pPr>
        <w:spacing w:line="400" w:lineRule="exact"/>
        <w:ind w:left="945" w:hanging="945" w:hangingChars="450"/>
        <w:rPr>
          <w:rFonts w:ascii="宋体" w:hAnsi="宋体"/>
          <w:szCs w:val="21"/>
        </w:rPr>
      </w:pPr>
      <w:r>
        <w:rPr>
          <w:rFonts w:hint="eastAsia" w:ascii="宋体" w:hAnsi="宋体"/>
          <w:szCs w:val="21"/>
        </w:rPr>
        <w:t>9.1.1    本工程需要承包人提供样品的材料和工程设备如下：</w:t>
      </w:r>
    </w:p>
    <w:p w14:paraId="75C0A251">
      <w:pPr>
        <w:spacing w:line="50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A5E8278">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886C5A4">
      <w:pPr>
        <w:spacing w:line="390" w:lineRule="exact"/>
        <w:ind w:left="945" w:hanging="945" w:hangingChars="450"/>
        <w:rPr>
          <w:rFonts w:ascii="宋体" w:hAnsi="宋体"/>
          <w:szCs w:val="21"/>
        </w:rPr>
      </w:pPr>
      <w:r>
        <w:rPr>
          <w:rFonts w:hint="eastAsia" w:ascii="宋体" w:hAnsi="宋体"/>
          <w:szCs w:val="21"/>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54C2005E">
      <w:pPr>
        <w:spacing w:line="390" w:lineRule="exact"/>
        <w:ind w:left="945" w:hanging="945" w:hangingChars="450"/>
        <w:rPr>
          <w:rFonts w:ascii="宋体" w:hAnsi="宋体"/>
          <w:szCs w:val="21"/>
        </w:rPr>
      </w:pPr>
      <w:r>
        <w:rPr>
          <w:rFonts w:hint="eastAsia" w:ascii="宋体" w:hAnsi="宋体"/>
          <w:szCs w:val="21"/>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4CF9A074">
      <w:pPr>
        <w:spacing w:line="390" w:lineRule="exact"/>
        <w:ind w:left="945" w:hanging="945" w:hangingChars="450"/>
        <w:rPr>
          <w:rFonts w:ascii="宋体" w:hAnsi="宋体"/>
          <w:szCs w:val="21"/>
        </w:rPr>
      </w:pPr>
      <w:r>
        <w:rPr>
          <w:rFonts w:hint="eastAsia" w:ascii="宋体" w:hAnsi="宋体"/>
          <w:szCs w:val="21"/>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50A1A106">
      <w:pPr>
        <w:spacing w:line="406" w:lineRule="exact"/>
        <w:ind w:left="945" w:hanging="945" w:hangingChars="450"/>
        <w:rPr>
          <w:rFonts w:ascii="宋体" w:hAnsi="宋体"/>
          <w:szCs w:val="21"/>
        </w:rPr>
      </w:pPr>
      <w:r>
        <w:rPr>
          <w:rFonts w:hint="eastAsia" w:ascii="宋体" w:hAnsi="宋体"/>
          <w:szCs w:val="21"/>
        </w:rPr>
        <w:t>9.1.5    得到批准后的样品由监理人负责存放。但承包人应为保存样品提供适当和固定的场所并保持适当和良好的环境条件。</w:t>
      </w:r>
    </w:p>
    <w:p w14:paraId="37A78A2D">
      <w:pPr>
        <w:spacing w:line="406" w:lineRule="exact"/>
        <w:ind w:left="945" w:hanging="945" w:hangingChars="450"/>
        <w:rPr>
          <w:rFonts w:ascii="宋体" w:hAnsi="宋体"/>
          <w:szCs w:val="21"/>
        </w:rPr>
      </w:pPr>
      <w:r>
        <w:rPr>
          <w:rFonts w:hint="eastAsia" w:ascii="宋体" w:hAnsi="宋体"/>
          <w:szCs w:val="21"/>
        </w:rPr>
        <w:t>9.1.6    提供样品和提供存放样品场所的费用由承包人承担。</w:t>
      </w:r>
    </w:p>
    <w:p w14:paraId="001D6DF9">
      <w:pPr>
        <w:spacing w:before="120" w:beforeLines="50" w:after="120" w:afterLines="50" w:line="406" w:lineRule="exact"/>
        <w:ind w:left="1080" w:hanging="1080" w:hangingChars="450"/>
        <w:rPr>
          <w:rFonts w:ascii="黑体" w:hAnsi="宋体" w:eastAsia="黑体"/>
          <w:sz w:val="24"/>
        </w:rPr>
      </w:pPr>
      <w:r>
        <w:rPr>
          <w:rFonts w:hint="eastAsia" w:ascii="黑体" w:hAnsi="宋体" w:eastAsia="黑体"/>
          <w:sz w:val="24"/>
        </w:rPr>
        <w:t>9.2     材料代换</w:t>
      </w:r>
    </w:p>
    <w:p w14:paraId="25314305">
      <w:pPr>
        <w:spacing w:line="406" w:lineRule="exact"/>
        <w:ind w:left="945" w:hanging="945" w:hangingChars="450"/>
        <w:rPr>
          <w:rFonts w:ascii="宋体" w:hAnsi="宋体"/>
          <w:szCs w:val="21"/>
        </w:rPr>
      </w:pPr>
      <w:r>
        <w:rPr>
          <w:rFonts w:hint="eastAsia" w:ascii="宋体" w:hAnsi="宋体"/>
          <w:szCs w:val="21"/>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366C438E">
      <w:pPr>
        <w:spacing w:line="406" w:lineRule="exact"/>
        <w:ind w:left="945" w:hanging="945" w:hangingChars="450"/>
        <w:rPr>
          <w:rFonts w:ascii="宋体" w:hAnsi="宋体"/>
          <w:szCs w:val="21"/>
        </w:rPr>
      </w:pPr>
      <w:r>
        <w:rPr>
          <w:rFonts w:hint="eastAsia" w:ascii="宋体" w:hAnsi="宋体"/>
          <w:szCs w:val="21"/>
        </w:rPr>
        <w:t>9.2.2    如果使用替代品，承包人应至少在被替代品按批准的进度计划用于永久工程前56天以书面形式通知监理人并随此通知提交下列文件：</w:t>
      </w:r>
    </w:p>
    <w:p w14:paraId="7C1305F4">
      <w:pPr>
        <w:spacing w:line="406" w:lineRule="exact"/>
        <w:ind w:left="1155" w:leftChars="400" w:hanging="315" w:hangingChars="150"/>
        <w:rPr>
          <w:rFonts w:ascii="宋体" w:hAnsi="宋体"/>
          <w:szCs w:val="21"/>
        </w:rPr>
      </w:pPr>
      <w:r>
        <w:rPr>
          <w:rFonts w:hint="eastAsia" w:ascii="宋体" w:hAnsi="宋体"/>
          <w:szCs w:val="21"/>
        </w:rPr>
        <w:t>（1）拟被替代的合同约定的材料和工程设备的名称、数量、规格、型号、品牌、性能、价格及其他任何详细资料；</w:t>
      </w:r>
    </w:p>
    <w:p w14:paraId="16654321">
      <w:pPr>
        <w:spacing w:line="406" w:lineRule="exact"/>
        <w:ind w:left="1155" w:leftChars="400" w:hanging="315" w:hangingChars="150"/>
        <w:rPr>
          <w:rFonts w:ascii="宋体" w:hAnsi="宋体"/>
          <w:szCs w:val="21"/>
        </w:rPr>
      </w:pPr>
      <w:r>
        <w:rPr>
          <w:rFonts w:hint="eastAsia" w:ascii="宋体" w:hAnsi="宋体"/>
          <w:szCs w:val="21"/>
        </w:rPr>
        <w:t>（2）拟采用的替代品的名称、数量、规格、型号、品牌、性能、价格及其他任何必要的详细资料；</w:t>
      </w:r>
    </w:p>
    <w:p w14:paraId="2B8EB54B">
      <w:pPr>
        <w:spacing w:line="406" w:lineRule="exact"/>
        <w:ind w:left="1155" w:leftChars="400" w:hanging="315" w:hangingChars="150"/>
        <w:rPr>
          <w:rFonts w:ascii="宋体" w:hAnsi="宋体"/>
          <w:szCs w:val="21"/>
        </w:rPr>
      </w:pPr>
      <w:r>
        <w:rPr>
          <w:rFonts w:hint="eastAsia" w:ascii="宋体" w:hAnsi="宋体"/>
          <w:szCs w:val="21"/>
        </w:rPr>
        <w:t>（3）替代品使用的工程部位；</w:t>
      </w:r>
    </w:p>
    <w:p w14:paraId="5BD8AEF2">
      <w:pPr>
        <w:spacing w:line="406" w:lineRule="exact"/>
        <w:ind w:left="1155" w:leftChars="400" w:hanging="315" w:hangingChars="150"/>
        <w:rPr>
          <w:rFonts w:ascii="宋体" w:hAnsi="宋体"/>
          <w:szCs w:val="21"/>
        </w:rPr>
      </w:pPr>
      <w:r>
        <w:rPr>
          <w:rFonts w:hint="eastAsia" w:ascii="宋体" w:hAnsi="宋体"/>
          <w:szCs w:val="21"/>
        </w:rPr>
        <w:t>（4）采用替代品的理由和原因说明；</w:t>
      </w:r>
    </w:p>
    <w:p w14:paraId="03FF68CF">
      <w:pPr>
        <w:spacing w:line="406" w:lineRule="exact"/>
        <w:ind w:left="1155" w:leftChars="400" w:hanging="315" w:hangingChars="150"/>
        <w:rPr>
          <w:rFonts w:ascii="宋体" w:hAnsi="宋体"/>
          <w:szCs w:val="21"/>
        </w:rPr>
      </w:pPr>
      <w:r>
        <w:rPr>
          <w:rFonts w:hint="eastAsia" w:ascii="宋体" w:hAnsi="宋体"/>
          <w:szCs w:val="21"/>
        </w:rPr>
        <w:t>（5）替代品与合同中约定的产品之间的差异以及使用替代品后可能对工程产生的任何影响；</w:t>
      </w:r>
    </w:p>
    <w:p w14:paraId="07289471">
      <w:pPr>
        <w:spacing w:line="406" w:lineRule="exact"/>
        <w:ind w:left="1155" w:leftChars="400" w:hanging="315" w:hangingChars="150"/>
        <w:rPr>
          <w:rFonts w:ascii="宋体" w:hAnsi="宋体"/>
          <w:szCs w:val="21"/>
        </w:rPr>
      </w:pPr>
      <w:r>
        <w:rPr>
          <w:rFonts w:hint="eastAsia" w:ascii="宋体" w:hAnsi="宋体"/>
          <w:szCs w:val="21"/>
        </w:rPr>
        <w:t>（6）价格上的差异；</w:t>
      </w:r>
    </w:p>
    <w:p w14:paraId="3EE05A74">
      <w:pPr>
        <w:spacing w:line="406" w:lineRule="exact"/>
        <w:ind w:left="1155" w:leftChars="400" w:hanging="315" w:hangingChars="150"/>
        <w:rPr>
          <w:rFonts w:ascii="宋体" w:hAnsi="宋体"/>
          <w:szCs w:val="21"/>
        </w:rPr>
      </w:pPr>
      <w:r>
        <w:rPr>
          <w:rFonts w:hint="eastAsia" w:ascii="宋体" w:hAnsi="宋体"/>
          <w:szCs w:val="21"/>
        </w:rPr>
        <w:t>（7）监理人为做出适当的决定而随时要求承包人提供的任何其他文件。</w:t>
      </w:r>
    </w:p>
    <w:p w14:paraId="5906AE24">
      <w:pPr>
        <w:spacing w:line="406" w:lineRule="exact"/>
        <w:ind w:left="798" w:leftChars="380" w:firstLine="462" w:firstLineChars="220"/>
        <w:rPr>
          <w:rFonts w:ascii="宋体" w:hAnsi="宋体"/>
          <w:szCs w:val="21"/>
        </w:rPr>
      </w:pPr>
      <w:r>
        <w:rPr>
          <w:rFonts w:hint="eastAsia" w:ascii="宋体" w:hAnsi="宋体"/>
          <w:szCs w:val="21"/>
        </w:rPr>
        <w:t>监理人在收到此类通知及上述文件后，应在28天内向承包人给出书面指示。如果28天内监理人未给出书面指示，应视为监理人和发包人已经批准使用上述替代品，承包人可以据此使用替代品。</w:t>
      </w:r>
    </w:p>
    <w:p w14:paraId="65EE3B0A">
      <w:pPr>
        <w:spacing w:line="406" w:lineRule="exact"/>
        <w:ind w:left="945" w:hanging="945" w:hangingChars="450"/>
        <w:rPr>
          <w:rFonts w:ascii="宋体" w:hAnsi="宋体"/>
          <w:szCs w:val="21"/>
        </w:rPr>
      </w:pPr>
      <w:r>
        <w:rPr>
          <w:rFonts w:hint="eastAsia" w:ascii="宋体" w:hAnsi="宋体"/>
          <w:szCs w:val="21"/>
        </w:rPr>
        <w:t>9.2.3    任何情况下，替代品都应遵守本合同中对相关材料和工程设备的要求。</w:t>
      </w:r>
    </w:p>
    <w:p w14:paraId="6BF27AE0">
      <w:pPr>
        <w:spacing w:line="406" w:lineRule="exact"/>
        <w:ind w:left="945" w:hanging="945" w:hangingChars="450"/>
        <w:rPr>
          <w:rFonts w:ascii="宋体" w:hAnsi="宋体"/>
          <w:szCs w:val="21"/>
        </w:rPr>
      </w:pPr>
      <w:r>
        <w:rPr>
          <w:rFonts w:hint="eastAsia" w:ascii="宋体" w:hAnsi="宋体"/>
          <w:szCs w:val="21"/>
        </w:rPr>
        <w:t xml:space="preserve">9.2.4 </w:t>
      </w:r>
      <w:r>
        <w:rPr>
          <w:rFonts w:ascii="宋体" w:hAnsi="宋体"/>
          <w:szCs w:val="21"/>
        </w:rPr>
        <w:t xml:space="preserve">  </w:t>
      </w:r>
      <w:r>
        <w:rPr>
          <w:rFonts w:hint="eastAsia" w:ascii="宋体" w:hAnsi="宋体"/>
          <w:szCs w:val="21"/>
        </w:rPr>
        <w:t xml:space="preserve"> 如果承包人根据本条约定使用了替代品，监理人应与承包人适当协商之后并在合理的期限内确定替代材料和工程设备与合同中约定的材料和工程设备之间的价值差值，并决定：</w:t>
      </w:r>
    </w:p>
    <w:p w14:paraId="303581EC">
      <w:pPr>
        <w:spacing w:line="406" w:lineRule="exact"/>
        <w:ind w:left="1155" w:leftChars="400" w:hanging="315" w:hangingChars="150"/>
        <w:rPr>
          <w:rFonts w:ascii="宋体" w:hAnsi="宋体"/>
          <w:szCs w:val="21"/>
        </w:rPr>
      </w:pPr>
      <w:r>
        <w:rPr>
          <w:rFonts w:hint="eastAsia" w:ascii="宋体" w:hAnsi="宋体"/>
          <w:szCs w:val="21"/>
        </w:rPr>
        <w:t>（1）如果替代材料和工程设备的价值高于合同中约定的材料和工程设备的价值，则将高出部分的价值追加到合同价格中并相应地通知承包人；</w:t>
      </w:r>
    </w:p>
    <w:p w14:paraId="4301F782">
      <w:pPr>
        <w:spacing w:line="406" w:lineRule="exact"/>
        <w:ind w:left="1155" w:leftChars="400" w:hanging="315" w:hangingChars="150"/>
        <w:rPr>
          <w:rFonts w:ascii="宋体" w:hAnsi="宋体"/>
          <w:szCs w:val="21"/>
        </w:rPr>
      </w:pPr>
      <w:r>
        <w:rPr>
          <w:rFonts w:hint="eastAsia" w:ascii="宋体" w:hAnsi="宋体"/>
          <w:szCs w:val="21"/>
        </w:rPr>
        <w:t>（2）如果替代材料和工程设备的价值低于合同中约定的材料和工程设备的价值，则将节余部分的价值从合同价格中扣除并相应地通知承包人。</w:t>
      </w:r>
    </w:p>
    <w:p w14:paraId="21D447CC">
      <w:pPr>
        <w:pStyle w:val="25"/>
        <w:rPr>
          <w:sz w:val="28"/>
          <w:szCs w:val="28"/>
        </w:rPr>
      </w:pPr>
      <w:bookmarkStart w:id="2228" w:name="_Toc152264775"/>
      <w:bookmarkStart w:id="2229" w:name="_Toc256000391"/>
      <w:r>
        <w:rPr>
          <w:rFonts w:hint="eastAsia"/>
          <w:sz w:val="28"/>
          <w:szCs w:val="28"/>
        </w:rPr>
        <w:t>10.进口材料和工程设备</w:t>
      </w:r>
      <w:bookmarkEnd w:id="2228"/>
      <w:bookmarkEnd w:id="2229"/>
    </w:p>
    <w:p w14:paraId="6C4E0B01">
      <w:pPr>
        <w:spacing w:line="500" w:lineRule="exact"/>
        <w:rPr>
          <w:rFonts w:ascii="宋体" w:hAnsi="宋体"/>
          <w:szCs w:val="21"/>
        </w:rPr>
      </w:pPr>
      <w:r>
        <w:rPr>
          <w:rFonts w:hint="eastAsia" w:ascii="宋体" w:hAnsi="宋体"/>
          <w:szCs w:val="21"/>
        </w:rPr>
        <w:t>10.1    本工程需要进口的材料和工程设备如下：</w:t>
      </w:r>
    </w:p>
    <w:p w14:paraId="1F6B1612">
      <w:pPr>
        <w:spacing w:line="50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42D9CAA6">
      <w:pPr>
        <w:spacing w:line="50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3698FE31">
      <w:pPr>
        <w:spacing w:line="500" w:lineRule="exact"/>
        <w:ind w:left="945" w:hanging="945" w:hangingChars="450"/>
        <w:rPr>
          <w:rFonts w:ascii="宋体" w:hAnsi="宋体"/>
          <w:szCs w:val="21"/>
        </w:rPr>
      </w:pPr>
      <w:r>
        <w:rPr>
          <w:rFonts w:hint="eastAsia" w:ascii="宋体" w:hAnsi="宋体"/>
          <w:szCs w:val="21"/>
        </w:rPr>
        <w:t>10.2    上述进口材料和工程设备采购、进口、报关、清关、商检、境内运输（包括保险）、保管的责任以及费用承担方式划分如下：</w:t>
      </w:r>
    </w:p>
    <w:p w14:paraId="75993A79">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14:paraId="512B841E">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07108237">
      <w:pPr>
        <w:pStyle w:val="25"/>
        <w:rPr>
          <w:sz w:val="28"/>
          <w:szCs w:val="28"/>
        </w:rPr>
      </w:pPr>
      <w:bookmarkStart w:id="2230" w:name="_Toc256000392"/>
      <w:bookmarkStart w:id="2231" w:name="_Toc152264776"/>
      <w:r>
        <w:rPr>
          <w:rFonts w:hint="eastAsia"/>
          <w:sz w:val="28"/>
          <w:szCs w:val="28"/>
        </w:rPr>
        <w:t>11.进度报告和进度例会</w:t>
      </w:r>
      <w:bookmarkEnd w:id="2230"/>
      <w:bookmarkEnd w:id="2231"/>
    </w:p>
    <w:p w14:paraId="57D3733C">
      <w:pPr>
        <w:spacing w:line="406" w:lineRule="exact"/>
        <w:ind w:left="945" w:hanging="945" w:hangingChars="450"/>
        <w:jc w:val="left"/>
        <w:rPr>
          <w:rFonts w:ascii="宋体" w:hAnsi="宋体"/>
          <w:szCs w:val="21"/>
        </w:rPr>
      </w:pPr>
      <w:r>
        <w:rPr>
          <w:rFonts w:hint="eastAsia" w:ascii="宋体" w:hAnsi="宋体"/>
          <w:szCs w:val="21"/>
        </w:rPr>
        <w:t>11.1     进度报告</w:t>
      </w:r>
    </w:p>
    <w:p w14:paraId="10680726">
      <w:pPr>
        <w:spacing w:line="406" w:lineRule="exact"/>
        <w:ind w:left="945" w:hanging="945" w:hangingChars="450"/>
        <w:jc w:val="left"/>
        <w:rPr>
          <w:rFonts w:ascii="宋体" w:hAnsi="宋体"/>
          <w:szCs w:val="21"/>
        </w:rPr>
      </w:pPr>
      <w:r>
        <w:rPr>
          <w:rFonts w:hint="eastAsia" w:ascii="宋体" w:hAnsi="宋体"/>
          <w:szCs w:val="21"/>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50260DC1">
      <w:pPr>
        <w:spacing w:line="406" w:lineRule="exact"/>
        <w:ind w:left="945" w:hanging="945" w:hangingChars="450"/>
        <w:jc w:val="left"/>
        <w:rPr>
          <w:rFonts w:ascii="宋体" w:hAnsi="宋体"/>
          <w:szCs w:val="21"/>
        </w:rPr>
      </w:pPr>
      <w:r>
        <w:rPr>
          <w:rFonts w:hint="eastAsia" w:ascii="宋体" w:hAnsi="宋体"/>
          <w:szCs w:val="21"/>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19D84046">
      <w:pPr>
        <w:spacing w:line="406" w:lineRule="exact"/>
        <w:ind w:left="945" w:hanging="945" w:hangingChars="450"/>
        <w:jc w:val="left"/>
        <w:rPr>
          <w:rFonts w:ascii="宋体" w:hAnsi="宋体"/>
          <w:szCs w:val="21"/>
        </w:rPr>
      </w:pPr>
      <w:r>
        <w:rPr>
          <w:rFonts w:hint="eastAsia" w:ascii="宋体" w:hAnsi="宋体"/>
          <w:szCs w:val="21"/>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75DE2295">
      <w:pPr>
        <w:spacing w:line="406" w:lineRule="exact"/>
        <w:ind w:left="924" w:leftChars="-10" w:hanging="945" w:hangingChars="450"/>
        <w:jc w:val="left"/>
        <w:rPr>
          <w:rFonts w:ascii="宋体" w:hAnsi="宋体"/>
          <w:szCs w:val="21"/>
        </w:rPr>
      </w:pPr>
      <w:r>
        <w:rPr>
          <w:rFonts w:hint="eastAsia" w:ascii="宋体" w:hAnsi="宋体"/>
          <w:szCs w:val="21"/>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7B6E0EE4">
      <w:pPr>
        <w:spacing w:line="406" w:lineRule="exact"/>
        <w:ind w:left="945" w:hanging="945" w:hangingChars="450"/>
        <w:jc w:val="left"/>
        <w:rPr>
          <w:rFonts w:ascii="宋体" w:hAnsi="宋体"/>
          <w:szCs w:val="21"/>
        </w:rPr>
      </w:pPr>
      <w:r>
        <w:rPr>
          <w:rFonts w:hint="eastAsia" w:ascii="宋体" w:hAnsi="宋体"/>
          <w:szCs w:val="21"/>
        </w:rPr>
        <w:t>11.1.5   各个进度报表的格式和内容应经过监理人的审批。进度报表应如实填写，由承包人授权代表签名，并报监理人的指定代表签名确认后再行分发。</w:t>
      </w:r>
    </w:p>
    <w:p w14:paraId="0D801F8C">
      <w:pPr>
        <w:spacing w:line="406" w:lineRule="exact"/>
        <w:ind w:left="945" w:hanging="945" w:hangingChars="450"/>
        <w:jc w:val="left"/>
        <w:rPr>
          <w:rFonts w:ascii="宋体" w:hAnsi="宋体"/>
          <w:szCs w:val="21"/>
        </w:rPr>
      </w:pPr>
      <w:r>
        <w:rPr>
          <w:rFonts w:hint="eastAsia" w:ascii="宋体" w:hAnsi="宋体"/>
          <w:szCs w:val="21"/>
        </w:rPr>
        <w:t>11.1.6   如果监理人认为必要，进度报告和进度照片应同时以存储在磁盘或光盘中的数据文件的形式递交给发包人和监理人。数据文件采用的应用软件及其版本应经过监理人的审批。</w:t>
      </w:r>
    </w:p>
    <w:p w14:paraId="577F5474">
      <w:pPr>
        <w:spacing w:line="406" w:lineRule="exact"/>
        <w:ind w:left="945" w:hanging="945" w:hangingChars="450"/>
        <w:jc w:val="left"/>
        <w:rPr>
          <w:rFonts w:ascii="宋体" w:hAnsi="宋体"/>
          <w:szCs w:val="21"/>
        </w:rPr>
      </w:pPr>
      <w:r>
        <w:rPr>
          <w:rFonts w:hint="eastAsia" w:ascii="宋体" w:hAnsi="宋体"/>
          <w:szCs w:val="21"/>
        </w:rPr>
        <w:t>11.1.7   有关进度报告的其他要求：</w:t>
      </w:r>
    </w:p>
    <w:p w14:paraId="45B50BC7">
      <w:pPr>
        <w:spacing w:line="40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E17668D">
      <w:pPr>
        <w:spacing w:line="400"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71E6ECB">
      <w:pPr>
        <w:spacing w:line="406" w:lineRule="exact"/>
        <w:ind w:left="1080" w:hanging="1080" w:hangingChars="450"/>
        <w:jc w:val="left"/>
        <w:rPr>
          <w:rFonts w:ascii="黑体" w:hAnsi="宋体" w:eastAsia="黑体"/>
          <w:sz w:val="24"/>
        </w:rPr>
      </w:pPr>
      <w:r>
        <w:rPr>
          <w:rFonts w:hint="eastAsia" w:ascii="黑体" w:hAnsi="宋体" w:eastAsia="黑体"/>
          <w:sz w:val="24"/>
        </w:rPr>
        <w:t>11.2     进度例会</w:t>
      </w:r>
    </w:p>
    <w:p w14:paraId="094F0802">
      <w:pPr>
        <w:spacing w:line="406" w:lineRule="exact"/>
        <w:ind w:left="945" w:hanging="945" w:hangingChars="450"/>
        <w:jc w:val="left"/>
        <w:rPr>
          <w:rFonts w:ascii="宋体" w:hAnsi="宋体"/>
          <w:szCs w:val="21"/>
        </w:rPr>
      </w:pPr>
      <w:r>
        <w:rPr>
          <w:rFonts w:hint="eastAsia" w:ascii="宋体" w:hAnsi="宋体"/>
          <w:szCs w:val="21"/>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478BF64D">
      <w:pPr>
        <w:spacing w:line="406" w:lineRule="exact"/>
        <w:ind w:left="945" w:hanging="945" w:hangingChars="450"/>
        <w:jc w:val="left"/>
        <w:rPr>
          <w:rFonts w:ascii="宋体" w:hAnsi="宋体"/>
          <w:szCs w:val="21"/>
        </w:rPr>
      </w:pPr>
      <w:r>
        <w:rPr>
          <w:rFonts w:hint="eastAsia" w:ascii="宋体" w:hAnsi="宋体"/>
          <w:szCs w:val="21"/>
        </w:rPr>
        <w:t>11.2.2   进度例会的内容将涉及合同管理、进度协调和工程管理的各个方面，由监理人准备的会议议题将随会议通知在会议召开前至少24小时发给各参会方。</w:t>
      </w:r>
    </w:p>
    <w:p w14:paraId="0A8C843F">
      <w:pPr>
        <w:spacing w:line="406" w:lineRule="exact"/>
        <w:ind w:left="945" w:hanging="945" w:hangingChars="450"/>
        <w:jc w:val="left"/>
        <w:rPr>
          <w:rFonts w:ascii="宋体" w:hAnsi="宋体"/>
          <w:szCs w:val="21"/>
        </w:rPr>
      </w:pPr>
      <w:r>
        <w:rPr>
          <w:rFonts w:hint="eastAsia" w:ascii="宋体" w:hAnsi="宋体"/>
          <w:szCs w:val="21"/>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7856DDF0">
      <w:pPr>
        <w:spacing w:line="406" w:lineRule="exact"/>
        <w:ind w:left="945" w:hanging="945" w:hangingChars="450"/>
        <w:jc w:val="left"/>
        <w:rPr>
          <w:rFonts w:ascii="宋体" w:hAnsi="宋体"/>
          <w:szCs w:val="21"/>
        </w:rPr>
      </w:pPr>
      <w:r>
        <w:rPr>
          <w:rFonts w:hint="eastAsia" w:ascii="宋体" w:hAnsi="宋体"/>
          <w:szCs w:val="21"/>
        </w:rPr>
        <w:t>11.2.4   有关进度例会的其他要求：</w:t>
      </w:r>
    </w:p>
    <w:p w14:paraId="78AEA420">
      <w:pPr>
        <w:spacing w:line="40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4A1D8385">
      <w:pPr>
        <w:spacing w:line="400"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4E5791A7">
      <w:pPr>
        <w:pStyle w:val="25"/>
        <w:rPr>
          <w:sz w:val="28"/>
          <w:szCs w:val="28"/>
        </w:rPr>
      </w:pPr>
      <w:bookmarkStart w:id="2232" w:name="_Toc256000393"/>
      <w:bookmarkStart w:id="2233" w:name="_Toc152264777"/>
      <w:r>
        <w:rPr>
          <w:rFonts w:hint="eastAsia"/>
          <w:sz w:val="28"/>
          <w:szCs w:val="28"/>
        </w:rPr>
        <w:t>12.试验和检验</w:t>
      </w:r>
      <w:bookmarkEnd w:id="2232"/>
      <w:bookmarkEnd w:id="2233"/>
    </w:p>
    <w:p w14:paraId="5E0AECB9">
      <w:pPr>
        <w:spacing w:line="406" w:lineRule="exact"/>
        <w:ind w:left="945" w:hanging="945" w:hangingChars="450"/>
        <w:jc w:val="left"/>
        <w:rPr>
          <w:rFonts w:ascii="宋体" w:hAnsi="宋体"/>
          <w:szCs w:val="21"/>
        </w:rPr>
      </w:pPr>
      <w:r>
        <w:rPr>
          <w:rFonts w:hint="eastAsia" w:ascii="宋体" w:hAnsi="宋体"/>
          <w:szCs w:val="21"/>
        </w:rPr>
        <w:t>12.1     承包人应当按照工程施工验收规范和标准的规定和通用合同条款第14条的约定，对用于永久工程的主要材料、半成品、成品、建筑构配件、工程设备等进行试验和检验。</w:t>
      </w:r>
    </w:p>
    <w:p w14:paraId="080F0DFD">
      <w:pPr>
        <w:spacing w:line="406" w:lineRule="exact"/>
        <w:ind w:left="945" w:hanging="945" w:hangingChars="450"/>
        <w:jc w:val="left"/>
        <w:rPr>
          <w:rFonts w:ascii="宋体" w:hAnsi="宋体"/>
          <w:szCs w:val="21"/>
        </w:rPr>
      </w:pPr>
      <w:r>
        <w:rPr>
          <w:rFonts w:hint="eastAsia" w:ascii="宋体" w:hAnsi="宋体"/>
          <w:szCs w:val="21"/>
        </w:rPr>
        <w:t>12.2     本工程需要承包人进行试验和检验的材料、工程设备和工艺如下：</w:t>
      </w:r>
    </w:p>
    <w:p w14:paraId="57A58347">
      <w:pPr>
        <w:spacing w:line="40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4CE8CED0">
      <w:pPr>
        <w:spacing w:line="400" w:lineRule="exact"/>
        <w:ind w:left="945" w:hanging="945" w:hangingChars="45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rPr>
        <w:t>监理人可以根据工程需要，指示承包人进行其他现场材料和工艺的试验和检验。</w:t>
      </w:r>
    </w:p>
    <w:p w14:paraId="302D2138">
      <w:pPr>
        <w:spacing w:line="406" w:lineRule="exact"/>
        <w:ind w:left="945" w:hanging="945" w:hangingChars="450"/>
        <w:jc w:val="left"/>
        <w:rPr>
          <w:rFonts w:ascii="宋体" w:hAnsi="宋体"/>
          <w:spacing w:val="4"/>
          <w:szCs w:val="21"/>
        </w:rPr>
      </w:pPr>
      <w:r>
        <w:rPr>
          <w:rFonts w:hint="eastAsia" w:ascii="宋体" w:hAnsi="宋体"/>
          <w:szCs w:val="21"/>
        </w:rPr>
        <w:t xml:space="preserve">12.3     </w:t>
      </w:r>
      <w:r>
        <w:rPr>
          <w:rFonts w:hint="eastAsia" w:ascii="宋体" w:hAnsi="宋体"/>
          <w:spacing w:val="4"/>
          <w:szCs w:val="21"/>
        </w:rPr>
        <w:t>本工程需要由监理人和承包人共同进行试验和检验的材料、工程设备和工艺如下：</w:t>
      </w:r>
    </w:p>
    <w:p w14:paraId="24C7CC87">
      <w:pPr>
        <w:spacing w:line="400" w:lineRule="exact"/>
        <w:ind w:left="945" w:hanging="945" w:hangingChars="450"/>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1B28B55F">
      <w:pPr>
        <w:spacing w:line="406"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765ABB63">
      <w:pPr>
        <w:spacing w:line="406" w:lineRule="exact"/>
        <w:ind w:left="945" w:hanging="945" w:hangingChars="450"/>
        <w:jc w:val="left"/>
        <w:rPr>
          <w:rFonts w:ascii="宋体" w:hAnsi="宋体"/>
          <w:szCs w:val="21"/>
        </w:rPr>
      </w:pPr>
      <w:r>
        <w:rPr>
          <w:rFonts w:hint="eastAsia" w:ascii="宋体" w:hAnsi="宋体"/>
          <w:szCs w:val="21"/>
        </w:rPr>
        <w:t>12.4     本条上述约定需要进行检验的材料、工程设备和工艺在经过检验并获得监理人批准以前，不得用于任何永久工程。</w:t>
      </w:r>
    </w:p>
    <w:p w14:paraId="2656F879">
      <w:pPr>
        <w:spacing w:line="406" w:lineRule="exact"/>
        <w:ind w:left="945" w:hanging="945" w:hangingChars="450"/>
        <w:jc w:val="left"/>
        <w:rPr>
          <w:rFonts w:ascii="宋体" w:hAnsi="宋体"/>
          <w:szCs w:val="21"/>
        </w:rPr>
      </w:pPr>
      <w:r>
        <w:rPr>
          <w:rFonts w:hint="eastAsia" w:ascii="宋体" w:hAnsi="宋体"/>
          <w:szCs w:val="21"/>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1C0AC194">
      <w:pPr>
        <w:spacing w:line="406" w:lineRule="exact"/>
        <w:ind w:left="945" w:hanging="945" w:hangingChars="450"/>
        <w:jc w:val="left"/>
        <w:rPr>
          <w:rFonts w:ascii="宋体" w:hAnsi="宋体"/>
          <w:szCs w:val="21"/>
        </w:rPr>
      </w:pPr>
      <w:r>
        <w:rPr>
          <w:rFonts w:hint="eastAsia" w:ascii="宋体" w:hAnsi="宋体"/>
          <w:szCs w:val="21"/>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46C6C7D0">
      <w:pPr>
        <w:spacing w:line="406" w:lineRule="exact"/>
        <w:ind w:left="945" w:hanging="945" w:hangingChars="450"/>
        <w:jc w:val="left"/>
        <w:rPr>
          <w:rFonts w:ascii="宋体" w:hAnsi="宋体"/>
          <w:szCs w:val="21"/>
        </w:rPr>
      </w:pPr>
      <w:r>
        <w:rPr>
          <w:rFonts w:hint="eastAsia" w:ascii="宋体" w:hAnsi="宋体"/>
          <w:szCs w:val="21"/>
        </w:rPr>
        <w:t>12.7     承包人应在监理人的监督下，对涉及结构安全的试块、试件以及有关材料进行现场取样，并送</w:t>
      </w:r>
      <w:r>
        <w:rPr>
          <w:rFonts w:hint="eastAsia" w:ascii="宋体" w:hAnsi="宋体"/>
          <w:szCs w:val="21"/>
          <w:u w:val="single"/>
        </w:rPr>
        <w:t xml:space="preserve">                       </w:t>
      </w:r>
      <w:r>
        <w:rPr>
          <w:rFonts w:hint="eastAsia" w:ascii="宋体" w:hAnsi="宋体"/>
          <w:szCs w:val="21"/>
        </w:rPr>
        <w:t>质量检测单位进行检测。</w:t>
      </w:r>
    </w:p>
    <w:p w14:paraId="1D827241">
      <w:pPr>
        <w:spacing w:line="406" w:lineRule="exact"/>
        <w:ind w:left="945" w:hanging="945" w:hangingChars="450"/>
        <w:jc w:val="left"/>
        <w:rPr>
          <w:rFonts w:ascii="宋体" w:hAnsi="宋体"/>
          <w:szCs w:val="21"/>
        </w:rPr>
      </w:pPr>
      <w:r>
        <w:rPr>
          <w:rFonts w:hint="eastAsia" w:ascii="宋体" w:hAnsi="宋体"/>
          <w:szCs w:val="21"/>
        </w:rPr>
        <w:t>12.8     除合同另有约定外，承包人应负担本合同项下的所有材料、工程设备和工艺检验的费用。</w:t>
      </w:r>
    </w:p>
    <w:p w14:paraId="5650DF0E">
      <w:pPr>
        <w:pStyle w:val="25"/>
        <w:rPr>
          <w:sz w:val="28"/>
          <w:szCs w:val="28"/>
        </w:rPr>
      </w:pPr>
      <w:bookmarkStart w:id="2234" w:name="_Toc152264778"/>
      <w:bookmarkStart w:id="2235" w:name="_Toc256000394"/>
      <w:r>
        <w:rPr>
          <w:rFonts w:hint="eastAsia"/>
          <w:sz w:val="28"/>
          <w:szCs w:val="28"/>
        </w:rPr>
        <w:t>13.计日工</w:t>
      </w:r>
      <w:bookmarkEnd w:id="2234"/>
      <w:bookmarkEnd w:id="2235"/>
    </w:p>
    <w:p w14:paraId="31575A9C">
      <w:pPr>
        <w:spacing w:line="406" w:lineRule="exact"/>
        <w:ind w:left="945" w:hanging="945" w:hangingChars="450"/>
        <w:jc w:val="left"/>
        <w:rPr>
          <w:rFonts w:ascii="宋体" w:hAnsi="宋体"/>
          <w:szCs w:val="21"/>
        </w:rPr>
      </w:pPr>
      <w:r>
        <w:rPr>
          <w:rFonts w:hint="eastAsia" w:ascii="宋体" w:hAnsi="宋体"/>
          <w:szCs w:val="21"/>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4792B28B">
      <w:pPr>
        <w:spacing w:line="406" w:lineRule="exact"/>
        <w:ind w:left="945" w:hanging="945" w:hangingChars="450"/>
        <w:jc w:val="left"/>
        <w:rPr>
          <w:rFonts w:ascii="宋体" w:hAnsi="宋体"/>
          <w:szCs w:val="21"/>
        </w:rPr>
      </w:pPr>
      <w:r>
        <w:rPr>
          <w:rFonts w:hint="eastAsia" w:ascii="宋体" w:hAnsi="宋体"/>
          <w:szCs w:val="21"/>
        </w:rPr>
        <w:t>13.2     在工程实际开工后14天内，承包人应当按通用合同条款第15.7.2项约定的计日工报表内容，准备一份计日工日报表的格式，报送监理人审批，监理人应当在收到之日后7天内给予批复或提出修改意见。</w:t>
      </w:r>
    </w:p>
    <w:p w14:paraId="744F1025">
      <w:pPr>
        <w:spacing w:line="406" w:lineRule="exact"/>
        <w:ind w:left="945" w:hanging="945" w:hangingChars="450"/>
        <w:jc w:val="left"/>
        <w:rPr>
          <w:rFonts w:ascii="宋体" w:hAnsi="宋体"/>
          <w:szCs w:val="21"/>
        </w:rPr>
      </w:pPr>
      <w:r>
        <w:rPr>
          <w:rFonts w:hint="eastAsia" w:ascii="宋体" w:hAnsi="宋体"/>
          <w:szCs w:val="21"/>
        </w:rPr>
        <w:t>13.3     按计日工实施相关变更的过程中，承包人应当按经监理人批准的计日工日报表格式，每天提交计日工报表和有关凭证，报送监理人审批，监理人应当在收到相关报表和凭证后24小时内给予批复。</w:t>
      </w:r>
    </w:p>
    <w:p w14:paraId="27F2833E">
      <w:pPr>
        <w:spacing w:line="402" w:lineRule="exact"/>
        <w:ind w:left="945" w:hanging="945" w:hangingChars="450"/>
        <w:jc w:val="left"/>
        <w:rPr>
          <w:rFonts w:ascii="宋体" w:hAnsi="宋体"/>
          <w:szCs w:val="21"/>
        </w:rPr>
      </w:pPr>
      <w:r>
        <w:rPr>
          <w:rFonts w:hint="eastAsia" w:ascii="宋体" w:hAnsi="宋体"/>
          <w:szCs w:val="21"/>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08530D43">
      <w:pPr>
        <w:spacing w:line="402" w:lineRule="exact"/>
        <w:ind w:left="945" w:hanging="945" w:hangingChars="450"/>
        <w:jc w:val="left"/>
        <w:rPr>
          <w:rFonts w:ascii="宋体" w:hAnsi="宋体"/>
          <w:szCs w:val="21"/>
        </w:rPr>
      </w:pPr>
      <w:r>
        <w:rPr>
          <w:rFonts w:hint="eastAsia" w:ascii="宋体" w:hAnsi="宋体"/>
          <w:szCs w:val="21"/>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78432D8A">
      <w:pPr>
        <w:spacing w:line="402" w:lineRule="exact"/>
        <w:ind w:left="945" w:hanging="945" w:hangingChars="450"/>
        <w:jc w:val="left"/>
        <w:rPr>
          <w:rFonts w:ascii="宋体" w:hAnsi="宋体"/>
          <w:szCs w:val="21"/>
        </w:rPr>
      </w:pPr>
      <w:r>
        <w:rPr>
          <w:rFonts w:hint="eastAsia" w:ascii="宋体" w:hAnsi="宋体"/>
          <w:szCs w:val="21"/>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618A3C2E">
      <w:pPr>
        <w:spacing w:line="402" w:lineRule="exact"/>
        <w:ind w:left="945" w:hanging="945" w:hangingChars="450"/>
        <w:jc w:val="left"/>
        <w:rPr>
          <w:rFonts w:ascii="宋体" w:hAnsi="宋体"/>
          <w:szCs w:val="21"/>
        </w:rPr>
      </w:pPr>
      <w:r>
        <w:rPr>
          <w:rFonts w:hint="eastAsia" w:ascii="宋体" w:hAnsi="宋体"/>
          <w:szCs w:val="21"/>
        </w:rPr>
        <w:t>13.7     关于计日工的其他约定：</w:t>
      </w:r>
    </w:p>
    <w:p w14:paraId="7F2F8067">
      <w:pPr>
        <w:spacing w:line="402"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2B91C7B6">
      <w:pPr>
        <w:pStyle w:val="25"/>
        <w:rPr>
          <w:sz w:val="28"/>
          <w:szCs w:val="28"/>
        </w:rPr>
      </w:pPr>
      <w:bookmarkStart w:id="2236" w:name="_Toc256000395"/>
      <w:bookmarkStart w:id="2237" w:name="_Toc152264779"/>
      <w:r>
        <w:rPr>
          <w:rFonts w:hint="eastAsia"/>
          <w:sz w:val="28"/>
          <w:szCs w:val="28"/>
        </w:rPr>
        <w:t>14.计量与支付</w:t>
      </w:r>
      <w:bookmarkEnd w:id="2236"/>
      <w:bookmarkEnd w:id="2237"/>
    </w:p>
    <w:p w14:paraId="3FF484CB">
      <w:pPr>
        <w:spacing w:line="402" w:lineRule="exact"/>
        <w:ind w:left="1080" w:hanging="1080" w:hangingChars="450"/>
        <w:jc w:val="left"/>
        <w:rPr>
          <w:rFonts w:ascii="黑体" w:hAnsi="宋体" w:eastAsia="黑体"/>
          <w:sz w:val="24"/>
        </w:rPr>
      </w:pPr>
      <w:r>
        <w:rPr>
          <w:rFonts w:hint="eastAsia" w:ascii="黑体" w:hAnsi="宋体" w:eastAsia="黑体"/>
          <w:sz w:val="24"/>
        </w:rPr>
        <w:t>14.1    付款申请单</w:t>
      </w:r>
    </w:p>
    <w:p w14:paraId="7B0FE0EB">
      <w:pPr>
        <w:spacing w:line="402" w:lineRule="exact"/>
        <w:ind w:left="945" w:hanging="945" w:hangingChars="450"/>
        <w:jc w:val="left"/>
        <w:rPr>
          <w:rFonts w:ascii="宋体" w:hAnsi="宋体"/>
          <w:szCs w:val="21"/>
        </w:rPr>
      </w:pPr>
      <w:r>
        <w:rPr>
          <w:rFonts w:hint="eastAsia" w:ascii="宋体" w:hAnsi="宋体"/>
          <w:szCs w:val="21"/>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59A94792">
      <w:pPr>
        <w:spacing w:line="402" w:lineRule="exact"/>
        <w:ind w:left="945" w:hanging="945" w:hangingChars="450"/>
        <w:jc w:val="left"/>
        <w:rPr>
          <w:rFonts w:ascii="宋体" w:hAnsi="宋体"/>
          <w:szCs w:val="21"/>
        </w:rPr>
      </w:pPr>
      <w:r>
        <w:rPr>
          <w:rFonts w:hint="eastAsia" w:ascii="宋体" w:hAnsi="宋体"/>
          <w:szCs w:val="21"/>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246E62B0">
      <w:pPr>
        <w:spacing w:line="402" w:lineRule="exact"/>
        <w:ind w:left="945" w:hanging="945" w:hangingChars="450"/>
        <w:jc w:val="left"/>
        <w:rPr>
          <w:rFonts w:ascii="宋体" w:hAnsi="宋体"/>
          <w:szCs w:val="21"/>
        </w:rPr>
      </w:pPr>
      <w:r>
        <w:rPr>
          <w:rFonts w:hint="eastAsia" w:ascii="宋体" w:hAnsi="宋体"/>
          <w:szCs w:val="21"/>
        </w:rPr>
        <w:t>14.1.3   竣工付款申</w:t>
      </w:r>
      <w:r>
        <w:rPr>
          <w:rFonts w:hint="eastAsia" w:ascii="宋体" w:hAnsi="宋体"/>
          <w:szCs w:val="21"/>
          <w:lang w:val="en-US" w:eastAsia="zh-CN"/>
        </w:rPr>
        <w:t>请</w:t>
      </w:r>
      <w:r>
        <w:rPr>
          <w:rFonts w:hint="eastAsia" w:ascii="宋体" w:hAnsi="宋体"/>
          <w:szCs w:val="21"/>
        </w:rPr>
        <w:t>单的内容按专用合同条款第17.5.1（1）目的约定。采用单价合同形式的，竣工付款申请单应当附上按通用合同条款第17.1.4（5）目确定的结算工程量和最近一</w:t>
      </w:r>
      <w:r>
        <w:rPr>
          <w:rFonts w:hint="eastAsia" w:ascii="宋体" w:hAnsi="宋体"/>
          <w:szCs w:val="21"/>
          <w:lang w:val="en-US" w:eastAsia="zh-CN"/>
        </w:rPr>
        <w:t>次</w:t>
      </w:r>
      <w:r>
        <w:rPr>
          <w:rFonts w:hint="eastAsia" w:ascii="宋体" w:hAnsi="宋体"/>
          <w:szCs w:val="21"/>
        </w:rPr>
        <w:t>进度付款和竣工付款之间完成的各子目的工程量计量文件。采用总价合同形式的，签约合同价所基于的工程量就是相应的竣工结算工程量，但是，变更应按合同约定进行计量和计价。</w:t>
      </w:r>
    </w:p>
    <w:p w14:paraId="3638EEDD">
      <w:pPr>
        <w:spacing w:line="402" w:lineRule="exact"/>
        <w:ind w:left="945" w:hanging="945" w:hangingChars="450"/>
        <w:jc w:val="left"/>
        <w:rPr>
          <w:rFonts w:ascii="宋体" w:hAnsi="宋体"/>
          <w:szCs w:val="21"/>
        </w:rPr>
      </w:pPr>
      <w:r>
        <w:rPr>
          <w:rFonts w:hint="eastAsia" w:ascii="宋体" w:hAnsi="宋体"/>
          <w:szCs w:val="21"/>
        </w:rPr>
        <w:t>14.1.4   竣工结算总价（合同价格）应当按以下内容梳理：</w:t>
      </w:r>
    </w:p>
    <w:p w14:paraId="3F299642">
      <w:pPr>
        <w:spacing w:line="402" w:lineRule="exact"/>
        <w:ind w:left="945" w:leftChars="450"/>
        <w:jc w:val="left"/>
        <w:rPr>
          <w:rFonts w:ascii="宋体" w:hAnsi="宋体"/>
          <w:szCs w:val="21"/>
        </w:rPr>
      </w:pPr>
      <w:r>
        <w:rPr>
          <w:rFonts w:hint="eastAsia" w:ascii="宋体" w:hAnsi="宋体"/>
          <w:szCs w:val="21"/>
        </w:rPr>
        <w:t>（1）签约合同价；</w:t>
      </w:r>
    </w:p>
    <w:p w14:paraId="53EBE2AE">
      <w:pPr>
        <w:spacing w:line="402" w:lineRule="exact"/>
        <w:ind w:left="945" w:leftChars="450"/>
        <w:jc w:val="left"/>
        <w:rPr>
          <w:rFonts w:ascii="宋体" w:hAnsi="宋体"/>
          <w:szCs w:val="21"/>
        </w:rPr>
      </w:pPr>
      <w:r>
        <w:rPr>
          <w:rFonts w:hint="eastAsia" w:ascii="宋体" w:hAnsi="宋体"/>
          <w:szCs w:val="21"/>
        </w:rPr>
        <w:t>（2）应当扣减的项目；</w:t>
      </w:r>
    </w:p>
    <w:p w14:paraId="58F4B598">
      <w:pPr>
        <w:spacing w:line="402" w:lineRule="exact"/>
        <w:ind w:firstLine="1260" w:firstLineChars="600"/>
        <w:jc w:val="left"/>
        <w:rPr>
          <w:rFonts w:ascii="宋体" w:hAnsi="宋体"/>
          <w:szCs w:val="21"/>
        </w:rPr>
      </w:pPr>
      <w:r>
        <w:rPr>
          <w:rFonts w:hint="eastAsia" w:ascii="宋体" w:hAnsi="宋体"/>
          <w:szCs w:val="21"/>
        </w:rPr>
        <w:t>1）所有暂列金额；</w:t>
      </w:r>
    </w:p>
    <w:p w14:paraId="48404B39">
      <w:pPr>
        <w:spacing w:line="402" w:lineRule="exact"/>
        <w:ind w:firstLine="1260" w:firstLineChars="600"/>
        <w:jc w:val="left"/>
        <w:rPr>
          <w:rFonts w:ascii="宋体" w:hAnsi="宋体"/>
          <w:szCs w:val="21"/>
        </w:rPr>
      </w:pPr>
      <w:r>
        <w:rPr>
          <w:rFonts w:hint="eastAsia" w:ascii="宋体" w:hAnsi="宋体"/>
          <w:szCs w:val="21"/>
        </w:rPr>
        <w:t>2）所有暂估价；</w:t>
      </w:r>
    </w:p>
    <w:p w14:paraId="5AD14CC0">
      <w:pPr>
        <w:spacing w:line="460" w:lineRule="exact"/>
        <w:ind w:firstLine="1260" w:firstLineChars="600"/>
        <w:jc w:val="left"/>
        <w:rPr>
          <w:rFonts w:ascii="宋体" w:hAnsi="宋体"/>
          <w:szCs w:val="21"/>
        </w:rPr>
      </w:pPr>
      <w:r>
        <w:rPr>
          <w:rFonts w:hint="eastAsia" w:ascii="宋体" w:hAnsi="宋体"/>
          <w:szCs w:val="21"/>
        </w:rPr>
        <w:t>3）根据合同条款第15条应扣减的变更金额；</w:t>
      </w:r>
    </w:p>
    <w:p w14:paraId="4F441604">
      <w:pPr>
        <w:spacing w:line="460" w:lineRule="exact"/>
        <w:ind w:firstLine="1260" w:firstLineChars="600"/>
        <w:jc w:val="left"/>
        <w:rPr>
          <w:rFonts w:ascii="宋体" w:hAnsi="宋体"/>
          <w:szCs w:val="21"/>
        </w:rPr>
      </w:pPr>
      <w:r>
        <w:rPr>
          <w:rFonts w:hint="eastAsia" w:ascii="宋体" w:hAnsi="宋体"/>
          <w:szCs w:val="21"/>
        </w:rPr>
        <w:t>4）根据合同条款第16条应扣减的价格调整（下调部分）；</w:t>
      </w:r>
    </w:p>
    <w:p w14:paraId="04E17B7B">
      <w:pPr>
        <w:spacing w:line="460" w:lineRule="exact"/>
        <w:ind w:firstLine="1260" w:firstLineChars="600"/>
        <w:jc w:val="left"/>
        <w:rPr>
          <w:rFonts w:ascii="宋体" w:hAnsi="宋体"/>
          <w:szCs w:val="21"/>
        </w:rPr>
      </w:pPr>
      <w:r>
        <w:rPr>
          <w:rFonts w:hint="eastAsia" w:ascii="宋体" w:hAnsi="宋体"/>
          <w:szCs w:val="21"/>
        </w:rPr>
        <w:t>5）根据合同条款第23.4款应扣减的发包人索赔金额；</w:t>
      </w:r>
    </w:p>
    <w:p w14:paraId="7916299E">
      <w:pPr>
        <w:spacing w:line="460" w:lineRule="exact"/>
        <w:ind w:firstLine="1260" w:firstLineChars="600"/>
        <w:jc w:val="left"/>
        <w:rPr>
          <w:rFonts w:ascii="宋体" w:hAnsi="宋体"/>
          <w:szCs w:val="21"/>
        </w:rPr>
      </w:pPr>
      <w:r>
        <w:rPr>
          <w:rFonts w:hint="eastAsia" w:ascii="宋体" w:hAnsi="宋体"/>
          <w:szCs w:val="21"/>
        </w:rPr>
        <w:t>6）甩项工程的合同价值（如果有）；</w:t>
      </w:r>
    </w:p>
    <w:p w14:paraId="3F978606">
      <w:pPr>
        <w:spacing w:line="460" w:lineRule="exact"/>
        <w:ind w:firstLine="1260" w:firstLineChars="600"/>
        <w:jc w:val="left"/>
        <w:rPr>
          <w:rFonts w:ascii="宋体" w:hAnsi="宋体"/>
          <w:szCs w:val="21"/>
        </w:rPr>
      </w:pPr>
      <w:r>
        <w:rPr>
          <w:rFonts w:hint="eastAsia" w:ascii="宋体" w:hAnsi="宋体"/>
          <w:szCs w:val="21"/>
        </w:rPr>
        <w:t>7）根据合同约定发包人应扣减的其他金额。</w:t>
      </w:r>
    </w:p>
    <w:p w14:paraId="2A66D733">
      <w:pPr>
        <w:spacing w:line="460" w:lineRule="exact"/>
        <w:ind w:firstLine="945" w:firstLineChars="450"/>
        <w:jc w:val="left"/>
        <w:rPr>
          <w:rFonts w:ascii="宋体" w:hAnsi="宋体"/>
          <w:szCs w:val="21"/>
        </w:rPr>
      </w:pPr>
      <w:r>
        <w:rPr>
          <w:rFonts w:hint="eastAsia" w:ascii="宋体" w:hAnsi="宋体"/>
          <w:szCs w:val="21"/>
        </w:rPr>
        <w:t>（3）应当增加的项目；</w:t>
      </w:r>
    </w:p>
    <w:p w14:paraId="35F40042">
      <w:pPr>
        <w:spacing w:line="460" w:lineRule="exact"/>
        <w:ind w:firstLine="1260" w:firstLineChars="600"/>
        <w:jc w:val="left"/>
        <w:rPr>
          <w:rFonts w:ascii="宋体" w:hAnsi="宋体"/>
          <w:szCs w:val="21"/>
        </w:rPr>
      </w:pPr>
      <w:r>
        <w:rPr>
          <w:rFonts w:hint="eastAsia" w:ascii="宋体" w:hAnsi="宋体"/>
          <w:szCs w:val="21"/>
        </w:rPr>
        <w:t>1）实际发生的暂列金额（包括计日工）；</w:t>
      </w:r>
    </w:p>
    <w:p w14:paraId="3DB0B880">
      <w:pPr>
        <w:spacing w:line="460" w:lineRule="exact"/>
        <w:ind w:firstLine="1260" w:firstLineChars="600"/>
        <w:jc w:val="left"/>
        <w:rPr>
          <w:rFonts w:ascii="宋体" w:hAnsi="宋体"/>
          <w:szCs w:val="21"/>
        </w:rPr>
      </w:pPr>
      <w:r>
        <w:rPr>
          <w:rFonts w:hint="eastAsia" w:ascii="宋体" w:hAnsi="宋体"/>
          <w:szCs w:val="21"/>
        </w:rPr>
        <w:t>2）实际发生的暂估价；</w:t>
      </w:r>
    </w:p>
    <w:p w14:paraId="7583D6CA">
      <w:pPr>
        <w:spacing w:line="460" w:lineRule="exact"/>
        <w:ind w:firstLine="1260" w:firstLineChars="600"/>
        <w:jc w:val="left"/>
        <w:rPr>
          <w:rFonts w:ascii="宋体" w:hAnsi="宋体"/>
          <w:szCs w:val="21"/>
        </w:rPr>
      </w:pPr>
      <w:r>
        <w:rPr>
          <w:rFonts w:hint="eastAsia" w:ascii="宋体" w:hAnsi="宋体"/>
          <w:szCs w:val="21"/>
        </w:rPr>
        <w:t>3）根据合同条款第15条应增加的变更金额；</w:t>
      </w:r>
    </w:p>
    <w:p w14:paraId="1D21718A">
      <w:pPr>
        <w:spacing w:line="460" w:lineRule="exact"/>
        <w:ind w:firstLine="1260" w:firstLineChars="600"/>
        <w:jc w:val="left"/>
        <w:rPr>
          <w:rFonts w:ascii="宋体" w:hAnsi="宋体"/>
          <w:szCs w:val="21"/>
        </w:rPr>
      </w:pPr>
      <w:r>
        <w:rPr>
          <w:rFonts w:hint="eastAsia" w:ascii="宋体" w:hAnsi="宋体"/>
          <w:szCs w:val="21"/>
        </w:rPr>
        <w:t>4）根据合同条款第16条应增加的价格调整（上调部分）；</w:t>
      </w:r>
    </w:p>
    <w:p w14:paraId="0CB06887">
      <w:pPr>
        <w:spacing w:line="460" w:lineRule="exact"/>
        <w:ind w:firstLine="1260" w:firstLineChars="600"/>
        <w:jc w:val="left"/>
        <w:rPr>
          <w:rFonts w:ascii="宋体" w:hAnsi="宋体"/>
          <w:szCs w:val="21"/>
        </w:rPr>
      </w:pPr>
      <w:r>
        <w:rPr>
          <w:rFonts w:hint="eastAsia" w:ascii="宋体" w:hAnsi="宋体"/>
          <w:szCs w:val="21"/>
        </w:rPr>
        <w:t>5）根据合同条款第23.2款应增加的承包人索赔金额；</w:t>
      </w:r>
    </w:p>
    <w:p w14:paraId="28BC91E0">
      <w:pPr>
        <w:spacing w:line="460" w:lineRule="exact"/>
        <w:ind w:firstLine="1260" w:firstLineChars="600"/>
        <w:jc w:val="left"/>
        <w:rPr>
          <w:rFonts w:ascii="宋体" w:hAnsi="宋体"/>
          <w:szCs w:val="21"/>
        </w:rPr>
      </w:pPr>
      <w:r>
        <w:rPr>
          <w:rFonts w:hint="eastAsia" w:ascii="宋体" w:hAnsi="宋体"/>
          <w:szCs w:val="21"/>
        </w:rPr>
        <w:t>6）根据合同约定承包人应当得到的其他金额。</w:t>
      </w:r>
    </w:p>
    <w:p w14:paraId="7C6D03E1">
      <w:pPr>
        <w:spacing w:line="460" w:lineRule="exact"/>
        <w:ind w:firstLine="945" w:firstLineChars="450"/>
        <w:jc w:val="left"/>
        <w:rPr>
          <w:rFonts w:ascii="宋体" w:hAnsi="宋体"/>
          <w:szCs w:val="21"/>
        </w:rPr>
      </w:pPr>
      <w:r>
        <w:rPr>
          <w:rFonts w:hint="eastAsia" w:ascii="宋体" w:hAnsi="宋体"/>
          <w:szCs w:val="21"/>
        </w:rPr>
        <w:t>（4）规费和税金差额部分。</w:t>
      </w:r>
    </w:p>
    <w:p w14:paraId="07316C02">
      <w:pPr>
        <w:spacing w:line="460" w:lineRule="exact"/>
        <w:jc w:val="left"/>
        <w:rPr>
          <w:rFonts w:ascii="宋体" w:hAnsi="宋体"/>
          <w:szCs w:val="21"/>
        </w:rPr>
      </w:pPr>
      <w:r>
        <w:rPr>
          <w:rFonts w:hint="eastAsia" w:ascii="宋体" w:hAnsi="宋体"/>
          <w:szCs w:val="21"/>
        </w:rPr>
        <w:t>14.1.5   最终结清申请单的应付金额应当按下列内容梳理：</w:t>
      </w:r>
    </w:p>
    <w:p w14:paraId="11B7348C">
      <w:pPr>
        <w:spacing w:line="460" w:lineRule="exact"/>
        <w:ind w:firstLine="840" w:firstLineChars="400"/>
        <w:jc w:val="left"/>
        <w:rPr>
          <w:rFonts w:ascii="宋体" w:hAnsi="宋体"/>
          <w:szCs w:val="21"/>
        </w:rPr>
      </w:pPr>
      <w:r>
        <w:rPr>
          <w:rFonts w:hint="eastAsia" w:ascii="宋体" w:hAnsi="宋体"/>
          <w:szCs w:val="21"/>
        </w:rPr>
        <w:t>（1）按合同约定扣留的质量保证金；</w:t>
      </w:r>
    </w:p>
    <w:p w14:paraId="28924235">
      <w:pPr>
        <w:spacing w:line="460" w:lineRule="exact"/>
        <w:ind w:firstLine="840" w:firstLineChars="400"/>
        <w:jc w:val="left"/>
        <w:rPr>
          <w:rFonts w:ascii="宋体" w:hAnsi="宋体"/>
          <w:szCs w:val="21"/>
        </w:rPr>
      </w:pPr>
      <w:r>
        <w:rPr>
          <w:rFonts w:hint="eastAsia" w:ascii="宋体" w:hAnsi="宋体"/>
          <w:szCs w:val="21"/>
        </w:rPr>
        <w:t>（2）应当扣除的金额：</w:t>
      </w:r>
    </w:p>
    <w:p w14:paraId="5B299A3E">
      <w:pPr>
        <w:spacing w:line="460" w:lineRule="exact"/>
        <w:ind w:firstLine="1155" w:firstLineChars="550"/>
        <w:jc w:val="left"/>
        <w:rPr>
          <w:rFonts w:ascii="宋体" w:hAnsi="宋体"/>
          <w:szCs w:val="21"/>
        </w:rPr>
      </w:pPr>
      <w:r>
        <w:rPr>
          <w:rFonts w:hint="eastAsia" w:ascii="宋体" w:hAnsi="宋体"/>
          <w:szCs w:val="21"/>
        </w:rPr>
        <w:t>1）按通用合同条款17.4.3项约定扣留的质量保证金；</w:t>
      </w:r>
    </w:p>
    <w:p w14:paraId="180A1A53">
      <w:pPr>
        <w:spacing w:line="460" w:lineRule="exact"/>
        <w:ind w:firstLine="1155" w:firstLineChars="550"/>
        <w:jc w:val="left"/>
        <w:rPr>
          <w:rFonts w:ascii="宋体" w:hAnsi="宋体"/>
          <w:szCs w:val="21"/>
        </w:rPr>
      </w:pPr>
      <w:r>
        <w:rPr>
          <w:rFonts w:hint="eastAsia" w:ascii="宋体" w:hAnsi="宋体"/>
          <w:szCs w:val="21"/>
        </w:rPr>
        <w:t>2）按通用合同条款19.2.4项约定扣除的质量保证金；</w:t>
      </w:r>
    </w:p>
    <w:p w14:paraId="478EA99D">
      <w:pPr>
        <w:spacing w:line="460" w:lineRule="exact"/>
        <w:ind w:firstLine="1155" w:firstLineChars="550"/>
        <w:jc w:val="left"/>
        <w:rPr>
          <w:rFonts w:ascii="宋体" w:hAnsi="宋体"/>
          <w:szCs w:val="21"/>
        </w:rPr>
      </w:pPr>
      <w:r>
        <w:rPr>
          <w:rFonts w:hint="eastAsia" w:ascii="宋体" w:hAnsi="宋体"/>
          <w:szCs w:val="21"/>
        </w:rPr>
        <w:t>3）根据合同条款第23.4款应扣减的缺陷责任期内发生的发包人索赔金额；</w:t>
      </w:r>
    </w:p>
    <w:p w14:paraId="73DB504B">
      <w:pPr>
        <w:spacing w:line="460" w:lineRule="exact"/>
        <w:ind w:firstLine="1155" w:firstLineChars="550"/>
        <w:jc w:val="left"/>
        <w:rPr>
          <w:rFonts w:ascii="宋体" w:hAnsi="宋体"/>
          <w:szCs w:val="21"/>
        </w:rPr>
      </w:pPr>
      <w:r>
        <w:rPr>
          <w:rFonts w:hint="eastAsia" w:ascii="宋体" w:hAnsi="宋体"/>
          <w:szCs w:val="21"/>
        </w:rPr>
        <w:t>4）根据合同约定应扣减的其他金额。</w:t>
      </w:r>
    </w:p>
    <w:p w14:paraId="4A164A8E">
      <w:pPr>
        <w:spacing w:line="460" w:lineRule="exact"/>
        <w:ind w:firstLine="840" w:firstLineChars="400"/>
        <w:jc w:val="left"/>
        <w:rPr>
          <w:rFonts w:ascii="宋体" w:hAnsi="宋体"/>
          <w:szCs w:val="21"/>
        </w:rPr>
      </w:pPr>
      <w:r>
        <w:rPr>
          <w:rFonts w:hint="eastAsia" w:ascii="宋体" w:hAnsi="宋体"/>
          <w:szCs w:val="21"/>
        </w:rPr>
        <w:t>（3）应当增加的金额：</w:t>
      </w:r>
    </w:p>
    <w:p w14:paraId="564553D8">
      <w:pPr>
        <w:spacing w:line="460" w:lineRule="exact"/>
        <w:ind w:firstLine="1155" w:firstLineChars="550"/>
        <w:jc w:val="left"/>
        <w:rPr>
          <w:rFonts w:ascii="宋体" w:hAnsi="宋体"/>
          <w:szCs w:val="21"/>
        </w:rPr>
      </w:pPr>
      <w:r>
        <w:rPr>
          <w:rFonts w:hint="eastAsia" w:ascii="宋体" w:hAnsi="宋体"/>
          <w:szCs w:val="21"/>
        </w:rPr>
        <w:t>1）已完且符合合同约定的甩项工程的价值；</w:t>
      </w:r>
    </w:p>
    <w:p w14:paraId="7C8A092D">
      <w:pPr>
        <w:spacing w:line="460" w:lineRule="exact"/>
        <w:ind w:firstLine="1155" w:firstLineChars="550"/>
        <w:jc w:val="left"/>
        <w:rPr>
          <w:rFonts w:ascii="宋体" w:hAnsi="宋体"/>
          <w:szCs w:val="21"/>
        </w:rPr>
      </w:pPr>
      <w:r>
        <w:rPr>
          <w:rFonts w:hint="eastAsia" w:ascii="宋体" w:hAnsi="宋体"/>
          <w:szCs w:val="21"/>
        </w:rPr>
        <w:t>2）按通用合同条款19.2.3项约定由承包人修复的发包人原因造成的缺陷的价值；</w:t>
      </w:r>
    </w:p>
    <w:p w14:paraId="4E793EA7">
      <w:pPr>
        <w:spacing w:line="460" w:lineRule="exact"/>
        <w:ind w:firstLine="1155" w:firstLineChars="550"/>
        <w:jc w:val="left"/>
        <w:rPr>
          <w:rFonts w:ascii="宋体" w:hAnsi="宋体"/>
          <w:szCs w:val="21"/>
        </w:rPr>
      </w:pPr>
      <w:r>
        <w:rPr>
          <w:rFonts w:hint="eastAsia" w:ascii="宋体" w:hAnsi="宋体"/>
          <w:szCs w:val="21"/>
        </w:rPr>
        <w:t>3）根据合同条款第23.2款应增加的缺陷责任期内发生的承包人索赔金额；</w:t>
      </w:r>
    </w:p>
    <w:p w14:paraId="5EEB1FA4">
      <w:pPr>
        <w:spacing w:line="460" w:lineRule="exact"/>
        <w:ind w:firstLine="1155" w:firstLineChars="550"/>
        <w:jc w:val="left"/>
        <w:rPr>
          <w:rFonts w:ascii="宋体" w:hAnsi="宋体"/>
          <w:szCs w:val="21"/>
        </w:rPr>
      </w:pPr>
      <w:r>
        <w:rPr>
          <w:rFonts w:hint="eastAsia" w:ascii="宋体" w:hAnsi="宋体"/>
          <w:szCs w:val="21"/>
        </w:rPr>
        <w:t>4）根据合同约定承包人应当得到的其他金额。</w:t>
      </w:r>
    </w:p>
    <w:p w14:paraId="6959626E">
      <w:pPr>
        <w:spacing w:line="460" w:lineRule="exact"/>
        <w:ind w:firstLine="945" w:firstLineChars="450"/>
        <w:jc w:val="left"/>
        <w:rPr>
          <w:rFonts w:ascii="宋体" w:hAnsi="宋体"/>
          <w:szCs w:val="21"/>
        </w:rPr>
      </w:pPr>
      <w:r>
        <w:rPr>
          <w:rFonts w:hint="eastAsia" w:ascii="宋体" w:hAnsi="宋体"/>
          <w:szCs w:val="21"/>
        </w:rPr>
        <w:t>最终结清应当由发包人和承包人按照“多退少补”的原则办理。</w:t>
      </w:r>
    </w:p>
    <w:p w14:paraId="167F9255">
      <w:pPr>
        <w:spacing w:line="460" w:lineRule="exact"/>
        <w:ind w:left="945" w:hanging="945" w:hangingChars="450"/>
        <w:jc w:val="left"/>
        <w:rPr>
          <w:rFonts w:ascii="宋体" w:hAnsi="宋体"/>
          <w:szCs w:val="21"/>
        </w:rPr>
      </w:pPr>
      <w:r>
        <w:rPr>
          <w:rFonts w:hint="eastAsia" w:ascii="宋体" w:hAnsi="宋体"/>
          <w:szCs w:val="21"/>
        </w:rPr>
        <w:t>14.1.6   竣工付款申请单和最终结清申请单应当比照进度付款申请单的格式准备，并提供相关证明材料。</w:t>
      </w:r>
    </w:p>
    <w:p w14:paraId="7A52DDA1">
      <w:pPr>
        <w:spacing w:before="72" w:beforeLines="30" w:after="72" w:afterLines="30" w:line="450" w:lineRule="exact"/>
        <w:jc w:val="left"/>
        <w:rPr>
          <w:rFonts w:ascii="黑体" w:hAnsi="宋体" w:eastAsia="黑体"/>
          <w:sz w:val="24"/>
        </w:rPr>
      </w:pPr>
      <w:r>
        <w:rPr>
          <w:rFonts w:hint="eastAsia" w:ascii="黑体" w:hAnsi="宋体" w:eastAsia="黑体"/>
          <w:sz w:val="24"/>
        </w:rPr>
        <w:t>14.2    其他约定</w:t>
      </w:r>
    </w:p>
    <w:p w14:paraId="3D7222DF">
      <w:pPr>
        <w:spacing w:line="450" w:lineRule="exact"/>
        <w:ind w:firstLine="945" w:firstLineChars="450"/>
        <w:jc w:val="left"/>
        <w:rPr>
          <w:rFonts w:ascii="宋体" w:hAnsi="宋体"/>
          <w:szCs w:val="21"/>
        </w:rPr>
      </w:pPr>
      <w:r>
        <w:rPr>
          <w:rFonts w:hint="eastAsia" w:ascii="宋体" w:hAnsi="宋体"/>
          <w:szCs w:val="21"/>
        </w:rPr>
        <w:t>其他约定内容：</w:t>
      </w:r>
    </w:p>
    <w:p w14:paraId="294C349C">
      <w:pPr>
        <w:spacing w:line="45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48D8D4FE">
      <w:pPr>
        <w:spacing w:line="450" w:lineRule="exact"/>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5DACEC37">
      <w:pPr>
        <w:pStyle w:val="25"/>
        <w:rPr>
          <w:sz w:val="28"/>
          <w:szCs w:val="28"/>
        </w:rPr>
      </w:pPr>
      <w:bookmarkStart w:id="2238" w:name="_Toc256000396"/>
      <w:bookmarkStart w:id="2239" w:name="_Toc152264780"/>
      <w:r>
        <w:rPr>
          <w:rFonts w:hint="eastAsia"/>
          <w:sz w:val="28"/>
          <w:szCs w:val="28"/>
        </w:rPr>
        <w:t>15.竣工验收和工程移交</w:t>
      </w:r>
      <w:bookmarkEnd w:id="2238"/>
      <w:bookmarkEnd w:id="2239"/>
    </w:p>
    <w:p w14:paraId="5D9BD181">
      <w:pPr>
        <w:spacing w:line="436" w:lineRule="exact"/>
        <w:jc w:val="left"/>
        <w:rPr>
          <w:rFonts w:ascii="黑体" w:hAnsi="宋体" w:eastAsia="黑体"/>
          <w:sz w:val="24"/>
        </w:rPr>
      </w:pPr>
      <w:r>
        <w:rPr>
          <w:rFonts w:hint="eastAsia" w:ascii="黑体" w:hAnsi="宋体" w:eastAsia="黑体"/>
          <w:sz w:val="24"/>
        </w:rPr>
        <w:t>15.1   竣工验收前的清理</w:t>
      </w:r>
    </w:p>
    <w:p w14:paraId="496E3321">
      <w:pPr>
        <w:spacing w:line="420" w:lineRule="exact"/>
        <w:ind w:left="945" w:hanging="945" w:hangingChars="450"/>
        <w:jc w:val="left"/>
        <w:rPr>
          <w:rFonts w:ascii="宋体" w:hAnsi="宋体"/>
          <w:szCs w:val="21"/>
        </w:rPr>
      </w:pPr>
      <w:r>
        <w:rPr>
          <w:rFonts w:hint="eastAsia" w:ascii="宋体" w:hAnsi="宋体"/>
          <w:szCs w:val="21"/>
        </w:rPr>
        <w:t>15.1.1   在向监理人提交竣工验收申请报告前，承包人应当完成竣工验收前的清理工作，包括但不限于：</w:t>
      </w:r>
    </w:p>
    <w:p w14:paraId="668DD175">
      <w:pPr>
        <w:spacing w:line="420" w:lineRule="exact"/>
        <w:ind w:left="945" w:leftChars="450"/>
        <w:jc w:val="left"/>
        <w:rPr>
          <w:rFonts w:ascii="宋体" w:hAnsi="宋体"/>
          <w:szCs w:val="21"/>
        </w:rPr>
      </w:pPr>
      <w:r>
        <w:rPr>
          <w:rFonts w:hint="eastAsia" w:ascii="宋体" w:hAnsi="宋体"/>
          <w:szCs w:val="21"/>
        </w:rPr>
        <w:t>（1）从永久工程内清除所有剩余材料、杂物、垃圾等等；</w:t>
      </w:r>
    </w:p>
    <w:p w14:paraId="2EC84AF9">
      <w:pPr>
        <w:spacing w:line="420" w:lineRule="exact"/>
        <w:ind w:left="945" w:leftChars="450"/>
        <w:jc w:val="left"/>
        <w:rPr>
          <w:rFonts w:ascii="宋体" w:hAnsi="宋体"/>
          <w:szCs w:val="21"/>
        </w:rPr>
      </w:pPr>
      <w:r>
        <w:rPr>
          <w:rFonts w:hint="eastAsia" w:ascii="宋体" w:hAnsi="宋体"/>
          <w:szCs w:val="21"/>
        </w:rPr>
        <w:t>（2）清洗工程的所有地面、墙面、楼面、路面等表面；</w:t>
      </w:r>
    </w:p>
    <w:p w14:paraId="60013A77">
      <w:pPr>
        <w:spacing w:line="420" w:lineRule="exact"/>
        <w:ind w:left="945" w:leftChars="450"/>
        <w:jc w:val="left"/>
        <w:rPr>
          <w:rFonts w:ascii="宋体" w:hAnsi="宋体"/>
          <w:szCs w:val="21"/>
        </w:rPr>
      </w:pPr>
      <w:r>
        <w:rPr>
          <w:rFonts w:hint="eastAsia" w:ascii="宋体" w:hAnsi="宋体"/>
          <w:szCs w:val="21"/>
        </w:rPr>
        <w:t>（3）清洗和擦洗所有玻璃、磁砖、石材和所有金属面；</w:t>
      </w:r>
    </w:p>
    <w:p w14:paraId="7336B23F">
      <w:pPr>
        <w:spacing w:line="420" w:lineRule="exact"/>
        <w:ind w:left="945" w:leftChars="450"/>
        <w:jc w:val="left"/>
        <w:rPr>
          <w:rFonts w:ascii="宋体" w:hAnsi="宋体"/>
          <w:szCs w:val="21"/>
        </w:rPr>
      </w:pPr>
      <w:r>
        <w:rPr>
          <w:rFonts w:hint="eastAsia" w:ascii="宋体" w:hAnsi="宋体"/>
          <w:szCs w:val="21"/>
        </w:rPr>
        <w:t>（4）修缮所有损坏、清除所有污迹、替换所有需更换的材料；</w:t>
      </w:r>
    </w:p>
    <w:p w14:paraId="05C41384">
      <w:pPr>
        <w:spacing w:line="420" w:lineRule="exact"/>
        <w:ind w:left="945" w:leftChars="450"/>
        <w:jc w:val="left"/>
        <w:rPr>
          <w:rFonts w:ascii="宋体" w:hAnsi="宋体"/>
          <w:szCs w:val="21"/>
        </w:rPr>
      </w:pPr>
      <w:r>
        <w:rPr>
          <w:rFonts w:hint="eastAsia" w:ascii="宋体" w:hAnsi="宋体"/>
          <w:szCs w:val="21"/>
        </w:rPr>
        <w:t>（5）所有表面完成约定的装修和装饰；</w:t>
      </w:r>
    </w:p>
    <w:p w14:paraId="666E1008">
      <w:pPr>
        <w:spacing w:line="420" w:lineRule="exact"/>
        <w:ind w:left="945" w:leftChars="450"/>
        <w:jc w:val="left"/>
        <w:rPr>
          <w:rFonts w:ascii="宋体" w:hAnsi="宋体"/>
          <w:szCs w:val="21"/>
        </w:rPr>
      </w:pPr>
      <w:r>
        <w:rPr>
          <w:rFonts w:hint="eastAsia" w:ascii="宋体" w:hAnsi="宋体"/>
          <w:szCs w:val="21"/>
        </w:rPr>
        <w:t>（6）检查和调试所有的门、窗、抽屉等以确保他们开启的顺畅；</w:t>
      </w:r>
    </w:p>
    <w:p w14:paraId="3767DACF">
      <w:pPr>
        <w:spacing w:line="420" w:lineRule="exact"/>
        <w:ind w:left="945" w:leftChars="450"/>
        <w:jc w:val="left"/>
        <w:rPr>
          <w:rFonts w:ascii="宋体" w:hAnsi="宋体"/>
          <w:szCs w:val="21"/>
        </w:rPr>
      </w:pPr>
      <w:r>
        <w:rPr>
          <w:rFonts w:hint="eastAsia" w:ascii="宋体" w:hAnsi="宋体"/>
          <w:szCs w:val="21"/>
        </w:rPr>
        <w:t>（7）检查和调试所有的五金件并上油；</w:t>
      </w:r>
    </w:p>
    <w:p w14:paraId="09ED021A">
      <w:pPr>
        <w:spacing w:line="420" w:lineRule="exact"/>
        <w:ind w:left="945" w:leftChars="450"/>
        <w:jc w:val="left"/>
        <w:rPr>
          <w:rFonts w:ascii="宋体" w:hAnsi="宋体"/>
          <w:szCs w:val="21"/>
        </w:rPr>
      </w:pPr>
      <w:r>
        <w:rPr>
          <w:rFonts w:hint="eastAsia" w:ascii="宋体" w:hAnsi="宋体"/>
          <w:szCs w:val="21"/>
        </w:rPr>
        <w:t>（8）检查、测试和确保所有服务系统、设施和设备达到良好的运行状态和效果；</w:t>
      </w:r>
    </w:p>
    <w:p w14:paraId="44D98265">
      <w:pPr>
        <w:spacing w:line="420" w:lineRule="exact"/>
        <w:ind w:left="945" w:leftChars="450"/>
        <w:jc w:val="left"/>
        <w:rPr>
          <w:rFonts w:ascii="宋体" w:hAnsi="宋体"/>
          <w:szCs w:val="21"/>
        </w:rPr>
      </w:pPr>
      <w:r>
        <w:rPr>
          <w:rFonts w:hint="eastAsia" w:ascii="宋体" w:hAnsi="宋体"/>
          <w:szCs w:val="21"/>
        </w:rPr>
        <w:t>（9）所有钥匙（如果有）贴上标签并固定到钥匙排上随时可以交给监理人。</w:t>
      </w:r>
    </w:p>
    <w:p w14:paraId="6FB1B817">
      <w:pPr>
        <w:spacing w:line="420" w:lineRule="exact"/>
        <w:jc w:val="left"/>
        <w:rPr>
          <w:rFonts w:ascii="宋体" w:hAnsi="宋体"/>
          <w:szCs w:val="21"/>
        </w:rPr>
      </w:pPr>
      <w:r>
        <w:rPr>
          <w:rFonts w:hint="eastAsia" w:ascii="宋体" w:hAnsi="宋体"/>
          <w:szCs w:val="21"/>
        </w:rPr>
        <w:t>15.1.2   清理工作所需费用由承包人承担。</w:t>
      </w:r>
    </w:p>
    <w:p w14:paraId="64012B6D">
      <w:pPr>
        <w:spacing w:before="60" w:beforeLines="25" w:after="48" w:afterLines="20" w:line="436" w:lineRule="exact"/>
        <w:jc w:val="left"/>
        <w:rPr>
          <w:rFonts w:ascii="黑体" w:hAnsi="宋体" w:eastAsia="黑体"/>
          <w:sz w:val="24"/>
        </w:rPr>
      </w:pPr>
      <w:r>
        <w:rPr>
          <w:rFonts w:hint="eastAsia" w:ascii="黑体" w:hAnsi="宋体" w:eastAsia="黑体"/>
          <w:sz w:val="24"/>
        </w:rPr>
        <w:t>15.2     竣工验收申请报告</w:t>
      </w:r>
    </w:p>
    <w:p w14:paraId="2F188E16">
      <w:pPr>
        <w:spacing w:line="420" w:lineRule="exact"/>
        <w:ind w:left="945" w:hanging="945" w:hangingChars="450"/>
        <w:jc w:val="left"/>
        <w:rPr>
          <w:rFonts w:ascii="宋体" w:hAnsi="宋体"/>
          <w:szCs w:val="21"/>
        </w:rPr>
      </w:pPr>
      <w:r>
        <w:rPr>
          <w:rFonts w:hint="eastAsia" w:ascii="宋体" w:hAnsi="宋体"/>
          <w:szCs w:val="21"/>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251DE8E0">
      <w:pPr>
        <w:spacing w:line="420" w:lineRule="exact"/>
        <w:ind w:left="945" w:hanging="945" w:hangingChars="450"/>
        <w:jc w:val="left"/>
        <w:rPr>
          <w:rFonts w:ascii="宋体" w:hAnsi="宋体"/>
          <w:szCs w:val="21"/>
        </w:rPr>
      </w:pPr>
      <w:r>
        <w:rPr>
          <w:rFonts w:hint="eastAsia" w:ascii="宋体" w:hAnsi="宋体"/>
          <w:szCs w:val="21"/>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657C10E4">
      <w:pPr>
        <w:spacing w:line="420" w:lineRule="exact"/>
        <w:ind w:left="945" w:hanging="945" w:hangingChars="450"/>
        <w:jc w:val="left"/>
        <w:rPr>
          <w:rFonts w:ascii="宋体" w:hAnsi="宋体"/>
          <w:szCs w:val="21"/>
        </w:rPr>
      </w:pPr>
      <w:r>
        <w:rPr>
          <w:rFonts w:hint="eastAsia" w:ascii="宋体" w:hAnsi="宋体"/>
          <w:szCs w:val="21"/>
        </w:rPr>
        <w:t>15.2.3   竣工验收申请报告应当按通用合同条款第18.2款附上下列内容：</w:t>
      </w:r>
    </w:p>
    <w:p w14:paraId="05B59484">
      <w:pPr>
        <w:spacing w:line="420" w:lineRule="exact"/>
        <w:ind w:left="1290" w:leftChars="450" w:hanging="345" w:hangingChars="150"/>
        <w:jc w:val="left"/>
        <w:rPr>
          <w:rFonts w:ascii="宋体" w:hAnsi="宋体"/>
          <w:spacing w:val="10"/>
          <w:szCs w:val="21"/>
        </w:rPr>
      </w:pPr>
      <w:r>
        <w:rPr>
          <w:rFonts w:hint="eastAsia" w:ascii="宋体" w:hAnsi="宋体"/>
          <w:spacing w:val="10"/>
          <w:szCs w:val="21"/>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26345018">
      <w:pPr>
        <w:spacing w:line="436" w:lineRule="exact"/>
        <w:ind w:left="945" w:leftChars="450"/>
        <w:jc w:val="left"/>
        <w:rPr>
          <w:rFonts w:ascii="宋体" w:hAnsi="宋体"/>
          <w:szCs w:val="21"/>
        </w:rPr>
      </w:pPr>
      <w:r>
        <w:rPr>
          <w:rFonts w:hint="eastAsia" w:ascii="宋体" w:hAnsi="宋体"/>
          <w:szCs w:val="21"/>
        </w:rPr>
        <w:t>（2）按专用合同条款第18.2（2）目约定的内容和份数整理的符合要求的竣工资料；</w:t>
      </w:r>
    </w:p>
    <w:p w14:paraId="4F2883D3">
      <w:pPr>
        <w:spacing w:line="436" w:lineRule="exact"/>
        <w:ind w:left="1470" w:leftChars="450" w:hanging="525" w:hangingChars="250"/>
        <w:jc w:val="left"/>
        <w:rPr>
          <w:rFonts w:ascii="宋体" w:hAnsi="宋体"/>
          <w:szCs w:val="21"/>
        </w:rPr>
      </w:pPr>
      <w:r>
        <w:rPr>
          <w:rFonts w:hint="eastAsia" w:ascii="宋体" w:hAnsi="宋体"/>
          <w:szCs w:val="21"/>
        </w:rPr>
        <w:t>（3）按监理人的要求编制了在缺陷责任期内完成的尾工（甩项）工程和缺陷修补工作清单以及相应施工计划；</w:t>
      </w:r>
    </w:p>
    <w:p w14:paraId="57CDFAAA">
      <w:pPr>
        <w:spacing w:line="436" w:lineRule="exact"/>
        <w:ind w:left="1470" w:leftChars="450" w:hanging="525" w:hangingChars="250"/>
        <w:jc w:val="left"/>
        <w:rPr>
          <w:rFonts w:ascii="宋体" w:hAnsi="宋体"/>
          <w:szCs w:val="21"/>
        </w:rPr>
      </w:pPr>
      <w:r>
        <w:rPr>
          <w:rFonts w:hint="eastAsia" w:ascii="宋体" w:hAnsi="宋体"/>
          <w:szCs w:val="21"/>
        </w:rPr>
        <w:t>（4）监理人要求在竣工验收前应完成的其他工作的证明材料；</w:t>
      </w:r>
    </w:p>
    <w:p w14:paraId="12DF4370">
      <w:pPr>
        <w:spacing w:line="436" w:lineRule="exact"/>
        <w:ind w:left="1470" w:leftChars="450" w:hanging="525" w:hangingChars="250"/>
        <w:jc w:val="left"/>
        <w:rPr>
          <w:rFonts w:ascii="宋体" w:hAnsi="宋体"/>
          <w:szCs w:val="21"/>
        </w:rPr>
      </w:pPr>
      <w:r>
        <w:rPr>
          <w:rFonts w:hint="eastAsia" w:ascii="宋体" w:hAnsi="宋体"/>
          <w:szCs w:val="21"/>
        </w:rPr>
        <w:t>（5）监理人要求提交的竣工验收资料清单；</w:t>
      </w:r>
    </w:p>
    <w:p w14:paraId="5E021947">
      <w:pPr>
        <w:spacing w:line="436" w:lineRule="exact"/>
        <w:ind w:left="945" w:leftChars="450"/>
        <w:jc w:val="left"/>
        <w:rPr>
          <w:rFonts w:ascii="宋体" w:hAnsi="宋体"/>
          <w:szCs w:val="21"/>
        </w:rPr>
      </w:pPr>
      <w:r>
        <w:rPr>
          <w:rFonts w:hint="eastAsia" w:ascii="宋体" w:hAnsi="宋体"/>
          <w:szCs w:val="21"/>
        </w:rPr>
        <w:t>（6）通用合同条款第18.4.1项约定的单位工程竣工验收成果和结论文件（如果有）；</w:t>
      </w:r>
    </w:p>
    <w:p w14:paraId="6634CFDE">
      <w:pPr>
        <w:spacing w:line="436" w:lineRule="exact"/>
        <w:ind w:left="945" w:leftChars="450"/>
        <w:jc w:val="left"/>
        <w:rPr>
          <w:rFonts w:ascii="宋体" w:hAnsi="宋体"/>
          <w:szCs w:val="21"/>
        </w:rPr>
      </w:pPr>
      <w:r>
        <w:rPr>
          <w:rFonts w:hint="eastAsia" w:ascii="宋体" w:hAnsi="宋体"/>
          <w:szCs w:val="21"/>
        </w:rPr>
        <w:t>（7）专用合同条款第19.7款约定的质量保修书（此前已经提交的不再提交）；</w:t>
      </w:r>
    </w:p>
    <w:p w14:paraId="737D4C35">
      <w:pPr>
        <w:spacing w:line="436" w:lineRule="exact"/>
        <w:ind w:left="945" w:leftChars="450"/>
        <w:jc w:val="left"/>
        <w:rPr>
          <w:rFonts w:hint="eastAsia" w:ascii="宋体" w:hAnsi="宋体"/>
          <w:szCs w:val="21"/>
        </w:rPr>
      </w:pPr>
      <w:r>
        <w:rPr>
          <w:rFonts w:hint="eastAsia" w:ascii="宋体" w:hAnsi="宋体"/>
          <w:szCs w:val="21"/>
        </w:rPr>
        <w:t>（8）其他：</w:t>
      </w:r>
      <w:r>
        <w:rPr>
          <w:rFonts w:hint="eastAsia" w:ascii="宋体" w:hAnsi="宋体"/>
          <w:szCs w:val="21"/>
          <w:u w:val="single"/>
        </w:rPr>
        <w:t xml:space="preserve">                        </w:t>
      </w:r>
      <w:r>
        <w:rPr>
          <w:rFonts w:hint="eastAsia" w:ascii="宋体" w:hAnsi="宋体"/>
          <w:szCs w:val="21"/>
          <w:u w:val="none"/>
          <w:lang w:eastAsia="zh-CN"/>
        </w:rPr>
        <w:t>。</w:t>
      </w:r>
    </w:p>
    <w:p w14:paraId="2BBACB4A">
      <w:pPr>
        <w:spacing w:line="436" w:lineRule="exact"/>
        <w:jc w:val="left"/>
        <w:rPr>
          <w:rFonts w:ascii="黑体" w:hAnsi="宋体" w:eastAsia="黑体"/>
          <w:sz w:val="24"/>
        </w:rPr>
      </w:pPr>
      <w:r>
        <w:rPr>
          <w:rFonts w:hint="eastAsia" w:ascii="黑体" w:hAnsi="宋体" w:eastAsia="黑体"/>
          <w:sz w:val="24"/>
        </w:rPr>
        <w:t>15.3    竣工清场</w:t>
      </w:r>
    </w:p>
    <w:p w14:paraId="7569284E">
      <w:pPr>
        <w:spacing w:line="436" w:lineRule="exact"/>
        <w:ind w:left="945" w:hanging="945" w:hangingChars="450"/>
        <w:jc w:val="left"/>
        <w:rPr>
          <w:rFonts w:ascii="宋体" w:hAnsi="宋体"/>
          <w:szCs w:val="21"/>
        </w:rPr>
      </w:pPr>
      <w:r>
        <w:rPr>
          <w:rFonts w:hint="eastAsia" w:ascii="宋体" w:hAnsi="宋体"/>
          <w:szCs w:val="21"/>
        </w:rPr>
        <w:t>15.3.1   监理人颁发（出具）工程接收证书后，承包人应在56天内按以下要求对施工场地（现场）进行清理：</w:t>
      </w:r>
    </w:p>
    <w:p w14:paraId="37163ACB">
      <w:pPr>
        <w:spacing w:line="436" w:lineRule="exact"/>
        <w:ind w:firstLine="945" w:firstLineChars="450"/>
        <w:jc w:val="left"/>
        <w:rPr>
          <w:rFonts w:ascii="宋体" w:hAnsi="宋体"/>
          <w:szCs w:val="21"/>
        </w:rPr>
      </w:pPr>
      <w:r>
        <w:rPr>
          <w:rFonts w:hint="eastAsia" w:ascii="宋体" w:hAnsi="宋体"/>
          <w:szCs w:val="21"/>
        </w:rPr>
        <w:t>（1）从施工场地（现场）清除所有杂物和垃圾等；</w:t>
      </w:r>
    </w:p>
    <w:p w14:paraId="6B1D213A">
      <w:pPr>
        <w:spacing w:line="436" w:lineRule="exact"/>
        <w:ind w:left="1260" w:leftChars="450" w:hanging="315" w:hangingChars="150"/>
        <w:jc w:val="left"/>
        <w:rPr>
          <w:rFonts w:ascii="宋体" w:hAnsi="宋体"/>
          <w:szCs w:val="21"/>
        </w:rPr>
      </w:pPr>
      <w:r>
        <w:rPr>
          <w:rFonts w:hint="eastAsia" w:ascii="宋体" w:hAnsi="宋体"/>
          <w:szCs w:val="21"/>
        </w:rPr>
        <w:t>（2）从施工场地现场拆除所有的临时工程和临时设施并恢复地面原状，但经监理人批准的护坡桩、锚杆、塔吊基础和无法拆除的埋入式模板等无法拆除的临时设施除外；</w:t>
      </w:r>
    </w:p>
    <w:p w14:paraId="2E01BE18">
      <w:pPr>
        <w:spacing w:line="436" w:lineRule="exact"/>
        <w:ind w:left="1395" w:leftChars="450" w:hanging="450"/>
        <w:jc w:val="left"/>
        <w:rPr>
          <w:rFonts w:ascii="宋体" w:hAnsi="宋体"/>
          <w:szCs w:val="21"/>
        </w:rPr>
      </w:pPr>
      <w:r>
        <w:rPr>
          <w:rFonts w:hint="eastAsia" w:ascii="宋体" w:hAnsi="宋体"/>
          <w:szCs w:val="21"/>
        </w:rPr>
        <w:t>（3）撤离所有承包人施工设备和剩余材料（经监理人同意需在缺陷责任期内继续使用的除外）；</w:t>
      </w:r>
    </w:p>
    <w:p w14:paraId="42611BF7">
      <w:pPr>
        <w:spacing w:line="436" w:lineRule="exact"/>
        <w:ind w:left="1395" w:leftChars="450" w:hanging="450"/>
        <w:jc w:val="left"/>
        <w:rPr>
          <w:rFonts w:ascii="宋体" w:hAnsi="宋体"/>
          <w:szCs w:val="21"/>
        </w:rPr>
      </w:pPr>
      <w:r>
        <w:rPr>
          <w:rFonts w:hint="eastAsia" w:ascii="宋体" w:hAnsi="宋体"/>
          <w:szCs w:val="21"/>
        </w:rPr>
        <w:t>（4）监理人指示的其他清场工作。</w:t>
      </w:r>
    </w:p>
    <w:p w14:paraId="3D81C6C0">
      <w:pPr>
        <w:pStyle w:val="25"/>
        <w:rPr>
          <w:sz w:val="28"/>
          <w:szCs w:val="28"/>
        </w:rPr>
      </w:pPr>
      <w:bookmarkStart w:id="2240" w:name="_Toc152264781"/>
      <w:bookmarkStart w:id="2241" w:name="_Toc256000397"/>
      <w:r>
        <w:rPr>
          <w:rFonts w:hint="eastAsia"/>
          <w:sz w:val="28"/>
          <w:szCs w:val="28"/>
        </w:rPr>
        <w:t>16.其他要求</w:t>
      </w:r>
      <w:bookmarkEnd w:id="2240"/>
      <w:bookmarkEnd w:id="2241"/>
    </w:p>
    <w:p w14:paraId="26A40DA4">
      <w:pPr>
        <w:spacing w:before="240" w:line="50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B9FA3FA">
      <w:pPr>
        <w:spacing w:line="500" w:lineRule="exact"/>
        <w:jc w:val="left"/>
        <w:rPr>
          <w:rFonts w:hint="eastAsia"/>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none"/>
          <w:lang w:eastAsia="zh-CN"/>
        </w:rPr>
        <w:t>。</w:t>
      </w:r>
    </w:p>
    <w:p w14:paraId="2AECBC36">
      <w:r>
        <w:br w:type="page"/>
      </w:r>
    </w:p>
    <w:p w14:paraId="4B19239F">
      <w:pPr>
        <w:pStyle w:val="23"/>
        <w:jc w:val="center"/>
      </w:pPr>
      <w:bookmarkStart w:id="2242" w:name="_Toc256000398"/>
      <w:bookmarkStart w:id="2243" w:name="_Toc152264782"/>
      <w:r>
        <w:rPr>
          <w:rFonts w:hint="eastAsia"/>
        </w:rPr>
        <w:t>第二节  特殊技术标准和要求</w:t>
      </w:r>
      <w:bookmarkEnd w:id="2242"/>
      <w:bookmarkEnd w:id="2243"/>
    </w:p>
    <w:p w14:paraId="5E3FB088">
      <w:pPr>
        <w:spacing w:line="500" w:lineRule="exact"/>
        <w:jc w:val="left"/>
        <w:rPr>
          <w:rFonts w:ascii="宋体" w:hAnsi="宋体"/>
          <w:szCs w:val="21"/>
        </w:rPr>
      </w:pPr>
    </w:p>
    <w:p w14:paraId="0A62C0D3">
      <w:pPr>
        <w:pStyle w:val="25"/>
        <w:rPr>
          <w:sz w:val="28"/>
          <w:szCs w:val="28"/>
        </w:rPr>
      </w:pPr>
      <w:bookmarkStart w:id="2244" w:name="_Toc256000399"/>
      <w:bookmarkStart w:id="2245" w:name="_Toc152264783"/>
      <w:r>
        <w:rPr>
          <w:rFonts w:hint="eastAsia"/>
          <w:sz w:val="28"/>
          <w:szCs w:val="28"/>
        </w:rPr>
        <w:t>1．材料和工程设备技术要求</w:t>
      </w:r>
      <w:bookmarkEnd w:id="2244"/>
      <w:bookmarkEnd w:id="2245"/>
    </w:p>
    <w:p w14:paraId="60A4C804">
      <w:pPr>
        <w:spacing w:line="500" w:lineRule="exact"/>
        <w:jc w:val="left"/>
        <w:rPr>
          <w:rFonts w:ascii="宋体" w:hAnsi="宋体"/>
          <w:szCs w:val="21"/>
        </w:rPr>
      </w:pPr>
      <w:r>
        <w:rPr>
          <w:rFonts w:hint="eastAsia" w:ascii="宋体" w:hAnsi="宋体"/>
          <w:szCs w:val="21"/>
        </w:rPr>
        <w:t>1.1承包人自行施工范围内的部分材料和工程设备技术要求如下：</w:t>
      </w:r>
    </w:p>
    <w:p w14:paraId="74030147">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0B78ECC">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55CF7F64">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21506133">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2D1498C6">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2361E6E5">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2DAE674B">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r>
        <w:rPr>
          <w:rFonts w:hint="eastAsia" w:ascii="宋体" w:hAnsi="宋体"/>
          <w:szCs w:val="21"/>
          <w:u w:val="none"/>
          <w:lang w:eastAsia="zh-CN"/>
        </w:rPr>
        <w:t>。</w:t>
      </w:r>
    </w:p>
    <w:p w14:paraId="784F8282">
      <w:pPr>
        <w:spacing w:line="500" w:lineRule="exact"/>
        <w:ind w:firstLine="420" w:firstLineChars="200"/>
        <w:jc w:val="left"/>
        <w:rPr>
          <w:rFonts w:ascii="宋体" w:hAnsi="宋体"/>
          <w:szCs w:val="21"/>
        </w:rPr>
      </w:pPr>
      <w:r>
        <w:rPr>
          <w:rFonts w:hint="eastAsia" w:ascii="宋体" w:hAnsi="宋体"/>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50FF5351">
      <w:pPr>
        <w:spacing w:line="500" w:lineRule="exact"/>
        <w:jc w:val="left"/>
        <w:rPr>
          <w:rFonts w:ascii="宋体" w:hAnsi="宋体"/>
          <w:szCs w:val="21"/>
        </w:rPr>
      </w:pPr>
      <w:r>
        <w:rPr>
          <w:rFonts w:hint="eastAsia" w:ascii="宋体" w:hAnsi="宋体"/>
          <w:szCs w:val="21"/>
        </w:rPr>
        <w:t>1.2承包人自行施工范围内的材料和工程设备选型允许的偏离如下：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067"/>
        <w:gridCol w:w="1703"/>
        <w:gridCol w:w="1703"/>
        <w:gridCol w:w="1704"/>
      </w:tblGrid>
      <w:tr w14:paraId="7E0D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vAlign w:val="center"/>
          </w:tcPr>
          <w:p w14:paraId="01780F30">
            <w:pPr>
              <w:jc w:val="center"/>
              <w:rPr>
                <w:rFonts w:ascii="宋体" w:hAnsi="宋体"/>
                <w:szCs w:val="21"/>
              </w:rPr>
            </w:pPr>
            <w:r>
              <w:rPr>
                <w:rFonts w:hint="eastAsia" w:ascii="宋体" w:hAnsi="宋体"/>
                <w:szCs w:val="21"/>
              </w:rPr>
              <w:t>序号</w:t>
            </w:r>
          </w:p>
        </w:tc>
        <w:tc>
          <w:tcPr>
            <w:tcW w:w="2120" w:type="dxa"/>
            <w:vAlign w:val="center"/>
          </w:tcPr>
          <w:p w14:paraId="4ACE0415">
            <w:pPr>
              <w:jc w:val="center"/>
              <w:rPr>
                <w:rFonts w:ascii="宋体" w:hAnsi="宋体"/>
                <w:szCs w:val="21"/>
              </w:rPr>
            </w:pPr>
            <w:r>
              <w:rPr>
                <w:rFonts w:hint="eastAsia" w:ascii="宋体" w:hAnsi="宋体"/>
                <w:szCs w:val="21"/>
              </w:rPr>
              <w:t>材料和工程设备</w:t>
            </w:r>
          </w:p>
          <w:p w14:paraId="6F944385">
            <w:pPr>
              <w:jc w:val="center"/>
              <w:rPr>
                <w:rFonts w:ascii="宋体" w:hAnsi="宋体"/>
                <w:szCs w:val="21"/>
              </w:rPr>
            </w:pPr>
            <w:r>
              <w:rPr>
                <w:rFonts w:hint="eastAsia" w:ascii="宋体" w:hAnsi="宋体"/>
                <w:szCs w:val="21"/>
              </w:rPr>
              <w:t>名称</w:t>
            </w:r>
          </w:p>
        </w:tc>
        <w:tc>
          <w:tcPr>
            <w:tcW w:w="1744" w:type="dxa"/>
            <w:vAlign w:val="center"/>
          </w:tcPr>
          <w:p w14:paraId="7B9CE4B2">
            <w:pPr>
              <w:jc w:val="center"/>
              <w:rPr>
                <w:rFonts w:ascii="宋体" w:hAnsi="宋体"/>
                <w:szCs w:val="21"/>
              </w:rPr>
            </w:pPr>
            <w:r>
              <w:rPr>
                <w:rFonts w:hint="eastAsia" w:ascii="宋体" w:hAnsi="宋体"/>
                <w:szCs w:val="21"/>
              </w:rPr>
              <w:t>技术指标</w:t>
            </w:r>
          </w:p>
        </w:tc>
        <w:tc>
          <w:tcPr>
            <w:tcW w:w="1744" w:type="dxa"/>
            <w:vAlign w:val="center"/>
          </w:tcPr>
          <w:p w14:paraId="3634AE0C">
            <w:pPr>
              <w:jc w:val="center"/>
              <w:rPr>
                <w:rFonts w:ascii="宋体" w:hAnsi="宋体"/>
                <w:szCs w:val="21"/>
              </w:rPr>
            </w:pPr>
            <w:r>
              <w:rPr>
                <w:rFonts w:hint="eastAsia" w:ascii="宋体" w:hAnsi="宋体"/>
                <w:szCs w:val="21"/>
              </w:rPr>
              <w:t>允许偏离范围</w:t>
            </w:r>
          </w:p>
        </w:tc>
        <w:tc>
          <w:tcPr>
            <w:tcW w:w="1744" w:type="dxa"/>
            <w:vAlign w:val="center"/>
          </w:tcPr>
          <w:p w14:paraId="2C01F163">
            <w:pPr>
              <w:jc w:val="center"/>
              <w:rPr>
                <w:rFonts w:ascii="宋体" w:hAnsi="宋体"/>
                <w:szCs w:val="21"/>
              </w:rPr>
            </w:pPr>
            <w:r>
              <w:rPr>
                <w:rFonts w:hint="eastAsia" w:ascii="宋体" w:hAnsi="宋体"/>
                <w:szCs w:val="21"/>
              </w:rPr>
              <w:t>备    注</w:t>
            </w:r>
          </w:p>
        </w:tc>
      </w:tr>
      <w:tr w14:paraId="1525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22719E97">
            <w:pPr>
              <w:jc w:val="center"/>
              <w:rPr>
                <w:rFonts w:ascii="宋体" w:hAnsi="宋体"/>
                <w:szCs w:val="21"/>
              </w:rPr>
            </w:pPr>
            <w:r>
              <w:rPr>
                <w:rFonts w:hint="eastAsia" w:ascii="宋体" w:hAnsi="宋体"/>
                <w:szCs w:val="21"/>
              </w:rPr>
              <w:t>1</w:t>
            </w:r>
          </w:p>
        </w:tc>
        <w:tc>
          <w:tcPr>
            <w:tcW w:w="2120" w:type="dxa"/>
            <w:vAlign w:val="center"/>
          </w:tcPr>
          <w:p w14:paraId="4A3CD9E5">
            <w:pPr>
              <w:jc w:val="center"/>
              <w:rPr>
                <w:rFonts w:ascii="宋体" w:hAnsi="宋体"/>
                <w:szCs w:val="21"/>
              </w:rPr>
            </w:pPr>
          </w:p>
        </w:tc>
        <w:tc>
          <w:tcPr>
            <w:tcW w:w="1744" w:type="dxa"/>
            <w:vAlign w:val="center"/>
          </w:tcPr>
          <w:p w14:paraId="473E45EF">
            <w:pPr>
              <w:jc w:val="center"/>
              <w:rPr>
                <w:rFonts w:ascii="宋体" w:hAnsi="宋体"/>
                <w:szCs w:val="21"/>
              </w:rPr>
            </w:pPr>
          </w:p>
        </w:tc>
        <w:tc>
          <w:tcPr>
            <w:tcW w:w="1744" w:type="dxa"/>
            <w:vAlign w:val="center"/>
          </w:tcPr>
          <w:p w14:paraId="7EE57B42">
            <w:pPr>
              <w:jc w:val="center"/>
              <w:rPr>
                <w:rFonts w:ascii="宋体" w:hAnsi="宋体"/>
                <w:szCs w:val="21"/>
              </w:rPr>
            </w:pPr>
          </w:p>
        </w:tc>
        <w:tc>
          <w:tcPr>
            <w:tcW w:w="1744" w:type="dxa"/>
            <w:vAlign w:val="center"/>
          </w:tcPr>
          <w:p w14:paraId="0688E554">
            <w:pPr>
              <w:jc w:val="center"/>
              <w:rPr>
                <w:rFonts w:ascii="宋体" w:hAnsi="宋体"/>
                <w:szCs w:val="21"/>
              </w:rPr>
            </w:pPr>
          </w:p>
        </w:tc>
      </w:tr>
      <w:tr w14:paraId="69A8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4932205B">
            <w:pPr>
              <w:jc w:val="center"/>
              <w:rPr>
                <w:rFonts w:ascii="宋体" w:hAnsi="宋体"/>
                <w:szCs w:val="21"/>
              </w:rPr>
            </w:pPr>
            <w:r>
              <w:rPr>
                <w:rFonts w:hint="eastAsia" w:ascii="宋体" w:hAnsi="宋体"/>
                <w:szCs w:val="21"/>
              </w:rPr>
              <w:t>2</w:t>
            </w:r>
          </w:p>
        </w:tc>
        <w:tc>
          <w:tcPr>
            <w:tcW w:w="2120" w:type="dxa"/>
            <w:vAlign w:val="center"/>
          </w:tcPr>
          <w:p w14:paraId="26EE0764">
            <w:pPr>
              <w:jc w:val="center"/>
              <w:rPr>
                <w:rFonts w:ascii="宋体" w:hAnsi="宋体"/>
                <w:szCs w:val="21"/>
              </w:rPr>
            </w:pPr>
          </w:p>
        </w:tc>
        <w:tc>
          <w:tcPr>
            <w:tcW w:w="1744" w:type="dxa"/>
            <w:vAlign w:val="center"/>
          </w:tcPr>
          <w:p w14:paraId="4F7A88DC">
            <w:pPr>
              <w:jc w:val="center"/>
              <w:rPr>
                <w:rFonts w:ascii="宋体" w:hAnsi="宋体"/>
                <w:szCs w:val="21"/>
              </w:rPr>
            </w:pPr>
          </w:p>
        </w:tc>
        <w:tc>
          <w:tcPr>
            <w:tcW w:w="1744" w:type="dxa"/>
            <w:vAlign w:val="center"/>
          </w:tcPr>
          <w:p w14:paraId="16E23910">
            <w:pPr>
              <w:jc w:val="center"/>
              <w:rPr>
                <w:rFonts w:ascii="宋体" w:hAnsi="宋体"/>
                <w:szCs w:val="21"/>
              </w:rPr>
            </w:pPr>
          </w:p>
        </w:tc>
        <w:tc>
          <w:tcPr>
            <w:tcW w:w="1744" w:type="dxa"/>
            <w:vAlign w:val="center"/>
          </w:tcPr>
          <w:p w14:paraId="05BA1BE6">
            <w:pPr>
              <w:jc w:val="center"/>
              <w:rPr>
                <w:rFonts w:ascii="宋体" w:hAnsi="宋体"/>
                <w:szCs w:val="21"/>
              </w:rPr>
            </w:pPr>
          </w:p>
        </w:tc>
      </w:tr>
      <w:tr w14:paraId="57C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5F71D5A5">
            <w:pPr>
              <w:jc w:val="center"/>
              <w:rPr>
                <w:rFonts w:ascii="宋体" w:hAnsi="宋体"/>
                <w:szCs w:val="21"/>
              </w:rPr>
            </w:pPr>
            <w:r>
              <w:rPr>
                <w:rFonts w:hint="eastAsia" w:ascii="宋体" w:hAnsi="宋体"/>
                <w:szCs w:val="21"/>
              </w:rPr>
              <w:t>……</w:t>
            </w:r>
          </w:p>
        </w:tc>
        <w:tc>
          <w:tcPr>
            <w:tcW w:w="2120" w:type="dxa"/>
            <w:vAlign w:val="center"/>
          </w:tcPr>
          <w:p w14:paraId="69D7D953">
            <w:pPr>
              <w:jc w:val="center"/>
              <w:rPr>
                <w:rFonts w:ascii="宋体" w:hAnsi="宋体"/>
                <w:szCs w:val="21"/>
              </w:rPr>
            </w:pPr>
          </w:p>
        </w:tc>
        <w:tc>
          <w:tcPr>
            <w:tcW w:w="1744" w:type="dxa"/>
            <w:vAlign w:val="center"/>
          </w:tcPr>
          <w:p w14:paraId="04890F83">
            <w:pPr>
              <w:jc w:val="center"/>
              <w:rPr>
                <w:rFonts w:ascii="宋体" w:hAnsi="宋体"/>
                <w:szCs w:val="21"/>
              </w:rPr>
            </w:pPr>
          </w:p>
        </w:tc>
        <w:tc>
          <w:tcPr>
            <w:tcW w:w="1744" w:type="dxa"/>
            <w:vAlign w:val="center"/>
          </w:tcPr>
          <w:p w14:paraId="516060D5">
            <w:pPr>
              <w:jc w:val="center"/>
              <w:rPr>
                <w:rFonts w:ascii="宋体" w:hAnsi="宋体"/>
                <w:szCs w:val="21"/>
              </w:rPr>
            </w:pPr>
          </w:p>
        </w:tc>
        <w:tc>
          <w:tcPr>
            <w:tcW w:w="1744" w:type="dxa"/>
            <w:vAlign w:val="center"/>
          </w:tcPr>
          <w:p w14:paraId="036F3DDF">
            <w:pPr>
              <w:jc w:val="center"/>
              <w:rPr>
                <w:rFonts w:ascii="宋体" w:hAnsi="宋体"/>
                <w:szCs w:val="21"/>
              </w:rPr>
            </w:pPr>
          </w:p>
        </w:tc>
      </w:tr>
      <w:tr w14:paraId="7B7E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185B7291">
            <w:pPr>
              <w:jc w:val="center"/>
              <w:rPr>
                <w:rFonts w:ascii="宋体" w:hAnsi="宋体"/>
                <w:szCs w:val="21"/>
              </w:rPr>
            </w:pPr>
          </w:p>
        </w:tc>
        <w:tc>
          <w:tcPr>
            <w:tcW w:w="2120" w:type="dxa"/>
            <w:vAlign w:val="center"/>
          </w:tcPr>
          <w:p w14:paraId="1DE860A1">
            <w:pPr>
              <w:jc w:val="center"/>
              <w:rPr>
                <w:rFonts w:ascii="宋体" w:hAnsi="宋体"/>
                <w:szCs w:val="21"/>
              </w:rPr>
            </w:pPr>
          </w:p>
        </w:tc>
        <w:tc>
          <w:tcPr>
            <w:tcW w:w="1744" w:type="dxa"/>
            <w:vAlign w:val="center"/>
          </w:tcPr>
          <w:p w14:paraId="42E6E50E">
            <w:pPr>
              <w:jc w:val="center"/>
              <w:rPr>
                <w:rFonts w:ascii="宋体" w:hAnsi="宋体"/>
                <w:szCs w:val="21"/>
              </w:rPr>
            </w:pPr>
          </w:p>
        </w:tc>
        <w:tc>
          <w:tcPr>
            <w:tcW w:w="1744" w:type="dxa"/>
            <w:vAlign w:val="center"/>
          </w:tcPr>
          <w:p w14:paraId="7768092D">
            <w:pPr>
              <w:jc w:val="center"/>
              <w:rPr>
                <w:rFonts w:ascii="宋体" w:hAnsi="宋体"/>
                <w:szCs w:val="21"/>
              </w:rPr>
            </w:pPr>
          </w:p>
        </w:tc>
        <w:tc>
          <w:tcPr>
            <w:tcW w:w="1744" w:type="dxa"/>
            <w:vAlign w:val="center"/>
          </w:tcPr>
          <w:p w14:paraId="0CAFF03D">
            <w:pPr>
              <w:jc w:val="center"/>
              <w:rPr>
                <w:rFonts w:ascii="宋体" w:hAnsi="宋体"/>
                <w:szCs w:val="21"/>
              </w:rPr>
            </w:pPr>
          </w:p>
        </w:tc>
      </w:tr>
    </w:tbl>
    <w:p w14:paraId="7E394B8B">
      <w:pPr>
        <w:spacing w:line="500" w:lineRule="exact"/>
        <w:jc w:val="left"/>
        <w:rPr>
          <w:rFonts w:ascii="宋体" w:hAnsi="宋体"/>
          <w:szCs w:val="21"/>
        </w:rPr>
      </w:pPr>
      <w:r>
        <w:rPr>
          <w:rFonts w:hint="eastAsia" w:ascii="宋体" w:hAnsi="宋体"/>
          <w:szCs w:val="21"/>
        </w:rPr>
        <w:t>1.3本工程施工现场所用混凝土或砂浆的供应方式为</w:t>
      </w:r>
      <w:r>
        <w:rPr>
          <w:rFonts w:hint="eastAsia" w:ascii="宋体" w:hAnsi="宋体"/>
          <w:szCs w:val="21"/>
          <w:u w:val="single"/>
        </w:rPr>
        <w:t xml:space="preserve">      </w:t>
      </w:r>
      <w:r>
        <w:rPr>
          <w:rFonts w:hint="eastAsia" w:ascii="宋体" w:hAnsi="宋体"/>
          <w:szCs w:val="21"/>
        </w:rPr>
        <w:t>。</w:t>
      </w:r>
    </w:p>
    <w:p w14:paraId="7B23BED7">
      <w:pPr>
        <w:spacing w:line="500" w:lineRule="exact"/>
        <w:jc w:val="left"/>
        <w:rPr>
          <w:rFonts w:ascii="宋体" w:hAnsi="宋体"/>
          <w:szCs w:val="21"/>
        </w:rPr>
      </w:pPr>
    </w:p>
    <w:p w14:paraId="5154481B">
      <w:pPr>
        <w:pStyle w:val="25"/>
        <w:rPr>
          <w:sz w:val="28"/>
          <w:szCs w:val="28"/>
        </w:rPr>
      </w:pPr>
      <w:bookmarkStart w:id="2246" w:name="_Toc256000400"/>
      <w:bookmarkStart w:id="2247" w:name="_Toc152264784"/>
      <w:r>
        <w:rPr>
          <w:rFonts w:hint="eastAsia"/>
          <w:sz w:val="28"/>
          <w:szCs w:val="28"/>
        </w:rPr>
        <w:t>2．特殊技术要求</w:t>
      </w:r>
      <w:bookmarkEnd w:id="2246"/>
      <w:bookmarkEnd w:id="2247"/>
    </w:p>
    <w:p w14:paraId="45451E6F">
      <w:pPr>
        <w:spacing w:line="500" w:lineRule="exact"/>
        <w:jc w:val="left"/>
        <w:rPr>
          <w:rFonts w:ascii="宋体" w:hAnsi="宋体"/>
          <w:szCs w:val="21"/>
        </w:rPr>
      </w:pPr>
      <w:r>
        <w:rPr>
          <w:rFonts w:hint="eastAsia" w:ascii="宋体" w:hAnsi="宋体"/>
          <w:szCs w:val="21"/>
        </w:rPr>
        <w:t>2.1除合同约定的技术要求外，本工程的特殊技术要求如下：</w:t>
      </w:r>
    </w:p>
    <w:p w14:paraId="430C18B4">
      <w:pPr>
        <w:spacing w:line="500" w:lineRule="exact"/>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2E48BAC3">
      <w:pPr>
        <w:spacing w:line="50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BDDDA8E">
      <w:pPr>
        <w:pStyle w:val="25"/>
        <w:rPr>
          <w:sz w:val="28"/>
          <w:szCs w:val="28"/>
        </w:rPr>
      </w:pPr>
      <w:bookmarkStart w:id="2248" w:name="_Toc256000401"/>
      <w:bookmarkStart w:id="2249" w:name="_Toc152264785"/>
      <w:r>
        <w:rPr>
          <w:rFonts w:hint="eastAsia"/>
          <w:sz w:val="28"/>
          <w:szCs w:val="28"/>
        </w:rPr>
        <w:t>3．新技术、新工艺和新材料</w:t>
      </w:r>
      <w:bookmarkEnd w:id="2248"/>
      <w:bookmarkEnd w:id="2249"/>
    </w:p>
    <w:p w14:paraId="38746E39">
      <w:pPr>
        <w:spacing w:line="500" w:lineRule="exact"/>
        <w:jc w:val="left"/>
        <w:rPr>
          <w:rFonts w:ascii="黑体" w:hAnsi="宋体" w:eastAsia="黑体"/>
          <w:sz w:val="24"/>
        </w:rPr>
      </w:pPr>
      <w:r>
        <w:rPr>
          <w:rFonts w:hint="eastAsia" w:ascii="黑体" w:hAnsi="宋体" w:eastAsia="黑体"/>
          <w:sz w:val="24"/>
        </w:rPr>
        <w:t>3.1 本工程涉及的新技术、新工艺和新材料及相应使用和操作说明如下：</w:t>
      </w:r>
    </w:p>
    <w:p w14:paraId="10FF01C0">
      <w:pPr>
        <w:spacing w:line="500" w:lineRule="exact"/>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0514F3A4">
      <w:pPr>
        <w:spacing w:line="50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D2A4DD4">
      <w:pPr>
        <w:spacing w:line="500" w:lineRule="exact"/>
        <w:jc w:val="left"/>
        <w:rPr>
          <w:rFonts w:ascii="宋体" w:hAnsi="宋体"/>
          <w:b/>
          <w:szCs w:val="21"/>
        </w:rPr>
      </w:pPr>
    </w:p>
    <w:p w14:paraId="3485FF3F">
      <w:pPr>
        <w:pStyle w:val="25"/>
        <w:rPr>
          <w:sz w:val="28"/>
          <w:szCs w:val="28"/>
        </w:rPr>
      </w:pPr>
      <w:bookmarkStart w:id="2250" w:name="_Toc152264786"/>
      <w:bookmarkStart w:id="2251" w:name="_Toc256000402"/>
      <w:r>
        <w:rPr>
          <w:rFonts w:hint="eastAsia"/>
          <w:sz w:val="28"/>
          <w:szCs w:val="28"/>
        </w:rPr>
        <w:t>4．其他特殊技术标准和要求</w:t>
      </w:r>
      <w:bookmarkEnd w:id="2250"/>
      <w:bookmarkEnd w:id="2251"/>
    </w:p>
    <w:p w14:paraId="2FE52B08">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04AFA7B9">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3B240E9B">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37E34418">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0F62974D">
      <w:pPr>
        <w:spacing w:line="500" w:lineRule="exact"/>
        <w:ind w:firstLine="420" w:firstLineChars="200"/>
        <w:jc w:val="left"/>
        <w:rPr>
          <w:rFonts w:ascii="宋体" w:hAnsi="宋体"/>
          <w:szCs w:val="21"/>
          <w:u w:val="single"/>
        </w:rPr>
      </w:pPr>
      <w:r>
        <w:rPr>
          <w:rFonts w:hint="eastAsia" w:ascii="宋体" w:hAnsi="宋体"/>
          <w:szCs w:val="21"/>
          <w:u w:val="single"/>
        </w:rPr>
        <w:t xml:space="preserve">                                                              </w:t>
      </w:r>
    </w:p>
    <w:p w14:paraId="5E308280">
      <w:pPr>
        <w:spacing w:line="500" w:lineRule="exact"/>
        <w:ind w:firstLine="420" w:firstLineChars="200"/>
        <w:jc w:val="left"/>
      </w:pPr>
      <w:r>
        <w:rPr>
          <w:rFonts w:hint="eastAsia" w:ascii="宋体" w:hAnsi="宋体"/>
          <w:szCs w:val="21"/>
          <w:u w:val="single"/>
        </w:rPr>
        <w:t xml:space="preserve">                                                              </w:t>
      </w:r>
      <w:r>
        <w:rPr>
          <w:rFonts w:hint="eastAsia" w:ascii="宋体" w:hAnsi="宋体"/>
          <w:szCs w:val="21"/>
        </w:rPr>
        <w:t>。</w:t>
      </w:r>
    </w:p>
    <w:p w14:paraId="30DC34B2">
      <w:r>
        <w:br w:type="page"/>
      </w:r>
    </w:p>
    <w:p w14:paraId="2ADF6F32">
      <w:pPr>
        <w:spacing w:line="500" w:lineRule="exact"/>
        <w:jc w:val="left"/>
        <w:rPr>
          <w:rFonts w:ascii="宋体" w:hAnsi="宋体"/>
          <w:szCs w:val="21"/>
        </w:rPr>
      </w:pPr>
    </w:p>
    <w:p w14:paraId="5BFA7FB1">
      <w:pPr>
        <w:spacing w:line="500" w:lineRule="exact"/>
        <w:jc w:val="left"/>
        <w:rPr>
          <w:rFonts w:ascii="宋体" w:hAnsi="宋体"/>
          <w:szCs w:val="21"/>
        </w:rPr>
      </w:pPr>
    </w:p>
    <w:p w14:paraId="5948C7D3">
      <w:pPr>
        <w:spacing w:line="500" w:lineRule="exact"/>
        <w:jc w:val="left"/>
        <w:rPr>
          <w:rFonts w:ascii="宋体" w:hAnsi="宋体"/>
          <w:szCs w:val="21"/>
        </w:rPr>
      </w:pPr>
    </w:p>
    <w:p w14:paraId="4BEA36D6">
      <w:pPr>
        <w:spacing w:line="500" w:lineRule="exact"/>
        <w:jc w:val="left"/>
        <w:rPr>
          <w:rFonts w:ascii="宋体" w:hAnsi="宋体"/>
          <w:szCs w:val="21"/>
        </w:rPr>
      </w:pPr>
    </w:p>
    <w:p w14:paraId="4793685B">
      <w:pPr>
        <w:spacing w:line="500" w:lineRule="exact"/>
        <w:jc w:val="left"/>
        <w:rPr>
          <w:rFonts w:ascii="宋体" w:hAnsi="宋体"/>
          <w:szCs w:val="21"/>
        </w:rPr>
      </w:pPr>
    </w:p>
    <w:p w14:paraId="3FA027F9">
      <w:pPr>
        <w:spacing w:line="500" w:lineRule="exact"/>
        <w:jc w:val="left"/>
        <w:rPr>
          <w:rFonts w:ascii="宋体" w:hAnsi="宋体"/>
          <w:szCs w:val="21"/>
        </w:rPr>
      </w:pPr>
    </w:p>
    <w:p w14:paraId="2ED21019">
      <w:pPr>
        <w:spacing w:line="500" w:lineRule="exact"/>
        <w:jc w:val="left"/>
        <w:rPr>
          <w:rFonts w:ascii="宋体" w:hAnsi="宋体"/>
          <w:szCs w:val="21"/>
        </w:rPr>
      </w:pPr>
    </w:p>
    <w:p w14:paraId="0463ED78">
      <w:pPr>
        <w:spacing w:line="500" w:lineRule="exact"/>
        <w:jc w:val="left"/>
        <w:rPr>
          <w:rFonts w:ascii="宋体" w:hAnsi="宋体"/>
          <w:szCs w:val="21"/>
        </w:rPr>
      </w:pPr>
    </w:p>
    <w:p w14:paraId="42237386">
      <w:pPr>
        <w:pStyle w:val="23"/>
        <w:jc w:val="center"/>
        <w:rPr>
          <w:rFonts w:ascii="黑体" w:hAnsi="宋体"/>
          <w:sz w:val="24"/>
        </w:rPr>
      </w:pPr>
      <w:bookmarkStart w:id="2252" w:name="_Toc256000403"/>
      <w:bookmarkStart w:id="2253" w:name="_Toc152264787"/>
      <w:r>
        <w:rPr>
          <w:rFonts w:hint="eastAsia"/>
        </w:rPr>
        <w:t>第三节  适用的国家、行业以及地方规范、标准和规程</w:t>
      </w:r>
      <w:bookmarkEnd w:id="2252"/>
      <w:bookmarkEnd w:id="2253"/>
    </w:p>
    <w:p w14:paraId="1A5380CC">
      <w:pPr>
        <w:spacing w:line="500" w:lineRule="exact"/>
        <w:jc w:val="left"/>
        <w:rPr>
          <w:rFonts w:ascii="黑体" w:hAnsi="宋体" w:eastAsia="黑体"/>
          <w:b/>
          <w:szCs w:val="21"/>
        </w:rPr>
      </w:pPr>
    </w:p>
    <w:p w14:paraId="5406A6EE">
      <w:pPr>
        <w:spacing w:line="500" w:lineRule="exact"/>
        <w:jc w:val="left"/>
        <w:rPr>
          <w:rFonts w:ascii="黑体" w:hAnsi="宋体" w:eastAsia="黑体"/>
          <w:b/>
          <w:szCs w:val="21"/>
        </w:rPr>
      </w:pPr>
    </w:p>
    <w:p w14:paraId="505C1C5F">
      <w:pPr>
        <w:spacing w:line="500" w:lineRule="exact"/>
        <w:ind w:firstLine="422" w:firstLineChars="200"/>
        <w:jc w:val="left"/>
        <w:rPr>
          <w:rFonts w:ascii="宋体" w:hAnsi="宋体"/>
          <w:szCs w:val="21"/>
        </w:rPr>
      </w:pPr>
      <w:r>
        <w:rPr>
          <w:rFonts w:hint="eastAsia" w:ascii="黑体" w:hAnsi="宋体" w:eastAsia="黑体"/>
          <w:b/>
          <w:szCs w:val="21"/>
        </w:rPr>
        <w:t>说明：</w:t>
      </w:r>
      <w:r>
        <w:rPr>
          <w:rFonts w:hint="eastAsia" w:ascii="宋体" w:hAnsi="宋体"/>
          <w:szCs w:val="21"/>
        </w:rPr>
        <w:t>本节内容只需列出规范、标准、规程等的名称、编号等内容。本节由招标人根据国家、行业和地方现行标准、规范和规程等，以及项目具体情况摘录。</w:t>
      </w:r>
    </w:p>
    <w:p w14:paraId="619EE3E9">
      <w:pPr>
        <w:spacing w:after="480" w:afterLines="200" w:line="500" w:lineRule="exact"/>
        <w:jc w:val="left"/>
        <w:rPr>
          <w:rFonts w:ascii="黑体" w:hAnsi="宋体" w:eastAsia="黑体"/>
          <w:sz w:val="24"/>
        </w:rPr>
      </w:pPr>
      <w:r>
        <w:rPr>
          <w:rFonts w:hint="eastAsia" w:ascii="黑体" w:hAnsi="宋体" w:eastAsia="黑体"/>
          <w:b/>
          <w:sz w:val="24"/>
        </w:rPr>
        <w:br w:type="page"/>
      </w:r>
      <w:r>
        <w:rPr>
          <w:rFonts w:hint="eastAsia" w:ascii="黑体" w:hAnsi="宋体" w:eastAsia="黑体"/>
          <w:sz w:val="24"/>
        </w:rPr>
        <w:t>附件A：施工现场现状平面图</w:t>
      </w:r>
    </w:p>
    <w:p w14:paraId="50B058FA">
      <w:pPr>
        <w:spacing w:line="500" w:lineRule="exact"/>
        <w:jc w:val="left"/>
        <w:rPr>
          <w:rFonts w:ascii="宋体" w:hAnsi="宋体"/>
          <w:szCs w:val="21"/>
        </w:rPr>
      </w:pPr>
      <w:r>
        <w:rPr>
          <w:rFonts w:hint="eastAsia" w:ascii="黑体" w:hAnsi="宋体" w:eastAsia="黑体"/>
          <w:szCs w:val="21"/>
        </w:rPr>
        <w:t>说明：</w:t>
      </w:r>
      <w:r>
        <w:rPr>
          <w:rFonts w:hint="eastAsia" w:ascii="宋体" w:hAnsi="宋体"/>
          <w:szCs w:val="21"/>
        </w:rPr>
        <w:t>该图由招标人准备，并作为招标文件本章的组成内容提供给投标人。图中应当标示本章第一节第1.2.1项规定的内容，并做必要的文字说明。</w:t>
      </w:r>
    </w:p>
    <w:p w14:paraId="4A23A352"/>
    <w:p w14:paraId="2662C2C4">
      <w:pPr>
        <w:sectPr>
          <w:pgSz w:w="11906" w:h="16838"/>
          <w:pgMar w:top="1440" w:right="1800" w:bottom="1440" w:left="1800" w:header="851" w:footer="992" w:gutter="0"/>
          <w:cols w:space="425" w:num="1"/>
          <w:docGrid w:type="lines" w:linePitch="312" w:charSpace="0"/>
        </w:sectPr>
      </w:pPr>
    </w:p>
    <w:p w14:paraId="754496A1">
      <w:pPr>
        <w:rPr>
          <w:rFonts w:hint="eastAsia"/>
          <w:szCs w:val="21"/>
        </w:rPr>
      </w:pPr>
    </w:p>
    <w:p w14:paraId="3727C949">
      <w:pPr>
        <w:rPr>
          <w:rFonts w:hint="eastAsia"/>
          <w:szCs w:val="21"/>
        </w:rPr>
      </w:pPr>
    </w:p>
    <w:p w14:paraId="10644FAC">
      <w:pPr>
        <w:rPr>
          <w:szCs w:val="21"/>
        </w:rPr>
      </w:pPr>
    </w:p>
    <w:p w14:paraId="19978FD5">
      <w:pPr>
        <w:rPr>
          <w:szCs w:val="21"/>
        </w:rPr>
      </w:pPr>
    </w:p>
    <w:p w14:paraId="0BCE41A4">
      <w:pPr>
        <w:rPr>
          <w:rFonts w:hint="eastAsia"/>
          <w:szCs w:val="21"/>
        </w:rPr>
      </w:pPr>
    </w:p>
    <w:p w14:paraId="1D6383D2">
      <w:pPr>
        <w:rPr>
          <w:rFonts w:hint="eastAsia"/>
          <w:szCs w:val="21"/>
        </w:rPr>
      </w:pPr>
    </w:p>
    <w:p w14:paraId="0482CAAF">
      <w:pPr>
        <w:rPr>
          <w:rFonts w:hint="eastAsia"/>
          <w:szCs w:val="21"/>
        </w:rPr>
      </w:pPr>
    </w:p>
    <w:p w14:paraId="69EDF7F7">
      <w:pPr>
        <w:rPr>
          <w:rFonts w:hint="eastAsia"/>
          <w:szCs w:val="21"/>
        </w:rPr>
      </w:pPr>
    </w:p>
    <w:p w14:paraId="1ED2A725">
      <w:pPr>
        <w:rPr>
          <w:rFonts w:hint="eastAsia"/>
          <w:szCs w:val="21"/>
        </w:rPr>
      </w:pPr>
    </w:p>
    <w:p w14:paraId="09AC9F52">
      <w:pPr>
        <w:rPr>
          <w:rFonts w:hint="eastAsia"/>
          <w:szCs w:val="21"/>
        </w:rPr>
      </w:pPr>
    </w:p>
    <w:p w14:paraId="7296CA00">
      <w:pPr>
        <w:rPr>
          <w:rFonts w:hint="eastAsia"/>
          <w:szCs w:val="21"/>
        </w:rPr>
      </w:pPr>
    </w:p>
    <w:p w14:paraId="4C9C878F">
      <w:pPr>
        <w:rPr>
          <w:rFonts w:hint="eastAsia"/>
          <w:szCs w:val="21"/>
        </w:rPr>
      </w:pPr>
    </w:p>
    <w:p w14:paraId="7EA6C2D3">
      <w:pPr>
        <w:rPr>
          <w:rFonts w:hint="eastAsia"/>
          <w:szCs w:val="21"/>
        </w:rPr>
      </w:pPr>
    </w:p>
    <w:p w14:paraId="23402ABC">
      <w:pPr>
        <w:rPr>
          <w:rFonts w:hint="eastAsia"/>
          <w:szCs w:val="21"/>
        </w:rPr>
      </w:pPr>
    </w:p>
    <w:p w14:paraId="7770DCB6">
      <w:pPr>
        <w:pStyle w:val="2"/>
        <w:spacing w:before="120" w:after="120" w:line="400" w:lineRule="exact"/>
        <w:jc w:val="center"/>
        <w:rPr>
          <w:rFonts w:hint="eastAsia" w:ascii="黑体" w:hAnsi="黑体" w:eastAsia="黑体"/>
          <w:b w:val="0"/>
          <w:bCs w:val="0"/>
          <w:sz w:val="48"/>
          <w:szCs w:val="48"/>
        </w:rPr>
      </w:pPr>
      <w:bookmarkStart w:id="2254" w:name="_Toc256000404"/>
      <w:bookmarkStart w:id="2255" w:name="_Toc122603066"/>
      <w:r>
        <w:rPr>
          <w:rFonts w:hint="eastAsia" w:ascii="黑体" w:hAnsi="黑体" w:eastAsia="黑体"/>
          <w:b w:val="0"/>
          <w:bCs w:val="0"/>
          <w:sz w:val="48"/>
          <w:szCs w:val="48"/>
        </w:rPr>
        <w:t>第四卷</w:t>
      </w:r>
      <w:bookmarkEnd w:id="2254"/>
      <w:bookmarkEnd w:id="2255"/>
    </w:p>
    <w:p w14:paraId="03ED89F5">
      <w:pPr>
        <w:spacing w:line="420" w:lineRule="exact"/>
        <w:rPr>
          <w:rFonts w:hint="eastAsia" w:ascii="黑体" w:eastAsia="黑体"/>
          <w:sz w:val="36"/>
          <w:szCs w:val="36"/>
        </w:rPr>
      </w:pPr>
    </w:p>
    <w:p w14:paraId="1A4098B4">
      <w:pPr>
        <w:spacing w:line="420" w:lineRule="exact"/>
        <w:rPr>
          <w:rFonts w:hint="eastAsia" w:ascii="黑体" w:eastAsia="黑体"/>
          <w:sz w:val="36"/>
          <w:szCs w:val="36"/>
        </w:rPr>
      </w:pPr>
    </w:p>
    <w:p w14:paraId="278F6B3B">
      <w:pPr>
        <w:spacing w:line="420" w:lineRule="exact"/>
        <w:rPr>
          <w:rFonts w:hint="eastAsia" w:ascii="黑体" w:eastAsia="黑体"/>
          <w:sz w:val="36"/>
          <w:szCs w:val="36"/>
        </w:rPr>
      </w:pPr>
    </w:p>
    <w:p w14:paraId="7D097447">
      <w:pPr>
        <w:spacing w:line="420" w:lineRule="exact"/>
        <w:rPr>
          <w:rFonts w:hint="eastAsia" w:ascii="黑体" w:eastAsia="黑体"/>
          <w:sz w:val="36"/>
          <w:szCs w:val="36"/>
        </w:rPr>
      </w:pPr>
    </w:p>
    <w:p w14:paraId="68B41273">
      <w:pPr>
        <w:spacing w:line="420" w:lineRule="exact"/>
        <w:rPr>
          <w:rFonts w:hint="eastAsia" w:ascii="黑体" w:eastAsia="黑体"/>
          <w:sz w:val="36"/>
          <w:szCs w:val="36"/>
        </w:rPr>
      </w:pPr>
    </w:p>
    <w:p w14:paraId="4627C5E8">
      <w:pPr>
        <w:spacing w:line="420" w:lineRule="exact"/>
        <w:rPr>
          <w:rFonts w:hint="eastAsia" w:ascii="黑体" w:eastAsia="黑体"/>
          <w:sz w:val="36"/>
          <w:szCs w:val="36"/>
        </w:rPr>
      </w:pPr>
    </w:p>
    <w:p w14:paraId="3766B2EA">
      <w:pPr>
        <w:sectPr>
          <w:pgSz w:w="11906" w:h="16838"/>
          <w:pgMar w:top="1440" w:right="1800" w:bottom="1440" w:left="1800" w:header="851" w:footer="992" w:gutter="0"/>
          <w:cols w:space="425" w:num="1"/>
          <w:docGrid w:type="lines" w:linePitch="312" w:charSpace="0"/>
        </w:sectPr>
      </w:pPr>
    </w:p>
    <w:p w14:paraId="5BEABD7B">
      <w:pPr>
        <w:spacing w:before="120" w:after="120" w:line="400" w:lineRule="exact"/>
        <w:jc w:val="center"/>
        <w:outlineLvl w:val="9"/>
        <w:rPr>
          <w:rFonts w:hint="eastAsia" w:ascii="黑体" w:hAnsi="黑体" w:eastAsia="黑体"/>
          <w:b w:val="0"/>
          <w:bCs w:val="0"/>
          <w:sz w:val="32"/>
        </w:rPr>
      </w:pPr>
      <w:bookmarkStart w:id="2256" w:name="_Toc122603042"/>
    </w:p>
    <w:p w14:paraId="0534B5D3">
      <w:pPr>
        <w:spacing w:before="120" w:after="120" w:line="400" w:lineRule="exact"/>
        <w:jc w:val="center"/>
        <w:outlineLvl w:val="9"/>
        <w:rPr>
          <w:rFonts w:hint="eastAsia" w:ascii="黑体" w:hAnsi="黑体" w:eastAsia="黑体"/>
          <w:b w:val="0"/>
          <w:bCs w:val="0"/>
          <w:sz w:val="32"/>
        </w:rPr>
      </w:pPr>
    </w:p>
    <w:p w14:paraId="46A69BD8">
      <w:pPr>
        <w:spacing w:before="120" w:after="120" w:line="400" w:lineRule="exact"/>
        <w:jc w:val="center"/>
        <w:outlineLvl w:val="9"/>
        <w:rPr>
          <w:rFonts w:hint="eastAsia" w:ascii="黑体" w:hAnsi="黑体" w:eastAsia="黑体"/>
          <w:b w:val="0"/>
          <w:bCs w:val="0"/>
          <w:sz w:val="32"/>
        </w:rPr>
      </w:pPr>
    </w:p>
    <w:p w14:paraId="381264CD">
      <w:pPr>
        <w:spacing w:before="120" w:after="120" w:line="400" w:lineRule="exact"/>
        <w:jc w:val="center"/>
        <w:outlineLvl w:val="9"/>
        <w:rPr>
          <w:rFonts w:hint="eastAsia" w:ascii="黑体" w:hAnsi="黑体" w:eastAsia="黑体"/>
          <w:b w:val="0"/>
          <w:bCs w:val="0"/>
          <w:sz w:val="32"/>
        </w:rPr>
      </w:pPr>
    </w:p>
    <w:p w14:paraId="7C7F93FA">
      <w:pPr>
        <w:spacing w:before="120" w:after="120" w:line="400" w:lineRule="exact"/>
        <w:jc w:val="center"/>
        <w:outlineLvl w:val="9"/>
        <w:rPr>
          <w:rFonts w:hint="eastAsia" w:ascii="黑体" w:hAnsi="黑体" w:eastAsia="黑体"/>
          <w:b w:val="0"/>
          <w:bCs w:val="0"/>
          <w:sz w:val="32"/>
        </w:rPr>
      </w:pPr>
    </w:p>
    <w:p w14:paraId="52B84126">
      <w:pPr>
        <w:spacing w:before="120" w:after="120" w:line="400" w:lineRule="exact"/>
        <w:jc w:val="center"/>
        <w:outlineLvl w:val="9"/>
        <w:rPr>
          <w:rFonts w:hint="eastAsia" w:ascii="黑体" w:hAnsi="黑体" w:eastAsia="黑体"/>
          <w:b w:val="0"/>
          <w:bCs w:val="0"/>
          <w:sz w:val="32"/>
        </w:rPr>
      </w:pPr>
    </w:p>
    <w:p w14:paraId="051DD7BA">
      <w:pPr>
        <w:spacing w:before="120" w:after="120" w:line="400" w:lineRule="exact"/>
        <w:jc w:val="center"/>
        <w:outlineLvl w:val="9"/>
        <w:rPr>
          <w:rFonts w:hint="eastAsia" w:ascii="黑体" w:hAnsi="黑体" w:eastAsia="黑体"/>
          <w:b w:val="0"/>
          <w:bCs w:val="0"/>
          <w:sz w:val="32"/>
        </w:rPr>
      </w:pPr>
    </w:p>
    <w:p w14:paraId="3E9C39AC">
      <w:pPr>
        <w:spacing w:before="120" w:after="120" w:line="400" w:lineRule="exact"/>
        <w:jc w:val="center"/>
        <w:outlineLvl w:val="9"/>
        <w:rPr>
          <w:rFonts w:hint="eastAsia" w:ascii="黑体" w:hAnsi="黑体" w:eastAsia="黑体"/>
          <w:b w:val="0"/>
          <w:bCs w:val="0"/>
          <w:sz w:val="32"/>
        </w:rPr>
      </w:pPr>
    </w:p>
    <w:bookmarkEnd w:id="2256"/>
    <w:p w14:paraId="416AF276">
      <w:pPr>
        <w:spacing w:before="120" w:after="120" w:line="400" w:lineRule="exact"/>
        <w:jc w:val="center"/>
        <w:outlineLvl w:val="9"/>
        <w:rPr>
          <w:rFonts w:hint="eastAsia" w:ascii="黑体" w:hAnsi="黑体" w:eastAsia="黑体"/>
          <w:b w:val="0"/>
          <w:bCs w:val="0"/>
          <w:sz w:val="32"/>
        </w:rPr>
      </w:pPr>
    </w:p>
    <w:p w14:paraId="3AD446B8">
      <w:pPr>
        <w:pStyle w:val="2"/>
        <w:widowControl/>
        <w:spacing w:before="120" w:beforeAutospacing="0" w:after="120" w:afterAutospacing="0" w:line="400" w:lineRule="exact"/>
        <w:jc w:val="center"/>
        <w:sectPr>
          <w:footerReference r:id="rId21" w:type="default"/>
          <w:pgSz w:w="11906" w:h="16838"/>
          <w:pgMar w:top="1440" w:right="1800" w:bottom="1440" w:left="1800" w:header="851" w:footer="992" w:gutter="0"/>
          <w:pgNumType w:fmt="decimal"/>
          <w:cols w:space="425" w:num="1"/>
          <w:docGrid w:type="lines" w:linePitch="312" w:charSpace="0"/>
        </w:sectPr>
      </w:pPr>
      <w:bookmarkStart w:id="2257" w:name="_Toc256000405"/>
      <w:r>
        <w:rPr>
          <w:rFonts w:hint="default" w:ascii="黑体" w:hAnsi="宋体" w:eastAsia="黑体" w:cs="黑体"/>
          <w:b w:val="0"/>
          <w:bCs w:val="0"/>
          <w:kern w:val="44"/>
          <w:sz w:val="32"/>
          <w:szCs w:val="32"/>
        </w:rPr>
        <w:t>第八章  投标文件格式</w:t>
      </w:r>
      <w:bookmarkEnd w:id="2257"/>
    </w:p>
    <w:p w14:paraId="31C8DCBF">
      <w:pPr>
        <w:rPr>
          <w:rFonts w:hint="eastAsia" w:ascii="黑体" w:eastAsia="黑体"/>
          <w:sz w:val="32"/>
          <w:szCs w:val="32"/>
        </w:rPr>
      </w:pPr>
    </w:p>
    <w:p w14:paraId="5C756DF4">
      <w:pPr>
        <w:rPr>
          <w:rFonts w:hint="eastAsia" w:ascii="黑体" w:eastAsia="黑体"/>
          <w:sz w:val="32"/>
          <w:szCs w:val="32"/>
        </w:rPr>
      </w:pPr>
    </w:p>
    <w:p w14:paraId="5AE0580D">
      <w:pPr>
        <w:rPr>
          <w:rFonts w:hint="eastAsia" w:ascii="黑体" w:eastAsia="黑体"/>
          <w:sz w:val="32"/>
          <w:szCs w:val="32"/>
        </w:rPr>
      </w:pPr>
    </w:p>
    <w:p w14:paraId="637A3BC8">
      <w:pPr>
        <w:rPr>
          <w:rFonts w:hint="eastAsia" w:ascii="黑体" w:eastAsia="黑体"/>
          <w:sz w:val="32"/>
          <w:szCs w:val="32"/>
        </w:rPr>
      </w:pPr>
    </w:p>
    <w:p w14:paraId="1FFF264C">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黑体" w:eastAsia="黑体"/>
          <w:sz w:val="28"/>
          <w:szCs w:val="28"/>
          <w:u w:val="single"/>
        </w:rPr>
        <w:t xml:space="preserve">   </w:t>
      </w:r>
      <w:r>
        <w:rPr>
          <w:rFonts w:hint="eastAsia" w:ascii="宋体" w:hAnsi="宋体"/>
          <w:sz w:val="28"/>
          <w:szCs w:val="28"/>
        </w:rPr>
        <w:t>（标段名称）</w:t>
      </w:r>
      <w:r>
        <w:rPr>
          <w:rFonts w:hint="eastAsia" w:ascii="黑体" w:eastAsia="黑体"/>
          <w:sz w:val="28"/>
          <w:szCs w:val="28"/>
        </w:rPr>
        <w:t>项目招标</w:t>
      </w:r>
    </w:p>
    <w:p w14:paraId="669ABFE3">
      <w:pPr>
        <w:spacing w:before="312" w:beforeLines="100"/>
        <w:jc w:val="center"/>
        <w:rPr>
          <w:rFonts w:hint="eastAsia" w:ascii="黑体" w:eastAsia="黑体"/>
          <w:sz w:val="44"/>
          <w:szCs w:val="44"/>
        </w:rPr>
      </w:pPr>
      <w:r>
        <w:rPr>
          <w:rFonts w:hint="eastAsia" w:ascii="黑体" w:eastAsia="黑体"/>
          <w:sz w:val="44"/>
          <w:szCs w:val="44"/>
        </w:rPr>
        <w:t>投  标  文  件</w:t>
      </w:r>
    </w:p>
    <w:p w14:paraId="2219A416">
      <w:pPr>
        <w:jc w:val="center"/>
        <w:rPr>
          <w:rFonts w:hint="eastAsia" w:ascii="黑体" w:eastAsia="黑体"/>
          <w:sz w:val="32"/>
          <w:szCs w:val="32"/>
        </w:rPr>
      </w:pPr>
    </w:p>
    <w:p w14:paraId="6203C203">
      <w:pPr>
        <w:jc w:val="center"/>
        <w:rPr>
          <w:rFonts w:hint="eastAsia" w:ascii="黑体" w:eastAsia="黑体"/>
          <w:sz w:val="32"/>
          <w:szCs w:val="32"/>
        </w:rPr>
      </w:pPr>
    </w:p>
    <w:p w14:paraId="40C8CE10">
      <w:pPr>
        <w:jc w:val="center"/>
        <w:rPr>
          <w:rFonts w:hint="eastAsia" w:ascii="楷体_GB2312" w:eastAsia="楷体_GB2312"/>
          <w:sz w:val="28"/>
          <w:szCs w:val="28"/>
        </w:rPr>
      </w:pPr>
      <w:r>
        <w:rPr>
          <w:rFonts w:hint="eastAsia" w:ascii="楷体_GB2312" w:eastAsia="楷体_GB2312"/>
          <w:sz w:val="28"/>
          <w:szCs w:val="28"/>
        </w:rPr>
        <w:t>（标段唯一标识码：</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616AAA5A">
      <w:pPr>
        <w:jc w:val="center"/>
        <w:rPr>
          <w:rFonts w:hint="eastAsia" w:ascii="黑体" w:eastAsia="黑体"/>
          <w:sz w:val="32"/>
          <w:szCs w:val="32"/>
        </w:rPr>
      </w:pPr>
      <w:r>
        <w:rPr>
          <w:rFonts w:hint="eastAsia" w:ascii="楷体_GB2312" w:eastAsia="楷体_GB2312"/>
          <w:sz w:val="28"/>
          <w:szCs w:val="28"/>
        </w:rPr>
        <w:t>（标段编号:</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0F661F4D">
      <w:pPr>
        <w:jc w:val="center"/>
        <w:rPr>
          <w:rFonts w:hint="eastAsia" w:ascii="黑体" w:eastAsia="黑体"/>
          <w:sz w:val="32"/>
          <w:szCs w:val="32"/>
        </w:rPr>
      </w:pPr>
    </w:p>
    <w:p w14:paraId="1F771131">
      <w:pPr>
        <w:jc w:val="center"/>
        <w:rPr>
          <w:rFonts w:hint="eastAsia" w:ascii="黑体" w:eastAsia="黑体"/>
          <w:sz w:val="32"/>
          <w:szCs w:val="32"/>
        </w:rPr>
      </w:pPr>
    </w:p>
    <w:p w14:paraId="0622A0EC">
      <w:pPr>
        <w:jc w:val="both"/>
        <w:rPr>
          <w:rFonts w:hint="eastAsia" w:ascii="黑体" w:eastAsia="黑体"/>
          <w:sz w:val="32"/>
          <w:szCs w:val="32"/>
        </w:rPr>
      </w:pPr>
    </w:p>
    <w:p w14:paraId="1C6419C5">
      <w:pPr>
        <w:jc w:val="center"/>
        <w:rPr>
          <w:rFonts w:hint="eastAsia" w:ascii="黑体" w:eastAsia="黑体"/>
          <w:sz w:val="32"/>
          <w:szCs w:val="32"/>
        </w:rPr>
      </w:pPr>
    </w:p>
    <w:p w14:paraId="562B746D">
      <w:pPr>
        <w:jc w:val="both"/>
        <w:rPr>
          <w:rFonts w:hint="eastAsia" w:ascii="黑体" w:eastAsia="黑体"/>
          <w:sz w:val="32"/>
          <w:szCs w:val="32"/>
        </w:rPr>
      </w:pPr>
    </w:p>
    <w:p w14:paraId="6CBF9A78">
      <w:pPr>
        <w:jc w:val="center"/>
        <w:rPr>
          <w:rFonts w:hint="eastAsia" w:ascii="黑体" w:eastAsia="黑体"/>
          <w:sz w:val="32"/>
          <w:szCs w:val="32"/>
        </w:rPr>
      </w:pPr>
    </w:p>
    <w:p w14:paraId="316B992B">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5EFA0948">
      <w:pPr>
        <w:spacing w:line="360" w:lineRule="auto"/>
        <w:jc w:val="center"/>
        <w:rPr>
          <w:rFonts w:hint="eastAsia" w:ascii="黑体" w:eastAsia="黑体"/>
          <w:sz w:val="28"/>
          <w:szCs w:val="28"/>
        </w:rPr>
      </w:pPr>
      <w:r>
        <w:rPr>
          <w:rFonts w:hint="eastAsia" w:ascii="黑体" w:eastAsia="黑体"/>
          <w:sz w:val="28"/>
          <w:szCs w:val="28"/>
        </w:rPr>
        <w:t>法定代表人或授权委托人：</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（签章）</w:t>
      </w:r>
    </w:p>
    <w:p w14:paraId="46BCF299">
      <w:pPr>
        <w:jc w:val="center"/>
        <w:rPr>
          <w:rFonts w:hint="eastAsia" w:ascii="黑体" w:eastAsia="黑体"/>
          <w:sz w:val="28"/>
          <w:szCs w:val="28"/>
        </w:rPr>
      </w:pPr>
    </w:p>
    <w:p w14:paraId="1B7759E1">
      <w:pPr>
        <w:jc w:val="center"/>
        <w:sectPr>
          <w:pgSz w:w="11906" w:h="16838"/>
          <w:pgMar w:top="1440" w:right="1800" w:bottom="1440" w:left="1800" w:header="851" w:footer="992" w:gutter="0"/>
          <w:cols w:space="425" w:num="1"/>
          <w:docGrid w:type="lines" w:linePitch="312" w:charSpace="0"/>
        </w:sect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3140414C">
      <w:pPr>
        <w:pStyle w:val="23"/>
        <w:jc w:val="center"/>
        <w:rPr>
          <w:rFonts w:hint="eastAsia" w:ascii="黑体"/>
          <w:szCs w:val="28"/>
        </w:rPr>
      </w:pPr>
      <w:bookmarkStart w:id="2258" w:name="_Toc256000406"/>
      <w:bookmarkStart w:id="2259" w:name="_Toc122603068"/>
      <w:r>
        <w:rPr>
          <w:rFonts w:hint="eastAsia"/>
        </w:rPr>
        <w:t>目    录</w:t>
      </w:r>
      <w:bookmarkEnd w:id="2258"/>
      <w:bookmarkEnd w:id="2259"/>
    </w:p>
    <w:p w14:paraId="13CAA8E9">
      <w:pPr>
        <w:spacing w:line="600" w:lineRule="exact"/>
        <w:rPr>
          <w:rFonts w:ascii="宋体" w:hAnsi="宋体"/>
          <w:szCs w:val="21"/>
        </w:rPr>
      </w:pPr>
    </w:p>
    <w:p w14:paraId="326CD8CD">
      <w:pPr>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t>一、投标函及投标函附录等</w:t>
      </w:r>
      <w:r>
        <w:rPr>
          <w:rFonts w:hint="eastAsia" w:ascii="宋体" w:hAnsi="宋体" w:eastAsia="宋体" w:cs="宋体"/>
        </w:rPr>
        <w:br w:type="textWrapping"/>
      </w:r>
      <w:r>
        <w:rPr>
          <w:rFonts w:hint="eastAsia" w:ascii="宋体" w:hAnsi="宋体" w:eastAsia="宋体" w:cs="宋体"/>
        </w:rPr>
        <w:t>二、法定代表人身份证明或授权委托书</w:t>
      </w:r>
      <w:r>
        <w:rPr>
          <w:rFonts w:hint="eastAsia" w:ascii="宋体" w:hAnsi="宋体" w:eastAsia="宋体" w:cs="宋体"/>
        </w:rPr>
        <w:br w:type="textWrapping"/>
      </w:r>
      <w:r>
        <w:rPr>
          <w:rFonts w:hint="eastAsia" w:ascii="宋体" w:hAnsi="宋体" w:eastAsia="宋体" w:cs="宋体"/>
        </w:rPr>
        <w:t>三、投标保证金</w:t>
      </w:r>
      <w:r>
        <w:rPr>
          <w:rFonts w:hint="eastAsia" w:ascii="宋体" w:hAnsi="宋体" w:eastAsia="宋体" w:cs="宋体"/>
        </w:rPr>
        <w:br w:type="textWrapping"/>
      </w:r>
      <w:r>
        <w:rPr>
          <w:rFonts w:hint="eastAsia" w:ascii="宋体" w:hAnsi="宋体" w:eastAsia="宋体" w:cs="宋体"/>
        </w:rPr>
        <w:t>四、项目管理机构</w:t>
      </w:r>
      <w:r>
        <w:rPr>
          <w:rFonts w:hint="eastAsia" w:ascii="宋体" w:hAnsi="宋体" w:eastAsia="宋体" w:cs="宋体"/>
        </w:rPr>
        <w:br w:type="textWrapping"/>
      </w:r>
      <w:r>
        <w:rPr>
          <w:rFonts w:hint="eastAsia" w:ascii="宋体" w:hAnsi="宋体" w:eastAsia="宋体" w:cs="宋体"/>
        </w:rPr>
        <w:t>五、资格审查资料</w:t>
      </w:r>
      <w:r>
        <w:rPr>
          <w:rFonts w:hint="eastAsia" w:ascii="宋体" w:hAnsi="宋体" w:eastAsia="宋体" w:cs="宋体"/>
        </w:rPr>
        <w:br w:type="textWrapping"/>
      </w:r>
      <w:r>
        <w:rPr>
          <w:rFonts w:hint="eastAsia" w:ascii="宋体" w:hAnsi="宋体" w:eastAsia="宋体" w:cs="宋体"/>
        </w:rPr>
        <w:t>六、已标价工程量清单</w:t>
      </w:r>
      <w:r>
        <w:rPr>
          <w:rFonts w:hint="eastAsia" w:ascii="宋体" w:hAnsi="宋体" w:eastAsia="宋体" w:cs="宋体"/>
        </w:rPr>
        <w:br w:type="textWrapping"/>
      </w:r>
      <w:r>
        <w:rPr>
          <w:rFonts w:hint="eastAsia" w:ascii="宋体" w:hAnsi="宋体" w:eastAsia="宋体" w:cs="宋体"/>
        </w:rPr>
        <w:t>七、施工组织设计</w:t>
      </w:r>
      <w:r>
        <w:rPr>
          <w:rFonts w:hint="eastAsia" w:ascii="宋体" w:hAnsi="宋体" w:eastAsia="宋体" w:cs="宋体"/>
        </w:rPr>
        <w:br w:type="textWrapping"/>
      </w:r>
      <w:r>
        <w:rPr>
          <w:rFonts w:hint="eastAsia" w:ascii="宋体" w:hAnsi="宋体" w:eastAsia="宋体" w:cs="宋体"/>
        </w:rPr>
        <w:t>八、其他材料</w:t>
      </w:r>
    </w:p>
    <w:p w14:paraId="5C92BCE8">
      <w:pPr>
        <w:bidi w:val="0"/>
        <w:rPr>
          <w:rFonts w:hint="default"/>
        </w:rPr>
      </w:pPr>
    </w:p>
    <w:p w14:paraId="488A84DD">
      <w:pPr>
        <w:bidi w:val="0"/>
        <w:rPr>
          <w:rFonts w:hint="default"/>
        </w:rPr>
      </w:pPr>
    </w:p>
    <w:p w14:paraId="162AA193">
      <w:pPr>
        <w:bidi w:val="0"/>
        <w:rPr>
          <w:rFonts w:hint="default"/>
        </w:rPr>
      </w:pPr>
    </w:p>
    <w:p w14:paraId="0BAA39C4">
      <w:pPr>
        <w:bidi w:val="0"/>
        <w:rPr>
          <w:rFonts w:hint="default"/>
        </w:rPr>
      </w:pPr>
    </w:p>
    <w:p w14:paraId="3413CA35">
      <w:pPr>
        <w:bidi w:val="0"/>
        <w:rPr>
          <w:rFonts w:hint="default"/>
        </w:rPr>
      </w:pPr>
    </w:p>
    <w:p w14:paraId="2BDC3AB3">
      <w:pPr>
        <w:bidi w:val="0"/>
        <w:rPr>
          <w:rFonts w:hint="default"/>
        </w:rPr>
      </w:pPr>
    </w:p>
    <w:p w14:paraId="0090262B">
      <w:pPr>
        <w:bidi w:val="0"/>
        <w:rPr>
          <w:rFonts w:hint="default"/>
        </w:rPr>
      </w:pPr>
    </w:p>
    <w:p w14:paraId="6A99F453">
      <w:pPr>
        <w:bidi w:val="0"/>
        <w:rPr>
          <w:rFonts w:hint="default"/>
        </w:rPr>
      </w:pPr>
    </w:p>
    <w:p w14:paraId="430EA894">
      <w:pPr>
        <w:bidi w:val="0"/>
        <w:rPr>
          <w:rFonts w:hint="default"/>
        </w:rPr>
      </w:pPr>
    </w:p>
    <w:p w14:paraId="41B64CC4">
      <w:pPr>
        <w:bidi w:val="0"/>
        <w:rPr>
          <w:rFonts w:hint="default"/>
        </w:rPr>
      </w:pPr>
    </w:p>
    <w:p w14:paraId="22BE77DF">
      <w:pPr>
        <w:bidi w:val="0"/>
        <w:rPr>
          <w:rFonts w:hint="default"/>
        </w:rPr>
      </w:pPr>
    </w:p>
    <w:p w14:paraId="783E88FD">
      <w:pPr>
        <w:bidi w:val="0"/>
        <w:rPr>
          <w:rFonts w:hint="default"/>
        </w:rPr>
      </w:pPr>
    </w:p>
    <w:p w14:paraId="64BA8CD3">
      <w:pPr>
        <w:bidi w:val="0"/>
        <w:rPr>
          <w:rFonts w:hint="default"/>
        </w:rPr>
      </w:pPr>
    </w:p>
    <w:p w14:paraId="676FB9EC">
      <w:pPr>
        <w:bidi w:val="0"/>
        <w:rPr>
          <w:rFonts w:hint="default"/>
        </w:rPr>
      </w:pPr>
    </w:p>
    <w:p w14:paraId="497824E5">
      <w:pPr>
        <w:pStyle w:val="23"/>
        <w:widowControl/>
        <w:ind w:left="0" w:right="0"/>
        <w:jc w:val="center"/>
        <w:rPr>
          <w:b w:val="0"/>
          <w:bCs w:val="0"/>
        </w:rPr>
        <w:sectPr>
          <w:footerReference r:id="rId22" w:type="default"/>
          <w:pgSz w:w="11906" w:h="16838"/>
          <w:pgMar w:top="1440" w:right="1800" w:bottom="1440" w:left="1800" w:header="851" w:footer="992" w:gutter="0"/>
          <w:pgNumType w:fmt="decimal"/>
          <w:cols w:space="425" w:num="1"/>
          <w:docGrid w:type="lines" w:linePitch="312" w:charSpace="0"/>
        </w:sectPr>
      </w:pPr>
      <w:bookmarkStart w:id="2260" w:name="_Toc256000407"/>
      <w:r>
        <w:rPr>
          <w:rFonts w:hint="default" w:ascii="黑体" w:hAnsi="宋体" w:cs="黑体"/>
          <w:b w:val="0"/>
          <w:bCs w:val="0"/>
          <w:kern w:val="2"/>
          <w:sz w:val="28"/>
          <w:szCs w:val="28"/>
        </w:rPr>
        <w:t>一</w:t>
      </w:r>
      <w:r>
        <w:rPr>
          <w:rFonts w:hint="eastAsia" w:ascii="黑体" w:hAnsi="宋体" w:eastAsia="黑体" w:cs="黑体"/>
          <w:b w:val="0"/>
          <w:bCs w:val="0"/>
          <w:kern w:val="2"/>
          <w:sz w:val="28"/>
          <w:szCs w:val="28"/>
        </w:rPr>
        <w:t>、投标函及投标函附录等</w:t>
      </w:r>
      <w:bookmarkEnd w:id="2260"/>
    </w:p>
    <w:p w14:paraId="33C367AB">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2261" w:name="_Toc122603070"/>
      <w:bookmarkStart w:id="2262" w:name="_Toc256000408"/>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投标函</w:t>
      </w:r>
      <w:bookmarkEnd w:id="2261"/>
      <w:bookmarkEnd w:id="2262"/>
    </w:p>
    <w:p w14:paraId="4FC295B5">
      <w:pPr>
        <w:keepNext w:val="0"/>
        <w:keepLines w:val="0"/>
        <w:widowControl w:val="0"/>
        <w:suppressLineNumbers w:val="0"/>
        <w:spacing w:before="0" w:beforeAutospacing="0" w:after="0" w:afterAutospacing="0" w:line="440" w:lineRule="exact"/>
        <w:ind w:left="0" w:right="0"/>
        <w:jc w:val="left"/>
        <w:rPr>
          <w:rFonts w:hint="default"/>
          <w:szCs w:val="21"/>
        </w:rPr>
      </w:pPr>
      <w:r>
        <w:rPr>
          <w:rFonts w:hint="default" w:ascii="Times New Roman" w:hAnsi="Times New Roman" w:eastAsia="宋体" w:cs="Times New Roman"/>
          <w:color w:val="000000"/>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（招标人名称）：</w:t>
      </w:r>
    </w:p>
    <w:p w14:paraId="43B89804">
      <w:pPr>
        <w:spacing w:line="440" w:lineRule="exact"/>
        <w:ind w:firstLine="420" w:firstLineChars="200"/>
        <w:rPr>
          <w:szCs w:val="21"/>
        </w:rPr>
      </w:pPr>
      <w:r>
        <w:rPr>
          <w:rFonts w:hint="default" w:ascii="Times New Roman" w:hAnsi="Times New Roman" w:eastAsia="宋体" w:cs="Times New Roman"/>
          <w:kern w:val="2"/>
          <w:sz w:val="21"/>
          <w:szCs w:val="21"/>
          <w:lang w:val="en-US" w:eastAsia="zh-CN" w:bidi="ar"/>
        </w:rPr>
        <w:t>1.</w:t>
      </w:r>
      <w:r>
        <w:rPr>
          <w:szCs w:val="21"/>
        </w:rPr>
        <w:t>我方已仔细研究了</w:t>
      </w:r>
      <w:r>
        <w:rPr>
          <w:szCs w:val="21"/>
          <w:u w:val="single"/>
        </w:rPr>
        <w:t xml:space="preserve">            </w:t>
      </w:r>
      <w:r>
        <w:rPr>
          <w:u w:val="single"/>
        </w:rPr>
        <w:t xml:space="preserve">  </w:t>
      </w:r>
      <w:r>
        <w:rPr>
          <w:rFonts w:hint="eastAsia"/>
        </w:rPr>
        <w:t>（标段名称）</w:t>
      </w:r>
      <w:r>
        <w:rPr>
          <w:rFonts w:hint="eastAsia"/>
          <w:szCs w:val="21"/>
        </w:rPr>
        <w:t>项目</w:t>
      </w:r>
      <w:r>
        <w:rPr>
          <w:szCs w:val="21"/>
        </w:rPr>
        <w:t>招标文件的全部内容，</w:t>
      </w:r>
      <w:r>
        <w:rPr>
          <w:rFonts w:hint="eastAsia" w:ascii="宋体" w:hAnsi="宋体" w:eastAsia="宋体" w:cs="宋体"/>
          <w:kern w:val="2"/>
          <w:sz w:val="21"/>
          <w:szCs w:val="21"/>
          <w:lang w:val="en-US" w:eastAsia="zh-CN" w:bidi="ar"/>
        </w:rPr>
        <w:t>愿意以</w:t>
      </w:r>
      <w:r>
        <w:rPr>
          <w:rFonts w:hint="eastAsia"/>
          <w:color w:val="auto"/>
          <w:szCs w:val="21"/>
        </w:rPr>
        <w:t>【</w:t>
      </w:r>
      <w:r>
        <w:rPr>
          <w:color w:val="auto"/>
          <w:szCs w:val="21"/>
        </w:rPr>
        <w:t>人民币（大写）</w:t>
      </w:r>
      <w:r>
        <w:rPr>
          <w:color w:val="auto"/>
          <w:szCs w:val="21"/>
          <w:u w:val="single"/>
        </w:rPr>
        <w:t xml:space="preserve">        </w:t>
      </w:r>
      <w:r>
        <w:rPr>
          <w:color w:val="auto"/>
          <w:szCs w:val="21"/>
        </w:rPr>
        <w:t>元（¥</w:t>
      </w:r>
      <w:r>
        <w:rPr>
          <w:color w:val="auto"/>
          <w:szCs w:val="21"/>
          <w:u w:val="single"/>
        </w:rPr>
        <w:t xml:space="preserve">      </w:t>
      </w:r>
      <w:r>
        <w:rPr>
          <w:color w:val="auto"/>
          <w:szCs w:val="21"/>
        </w:rPr>
        <w:t>元）</w:t>
      </w:r>
      <w:r>
        <w:rPr>
          <w:rFonts w:hint="eastAsia"/>
          <w:color w:val="auto"/>
          <w:szCs w:val="21"/>
        </w:rPr>
        <w:t>】</w:t>
      </w:r>
      <w:r>
        <w:rPr>
          <w:rFonts w:hint="eastAsia" w:ascii="宋体" w:hAnsi="宋体" w:eastAsia="宋体" w:cs="宋体"/>
          <w:kern w:val="2"/>
          <w:sz w:val="21"/>
          <w:szCs w:val="21"/>
          <w:lang w:val="en-US" w:eastAsia="zh-CN" w:bidi="ar"/>
        </w:rPr>
        <w:t>的投标报价，</w:t>
      </w:r>
      <w:r>
        <w:rPr>
          <w:rFonts w:hint="eastAsia"/>
          <w:szCs w:val="21"/>
        </w:rPr>
        <w:t>工期</w:t>
      </w:r>
      <w:r>
        <w:rPr>
          <w:rFonts w:hint="eastAsia"/>
          <w:szCs w:val="21"/>
          <w:u w:val="single"/>
        </w:rPr>
        <w:t xml:space="preserve">          </w:t>
      </w:r>
      <w:r>
        <w:rPr>
          <w:rFonts w:hint="eastAsia"/>
          <w:szCs w:val="21"/>
        </w:rPr>
        <w:t>日历天，</w:t>
      </w:r>
      <w:r>
        <w:rPr>
          <w:szCs w:val="21"/>
        </w:rPr>
        <w:t>按合同约定实施和完成承包工程，修补工程中的任何缺陷，工程质量达到</w:t>
      </w:r>
      <w:r>
        <w:rPr>
          <w:szCs w:val="21"/>
          <w:u w:val="single"/>
        </w:rPr>
        <w:t xml:space="preserve">               </w:t>
      </w:r>
      <w:r>
        <w:rPr>
          <w:szCs w:val="21"/>
        </w:rPr>
        <w:t>。</w:t>
      </w:r>
    </w:p>
    <w:p w14:paraId="76A87F0F">
      <w:pPr>
        <w:spacing w:line="480" w:lineRule="exact"/>
        <w:ind w:firstLine="420" w:firstLineChars="200"/>
        <w:rPr>
          <w:rFonts w:ascii="宋体" w:hAnsi="宋体"/>
          <w:szCs w:val="21"/>
        </w:rPr>
      </w:pPr>
      <w:r>
        <w:rPr>
          <w:rFonts w:hint="eastAsia" w:ascii="宋体" w:hAnsi="宋体"/>
          <w:szCs w:val="21"/>
        </w:rPr>
        <w:t>在我方的上述投标</w:t>
      </w:r>
      <w:r>
        <w:rPr>
          <w:szCs w:val="21"/>
        </w:rPr>
        <w:t>总</w:t>
      </w:r>
      <w:r>
        <w:rPr>
          <w:rFonts w:hint="eastAsia" w:ascii="宋体" w:hAnsi="宋体"/>
          <w:szCs w:val="21"/>
        </w:rPr>
        <w:t xml:space="preserve">报价中，包括：安全文明施工费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元；暂列金额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元；专业工程暂估价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44922B8C">
      <w:pPr>
        <w:spacing w:line="480" w:lineRule="exact"/>
        <w:ind w:firstLine="420" w:firstLineChars="200"/>
        <w:rPr>
          <w:rFonts w:ascii="宋体" w:hAnsi="宋体"/>
          <w:szCs w:val="21"/>
        </w:rPr>
      </w:pPr>
      <w:r>
        <w:rPr>
          <w:rFonts w:hint="eastAsia"/>
          <w:szCs w:val="21"/>
        </w:rPr>
        <w:t>2.我方拟派的项目经理</w:t>
      </w:r>
      <w:r>
        <w:rPr>
          <w:szCs w:val="21"/>
        </w:rPr>
        <w:t>：</w:t>
      </w:r>
      <w:r>
        <w:rPr>
          <w:rFonts w:hint="eastAsia"/>
          <w:szCs w:val="21"/>
          <w:u w:val="single"/>
        </w:rPr>
        <w:t xml:space="preserve">     </w:t>
      </w:r>
      <w:r>
        <w:rPr>
          <w:rFonts w:hint="eastAsia"/>
          <w:szCs w:val="21"/>
        </w:rPr>
        <w:t>（姓名），证书名称：</w:t>
      </w:r>
      <w:r>
        <w:rPr>
          <w:rFonts w:hint="eastAsia"/>
          <w:szCs w:val="21"/>
          <w:u w:val="single"/>
        </w:rPr>
        <w:t xml:space="preserve">      </w:t>
      </w:r>
      <w:r>
        <w:rPr>
          <w:rFonts w:hint="eastAsia"/>
          <w:szCs w:val="21"/>
        </w:rPr>
        <w:t>，证书编号：</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14:paraId="5B22C7FC">
      <w:pPr>
        <w:spacing w:line="440" w:lineRule="exact"/>
        <w:ind w:firstLine="420" w:firstLineChars="200"/>
        <w:rPr>
          <w:szCs w:val="21"/>
        </w:rPr>
      </w:pPr>
      <w:r>
        <w:rPr>
          <w:rFonts w:hint="eastAsia"/>
          <w:szCs w:val="21"/>
        </w:rPr>
        <w:t>3.</w:t>
      </w:r>
      <w:r>
        <w:rPr>
          <w:szCs w:val="21"/>
        </w:rPr>
        <w:t>我方承诺在投标有效期</w:t>
      </w:r>
      <w:r>
        <w:rPr>
          <w:rFonts w:hint="eastAsia"/>
          <w:szCs w:val="21"/>
          <w:u w:val="single"/>
        </w:rPr>
        <w:t xml:space="preserve">    </w:t>
      </w:r>
      <w:r>
        <w:rPr>
          <w:szCs w:val="21"/>
          <w:u w:val="single"/>
        </w:rPr>
        <w:t xml:space="preserve"> </w:t>
      </w:r>
      <w:r>
        <w:rPr>
          <w:rFonts w:hint="eastAsia"/>
          <w:szCs w:val="21"/>
        </w:rPr>
        <w:t>天</w:t>
      </w:r>
      <w:r>
        <w:rPr>
          <w:szCs w:val="21"/>
        </w:rPr>
        <w:t>内不修改、撤销投标文件。</w:t>
      </w:r>
    </w:p>
    <w:p w14:paraId="1ED3E4A3">
      <w:pPr>
        <w:spacing w:line="440" w:lineRule="exact"/>
        <w:ind w:firstLine="420" w:firstLineChars="200"/>
        <w:rPr>
          <w:szCs w:val="21"/>
        </w:rPr>
      </w:pPr>
      <w:r>
        <w:rPr>
          <w:rFonts w:hint="eastAsia"/>
          <w:szCs w:val="21"/>
        </w:rPr>
        <w:t>4.</w:t>
      </w:r>
      <w:r>
        <w:rPr>
          <w:szCs w:val="21"/>
        </w:rPr>
        <w:t>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w:t>
      </w:r>
    </w:p>
    <w:p w14:paraId="0316A364">
      <w:pPr>
        <w:spacing w:line="440" w:lineRule="exact"/>
        <w:ind w:firstLine="420" w:firstLineChars="200"/>
        <w:rPr>
          <w:szCs w:val="21"/>
        </w:rPr>
      </w:pPr>
      <w:r>
        <w:rPr>
          <w:rFonts w:hint="eastAsia"/>
          <w:szCs w:val="21"/>
        </w:rPr>
        <w:t>5.</w:t>
      </w:r>
      <w:r>
        <w:rPr>
          <w:szCs w:val="21"/>
        </w:rPr>
        <w:t>如我方中标：</w:t>
      </w:r>
    </w:p>
    <w:p w14:paraId="5650F363">
      <w:pPr>
        <w:spacing w:line="440" w:lineRule="exact"/>
        <w:ind w:firstLine="420" w:firstLineChars="200"/>
        <w:rPr>
          <w:szCs w:val="21"/>
        </w:rPr>
      </w:pPr>
      <w:r>
        <w:rPr>
          <w:szCs w:val="21"/>
        </w:rPr>
        <w:t>（1）我方承诺在收到中标通知书后，在中标通知书规定的期限内与你方签订合同。</w:t>
      </w:r>
    </w:p>
    <w:p w14:paraId="65663AD0">
      <w:pPr>
        <w:spacing w:line="440" w:lineRule="exact"/>
        <w:ind w:firstLine="420" w:firstLineChars="200"/>
        <w:rPr>
          <w:szCs w:val="21"/>
        </w:rPr>
      </w:pPr>
      <w:r>
        <w:rPr>
          <w:szCs w:val="21"/>
        </w:rPr>
        <w:t>（2）随同本投标函递交的投标函附录属于合同文件的组成部分。</w:t>
      </w:r>
    </w:p>
    <w:p w14:paraId="25A65F43">
      <w:pPr>
        <w:spacing w:line="440" w:lineRule="exact"/>
        <w:ind w:firstLine="420" w:firstLineChars="200"/>
        <w:rPr>
          <w:szCs w:val="21"/>
        </w:rPr>
      </w:pPr>
      <w:r>
        <w:rPr>
          <w:szCs w:val="21"/>
        </w:rPr>
        <w:t>（3）我方承诺按照招标文件规定向你方递交履约</w:t>
      </w:r>
      <w:r>
        <w:rPr>
          <w:rFonts w:hint="eastAsia"/>
          <w:szCs w:val="21"/>
        </w:rPr>
        <w:t>保证金</w:t>
      </w:r>
      <w:r>
        <w:rPr>
          <w:szCs w:val="21"/>
        </w:rPr>
        <w:t>。</w:t>
      </w:r>
    </w:p>
    <w:p w14:paraId="72919F35">
      <w:pPr>
        <w:spacing w:line="380" w:lineRule="exact"/>
        <w:ind w:firstLine="420" w:firstLineChars="0"/>
        <w:jc w:val="left"/>
        <w:rPr>
          <w:szCs w:val="21"/>
        </w:rPr>
      </w:pPr>
      <w:r>
        <w:rPr>
          <w:szCs w:val="21"/>
        </w:rPr>
        <w:t>（4）我方承诺在合同约定的期限内完成并移交全部合同工程。</w:t>
      </w:r>
    </w:p>
    <w:p w14:paraId="5BDDC93A">
      <w:pPr>
        <w:spacing w:line="380" w:lineRule="exact"/>
        <w:ind w:firstLine="420" w:firstLineChars="0"/>
        <w:jc w:val="left"/>
        <w:rPr>
          <w:szCs w:val="21"/>
        </w:rPr>
      </w:pPr>
      <w:bookmarkStart w:id="2263" w:name="_Hlk152146515"/>
      <w:r>
        <w:rPr>
          <w:rFonts w:hint="eastAsia"/>
          <w:szCs w:val="21"/>
        </w:rPr>
        <w:t>（5）</w:t>
      </w:r>
      <w:r>
        <w:rPr>
          <w:rFonts w:hint="eastAsia"/>
          <w:szCs w:val="21"/>
          <w:u w:val="single"/>
          <w:lang w:val="en-US" w:eastAsia="zh-CN"/>
        </w:rPr>
        <w:t xml:space="preserve">    </w:t>
      </w:r>
      <w:r>
        <w:rPr>
          <w:rFonts w:hint="eastAsia"/>
          <w:szCs w:val="21"/>
        </w:rPr>
        <w:t>。</w:t>
      </w:r>
    </w:p>
    <w:bookmarkEnd w:id="2263"/>
    <w:p w14:paraId="4FCEE6D1">
      <w:pPr>
        <w:spacing w:line="440" w:lineRule="exact"/>
        <w:ind w:firstLine="420" w:firstLineChars="200"/>
        <w:rPr>
          <w:szCs w:val="21"/>
        </w:rPr>
      </w:pPr>
      <w:r>
        <w:rPr>
          <w:rFonts w:hint="eastAsia"/>
          <w:szCs w:val="21"/>
        </w:rPr>
        <w:t>6.</w:t>
      </w:r>
      <w:r>
        <w:rPr>
          <w:rFonts w:hint="eastAsia"/>
        </w:rPr>
        <w:t>我方在此声明，所递交的投标文件及有关资料内容完整、真实和准确，且不存在第二章“投标人须知”第1.4.3项规定的任何一种情形。</w:t>
      </w:r>
    </w:p>
    <w:p w14:paraId="2BFC0656">
      <w:pPr>
        <w:spacing w:line="380" w:lineRule="exact"/>
        <w:ind w:firstLine="420" w:firstLineChars="200"/>
        <w:jc w:val="left"/>
        <w:rPr>
          <w:szCs w:val="21"/>
        </w:rPr>
      </w:pPr>
      <w:r>
        <w:rPr>
          <w:rFonts w:hint="eastAsia"/>
          <w:szCs w:val="21"/>
        </w:rPr>
        <w:t>7.</w:t>
      </w:r>
      <w:r>
        <w:rPr>
          <w:szCs w:val="21"/>
          <w:u w:val="single"/>
        </w:rPr>
        <w:t xml:space="preserve">                                       </w:t>
      </w:r>
      <w:r>
        <w:rPr>
          <w:szCs w:val="21"/>
        </w:rPr>
        <w:t>（</w:t>
      </w:r>
      <w:r>
        <w:rPr>
          <w:rFonts w:hint="eastAsia"/>
          <w:szCs w:val="21"/>
        </w:rPr>
        <w:t>其他</w:t>
      </w:r>
      <w:r>
        <w:rPr>
          <w:szCs w:val="21"/>
        </w:rPr>
        <w:t>补充说明）。</w:t>
      </w:r>
    </w:p>
    <w:p w14:paraId="3A00828A">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rPr>
      </w:pPr>
    </w:p>
    <w:p w14:paraId="28ACB45F">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投</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标</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（盖单位章）</w:t>
      </w:r>
    </w:p>
    <w:p w14:paraId="79A876FB">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法定代表人或授权委托人：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Times New Roman"/>
          <w:kern w:val="2"/>
          <w:sz w:val="21"/>
          <w:szCs w:val="21"/>
          <w:u w:val="single"/>
          <w:lang w:val="en-US" w:eastAsia="zh-CN" w:bidi="ar"/>
        </w:rPr>
        <w:t xml:space="preserve">   </w:t>
      </w:r>
      <w:r>
        <w:rPr>
          <w:rFonts w:hint="default" w:cs="Times New Roman"/>
          <w:kern w:val="2"/>
          <w:sz w:val="21"/>
          <w:szCs w:val="21"/>
          <w:u w:val="single"/>
          <w:lang w:eastAsia="zh-CN" w:bidi="ar"/>
        </w:rPr>
        <w:t xml:space="preserve"> </w:t>
      </w:r>
      <w:r>
        <w:rPr>
          <w:rFonts w:hint="eastAsia" w:ascii="宋体" w:hAnsi="宋体" w:eastAsia="宋体" w:cs="宋体"/>
          <w:kern w:val="2"/>
          <w:sz w:val="21"/>
          <w:szCs w:val="21"/>
          <w:lang w:val="en-US" w:eastAsia="zh-CN" w:bidi="ar"/>
        </w:rPr>
        <w:t>（签章）</w:t>
      </w:r>
    </w:p>
    <w:p w14:paraId="68373A74">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地址：</w:t>
      </w:r>
      <w:r>
        <w:rPr>
          <w:rFonts w:hint="default" w:ascii="Times New Roman" w:hAnsi="Times New Roman" w:eastAsia="宋体" w:cs="Times New Roman"/>
          <w:kern w:val="2"/>
          <w:sz w:val="21"/>
          <w:szCs w:val="21"/>
          <w:u w:val="single"/>
          <w:lang w:val="en-US" w:eastAsia="zh-CN" w:bidi="ar"/>
        </w:rPr>
        <w:t xml:space="preserve">                                   </w:t>
      </w:r>
    </w:p>
    <w:p w14:paraId="494FBA66">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网址：</w:t>
      </w:r>
      <w:r>
        <w:rPr>
          <w:rFonts w:hint="default" w:ascii="Times New Roman" w:hAnsi="Times New Roman" w:eastAsia="宋体" w:cs="Times New Roman"/>
          <w:kern w:val="2"/>
          <w:sz w:val="21"/>
          <w:szCs w:val="21"/>
          <w:u w:val="single"/>
          <w:lang w:val="en-US" w:eastAsia="zh-CN" w:bidi="ar"/>
        </w:rPr>
        <w:t xml:space="preserve">                                   </w:t>
      </w:r>
    </w:p>
    <w:p w14:paraId="72403B86">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电话：</w:t>
      </w:r>
      <w:r>
        <w:rPr>
          <w:rFonts w:hint="default" w:ascii="Times New Roman" w:hAnsi="Times New Roman" w:eastAsia="宋体" w:cs="Times New Roman"/>
          <w:kern w:val="2"/>
          <w:sz w:val="21"/>
          <w:szCs w:val="21"/>
          <w:u w:val="single"/>
          <w:lang w:val="en-US" w:eastAsia="zh-CN" w:bidi="ar"/>
        </w:rPr>
        <w:t xml:space="preserve">                                   </w:t>
      </w:r>
    </w:p>
    <w:p w14:paraId="4636508C">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传真：</w:t>
      </w:r>
      <w:r>
        <w:rPr>
          <w:rFonts w:hint="default" w:ascii="Times New Roman" w:hAnsi="Times New Roman" w:eastAsia="宋体" w:cs="Times New Roman"/>
          <w:kern w:val="2"/>
          <w:sz w:val="21"/>
          <w:szCs w:val="21"/>
          <w:u w:val="single"/>
          <w:lang w:val="en-US" w:eastAsia="zh-CN" w:bidi="ar"/>
        </w:rPr>
        <w:t xml:space="preserve">                                   </w:t>
      </w:r>
    </w:p>
    <w:p w14:paraId="1B216C62">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邮政编码：</w:t>
      </w:r>
      <w:r>
        <w:rPr>
          <w:rFonts w:hint="default" w:ascii="Times New Roman" w:hAnsi="Times New Roman" w:eastAsia="宋体" w:cs="Times New Roman"/>
          <w:kern w:val="2"/>
          <w:sz w:val="21"/>
          <w:szCs w:val="21"/>
          <w:u w:val="single"/>
          <w:lang w:val="en-US" w:eastAsia="zh-CN" w:bidi="ar"/>
        </w:rPr>
        <w:t xml:space="preserve">                               </w:t>
      </w:r>
    </w:p>
    <w:p w14:paraId="25D633DE">
      <w:pPr>
        <w:keepNext w:val="0"/>
        <w:keepLines w:val="0"/>
        <w:widowControl w:val="0"/>
        <w:suppressLineNumbers w:val="0"/>
        <w:spacing w:before="0" w:beforeAutospacing="0" w:after="0" w:afterAutospacing="0"/>
        <w:ind w:left="5040" w:leftChars="0" w:right="0" w:firstLine="420" w:firstLineChars="0"/>
        <w:jc w:val="both"/>
        <w:sectPr>
          <w:footerReference r:id="rId2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4DF27877">
      <w:pPr>
        <w:pStyle w:val="29"/>
        <w:keepNext/>
        <w:keepLines/>
        <w:pageBreakBefore/>
        <w:jc w:val="center"/>
        <w:outlineLvl w:val="2"/>
        <w:rPr>
          <w:rFonts w:ascii="黑体" w:hAnsi="黑体" w:eastAsia="黑体"/>
          <w:sz w:val="44"/>
          <w:szCs w:val="44"/>
        </w:rPr>
      </w:pPr>
      <w:bookmarkStart w:id="2264" w:name="_Toc122603072"/>
      <w:bookmarkStart w:id="2265" w:name="_Toc256000409"/>
      <w:r>
        <w:rPr>
          <w:rFonts w:hint="eastAsia" w:cs="宋体"/>
          <w:sz w:val="28"/>
          <w:szCs w:val="28"/>
          <w:lang w:eastAsia="zh-CN"/>
        </w:rPr>
        <w:t>（</w:t>
      </w:r>
      <w:r>
        <w:rPr>
          <w:rFonts w:hint="default" w:cs="宋体"/>
          <w:sz w:val="28"/>
          <w:szCs w:val="28"/>
        </w:rPr>
        <w:t>二</w:t>
      </w:r>
      <w:r>
        <w:rPr>
          <w:rFonts w:hint="eastAsia" w:cs="宋体"/>
          <w:sz w:val="28"/>
          <w:szCs w:val="28"/>
          <w:lang w:eastAsia="zh-CN"/>
        </w:rPr>
        <w:t>）</w:t>
      </w:r>
      <w:r>
        <w:rPr>
          <w:rFonts w:hint="eastAsia" w:ascii="Times New Roman" w:hAnsi="Times New Roman" w:eastAsia="黑体" w:cs="宋体"/>
          <w:b w:val="0"/>
          <w:bCs w:val="0"/>
          <w:kern w:val="2"/>
          <w:sz w:val="28"/>
          <w:szCs w:val="28"/>
          <w:lang w:val="en-US" w:eastAsia="zh-CN" w:bidi="ar-SA"/>
        </w:rPr>
        <w:t>投标函附录</w:t>
      </w:r>
    </w:p>
    <w:tbl>
      <w:tblPr>
        <w:tblStyle w:val="17"/>
        <w:tblW w:w="8906" w:type="dxa"/>
        <w:jc w:val="center"/>
        <w:tblLayout w:type="autofit"/>
        <w:tblCellMar>
          <w:top w:w="0" w:type="dxa"/>
          <w:left w:w="0" w:type="dxa"/>
          <w:bottom w:w="0" w:type="dxa"/>
          <w:right w:w="0" w:type="dxa"/>
        </w:tblCellMar>
      </w:tblPr>
      <w:tblGrid>
        <w:gridCol w:w="788"/>
        <w:gridCol w:w="2709"/>
        <w:gridCol w:w="3625"/>
        <w:gridCol w:w="1784"/>
      </w:tblGrid>
      <w:tr w14:paraId="547B6FBD">
        <w:tblPrEx>
          <w:tblCellMar>
            <w:top w:w="0" w:type="dxa"/>
            <w:left w:w="0" w:type="dxa"/>
            <w:bottom w:w="0" w:type="dxa"/>
            <w:right w:w="0" w:type="dxa"/>
          </w:tblCellMar>
        </w:tblPrEx>
        <w:trPr>
          <w:trHeight w:val="567" w:hRule="atLeast"/>
          <w:jc w:val="center"/>
        </w:trPr>
        <w:tc>
          <w:tcPr>
            <w:tcW w:w="78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056B643">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序号 </w:t>
            </w:r>
          </w:p>
        </w:tc>
        <w:tc>
          <w:tcPr>
            <w:tcW w:w="27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F144C51">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条款名称 </w:t>
            </w:r>
          </w:p>
        </w:tc>
        <w:tc>
          <w:tcPr>
            <w:tcW w:w="362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D6CE5C2">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约定内容 </w:t>
            </w:r>
          </w:p>
        </w:tc>
        <w:tc>
          <w:tcPr>
            <w:tcW w:w="178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08E4505">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备注 </w:t>
            </w:r>
          </w:p>
        </w:tc>
      </w:tr>
      <w:tr w14:paraId="0BD6DAE3">
        <w:tblPrEx>
          <w:tblCellMar>
            <w:top w:w="0" w:type="dxa"/>
            <w:left w:w="0" w:type="dxa"/>
            <w:bottom w:w="0" w:type="dxa"/>
            <w:right w:w="0" w:type="dxa"/>
          </w:tblCellMar>
        </w:tblPrEx>
        <w:trPr>
          <w:trHeight w:val="567" w:hRule="atLeast"/>
          <w:jc w:val="center"/>
        </w:trPr>
        <w:tc>
          <w:tcPr>
            <w:tcW w:w="78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56B642B">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1 </w:t>
            </w:r>
          </w:p>
        </w:tc>
        <w:tc>
          <w:tcPr>
            <w:tcW w:w="27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12D05A8">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项目经理 </w:t>
            </w:r>
          </w:p>
        </w:tc>
        <w:tc>
          <w:tcPr>
            <w:tcW w:w="362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6165A43">
            <w:pPr>
              <w:pStyle w:val="31"/>
              <w:rPr>
                <w:rFonts w:ascii="Arial" w:hAnsi="Arial" w:eastAsia="宋体" w:cs="Times New Roman"/>
                <w:color w:val="000000"/>
                <w:kern w:val="2"/>
                <w:sz w:val="21"/>
              </w:rPr>
            </w:pPr>
            <w:r>
              <w:rPr>
                <w:rFonts w:ascii="Arial" w:hAnsi="Arial" w:eastAsia="宋体" w:cs="Times New Roman"/>
                <w:color w:val="000000"/>
                <w:kern w:val="2"/>
                <w:sz w:val="21"/>
              </w:rPr>
              <w:t>姓名：</w:t>
            </w:r>
          </w:p>
        </w:tc>
        <w:tc>
          <w:tcPr>
            <w:tcW w:w="178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9DF900C">
            <w:pPr>
              <w:pStyle w:val="31"/>
              <w:rPr>
                <w:rFonts w:ascii="Arial" w:hAnsi="Arial" w:eastAsia="宋体" w:cs="Times New Roman"/>
                <w:color w:val="000000"/>
                <w:kern w:val="2"/>
                <w:sz w:val="21"/>
              </w:rPr>
            </w:pPr>
          </w:p>
        </w:tc>
      </w:tr>
      <w:tr w14:paraId="16D7E790">
        <w:tblPrEx>
          <w:tblCellMar>
            <w:top w:w="0" w:type="dxa"/>
            <w:left w:w="0" w:type="dxa"/>
            <w:bottom w:w="0" w:type="dxa"/>
            <w:right w:w="0" w:type="dxa"/>
          </w:tblCellMar>
        </w:tblPrEx>
        <w:trPr>
          <w:trHeight w:val="567" w:hRule="atLeast"/>
          <w:jc w:val="center"/>
        </w:trPr>
        <w:tc>
          <w:tcPr>
            <w:tcW w:w="78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898FC1F">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2 </w:t>
            </w:r>
          </w:p>
        </w:tc>
        <w:tc>
          <w:tcPr>
            <w:tcW w:w="27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99D61DD">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工期 </w:t>
            </w:r>
          </w:p>
        </w:tc>
        <w:tc>
          <w:tcPr>
            <w:tcW w:w="362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5C32A22">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_____日历天 </w:t>
            </w:r>
          </w:p>
        </w:tc>
        <w:tc>
          <w:tcPr>
            <w:tcW w:w="178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C12F441">
            <w:pPr>
              <w:pStyle w:val="31"/>
              <w:rPr>
                <w:rFonts w:ascii="Arial" w:hAnsi="Arial" w:eastAsia="宋体" w:cs="Times New Roman"/>
                <w:color w:val="000000"/>
                <w:kern w:val="2"/>
                <w:sz w:val="21"/>
              </w:rPr>
            </w:pPr>
          </w:p>
        </w:tc>
      </w:tr>
      <w:tr w14:paraId="00252B7E">
        <w:tblPrEx>
          <w:tblCellMar>
            <w:top w:w="0" w:type="dxa"/>
            <w:left w:w="0" w:type="dxa"/>
            <w:bottom w:w="0" w:type="dxa"/>
            <w:right w:w="0" w:type="dxa"/>
          </w:tblCellMar>
        </w:tblPrEx>
        <w:trPr>
          <w:trHeight w:val="567" w:hRule="atLeast"/>
          <w:jc w:val="center"/>
        </w:trPr>
        <w:tc>
          <w:tcPr>
            <w:tcW w:w="78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25D8255">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3 </w:t>
            </w:r>
          </w:p>
        </w:tc>
        <w:tc>
          <w:tcPr>
            <w:tcW w:w="27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03E2EBD">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承包人履约担保金额 </w:t>
            </w:r>
          </w:p>
        </w:tc>
        <w:tc>
          <w:tcPr>
            <w:tcW w:w="362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9B50EBB">
            <w:pPr>
              <w:pStyle w:val="31"/>
              <w:rPr>
                <w:rFonts w:ascii="Arial" w:hAnsi="Arial" w:eastAsia="宋体" w:cs="Times New Roman"/>
                <w:color w:val="000000"/>
                <w:kern w:val="2"/>
                <w:sz w:val="21"/>
              </w:rPr>
            </w:pPr>
          </w:p>
        </w:tc>
        <w:tc>
          <w:tcPr>
            <w:tcW w:w="178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223CB08A">
            <w:pPr>
              <w:pStyle w:val="31"/>
              <w:rPr>
                <w:rFonts w:ascii="Arial" w:hAnsi="Arial" w:eastAsia="宋体" w:cs="Times New Roman"/>
                <w:color w:val="000000"/>
                <w:kern w:val="2"/>
                <w:sz w:val="21"/>
              </w:rPr>
            </w:pPr>
          </w:p>
        </w:tc>
      </w:tr>
      <w:tr w14:paraId="050DEA2C">
        <w:tblPrEx>
          <w:tblCellMar>
            <w:top w:w="0" w:type="dxa"/>
            <w:left w:w="0" w:type="dxa"/>
            <w:bottom w:w="0" w:type="dxa"/>
            <w:right w:w="0" w:type="dxa"/>
          </w:tblCellMar>
        </w:tblPrEx>
        <w:trPr>
          <w:trHeight w:val="567" w:hRule="atLeast"/>
          <w:jc w:val="center"/>
        </w:trPr>
        <w:tc>
          <w:tcPr>
            <w:tcW w:w="78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6B86266">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4 </w:t>
            </w:r>
          </w:p>
        </w:tc>
        <w:tc>
          <w:tcPr>
            <w:tcW w:w="27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09C78C9">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分包 </w:t>
            </w:r>
          </w:p>
        </w:tc>
        <w:tc>
          <w:tcPr>
            <w:tcW w:w="362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2F5E34B">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见分包项目情况表 </w:t>
            </w:r>
          </w:p>
        </w:tc>
        <w:tc>
          <w:tcPr>
            <w:tcW w:w="178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E2CC869">
            <w:pPr>
              <w:pStyle w:val="31"/>
              <w:rPr>
                <w:rFonts w:ascii="Arial" w:hAnsi="Arial" w:eastAsia="宋体" w:cs="Times New Roman"/>
                <w:color w:val="000000"/>
                <w:kern w:val="2"/>
                <w:sz w:val="21"/>
              </w:rPr>
            </w:pPr>
          </w:p>
        </w:tc>
      </w:tr>
      <w:tr w14:paraId="2CB2E253">
        <w:tblPrEx>
          <w:tblCellMar>
            <w:top w:w="0" w:type="dxa"/>
            <w:left w:w="0" w:type="dxa"/>
            <w:bottom w:w="0" w:type="dxa"/>
            <w:right w:w="0" w:type="dxa"/>
          </w:tblCellMar>
        </w:tblPrEx>
        <w:trPr>
          <w:trHeight w:val="567" w:hRule="atLeast"/>
          <w:jc w:val="center"/>
        </w:trPr>
        <w:tc>
          <w:tcPr>
            <w:tcW w:w="78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235AC66C">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5 </w:t>
            </w:r>
          </w:p>
        </w:tc>
        <w:tc>
          <w:tcPr>
            <w:tcW w:w="27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3609401">
            <w:pPr>
              <w:pStyle w:val="31"/>
              <w:rPr>
                <w:rFonts w:ascii="Arial" w:hAnsi="Arial" w:eastAsia="宋体" w:cs="Times New Roman"/>
                <w:color w:val="000000"/>
                <w:kern w:val="2"/>
                <w:sz w:val="21"/>
              </w:rPr>
            </w:pPr>
            <w:r>
              <w:rPr>
                <w:rFonts w:ascii="Arial" w:hAnsi="Arial" w:eastAsia="宋体" w:cs="Times New Roman"/>
                <w:color w:val="000000"/>
                <w:kern w:val="2"/>
                <w:sz w:val="21"/>
              </w:rPr>
              <w:t xml:space="preserve">质量标准 </w:t>
            </w:r>
          </w:p>
        </w:tc>
        <w:tc>
          <w:tcPr>
            <w:tcW w:w="362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9598836">
            <w:pPr>
              <w:pStyle w:val="31"/>
              <w:rPr>
                <w:rFonts w:ascii="Arial" w:hAnsi="Arial" w:eastAsia="宋体" w:cs="Times New Roman"/>
                <w:color w:val="000000"/>
                <w:kern w:val="2"/>
                <w:sz w:val="21"/>
              </w:rPr>
            </w:pPr>
          </w:p>
        </w:tc>
        <w:tc>
          <w:tcPr>
            <w:tcW w:w="178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8B9B172">
            <w:pPr>
              <w:pStyle w:val="31"/>
              <w:rPr>
                <w:rFonts w:ascii="Arial" w:hAnsi="Arial" w:eastAsia="宋体" w:cs="Times New Roman"/>
                <w:color w:val="000000"/>
                <w:kern w:val="2"/>
                <w:sz w:val="21"/>
              </w:rPr>
            </w:pPr>
          </w:p>
        </w:tc>
      </w:tr>
    </w:tbl>
    <w:p w14:paraId="5FEBB50C">
      <w:pPr>
        <w:rPr>
          <w:rFonts w:hint="eastAsia" w:cs="宋体"/>
          <w:sz w:val="28"/>
          <w:szCs w:val="28"/>
          <w:lang w:eastAsia="zh-CN"/>
        </w:rPr>
      </w:pPr>
      <w:r>
        <w:rPr>
          <w:rFonts w:hint="eastAsia" w:cs="宋体"/>
          <w:sz w:val="28"/>
          <w:szCs w:val="28"/>
          <w:lang w:eastAsia="zh-CN"/>
        </w:rPr>
        <w:br w:type="page"/>
      </w:r>
    </w:p>
    <w:p w14:paraId="372558CB">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r>
        <w:rPr>
          <w:rFonts w:hint="eastAsia" w:cs="宋体"/>
          <w:sz w:val="28"/>
          <w:szCs w:val="28"/>
          <w:lang w:eastAsia="zh-CN"/>
        </w:rPr>
        <w:t>（</w:t>
      </w:r>
      <w:r>
        <w:rPr>
          <w:rFonts w:hint="eastAsia" w:cs="宋体"/>
          <w:sz w:val="28"/>
          <w:szCs w:val="28"/>
          <w:lang w:val="en-US" w:eastAsia="zh-CN"/>
        </w:rPr>
        <w:t>三</w:t>
      </w:r>
      <w:r>
        <w:rPr>
          <w:rFonts w:hint="eastAsia" w:cs="宋体"/>
          <w:sz w:val="28"/>
          <w:szCs w:val="28"/>
          <w:lang w:eastAsia="zh-CN"/>
        </w:rPr>
        <w:t>）</w:t>
      </w:r>
      <w:r>
        <w:rPr>
          <w:rFonts w:hint="eastAsia" w:cs="宋体"/>
          <w:sz w:val="28"/>
          <w:szCs w:val="28"/>
        </w:rPr>
        <w:t>告知承诺函</w:t>
      </w:r>
      <w:bookmarkEnd w:id="2264"/>
      <w:bookmarkEnd w:id="2265"/>
    </w:p>
    <w:p w14:paraId="645DF38D">
      <w:pPr>
        <w:spacing w:line="440" w:lineRule="exact"/>
        <w:ind w:firstLine="420" w:firstLineChars="200"/>
      </w:pPr>
      <w:r>
        <w:rPr>
          <w:rFonts w:hint="eastAsia"/>
        </w:rPr>
        <w:t>我单位参与</w:t>
      </w:r>
      <w:r>
        <w:rPr>
          <w:rFonts w:hint="eastAsia"/>
          <w:u w:val="single"/>
        </w:rPr>
        <w:t xml:space="preserve">    （标段名称 ） </w:t>
      </w:r>
      <w:r>
        <w:rPr>
          <w:u w:val="single"/>
        </w:rPr>
        <w:t xml:space="preserve">  </w:t>
      </w:r>
      <w:r>
        <w:rPr>
          <w:rFonts w:hint="eastAsia"/>
          <w:u w:val="single"/>
        </w:rPr>
        <w:t xml:space="preserve"> </w:t>
      </w:r>
      <w:r>
        <w:rPr>
          <w:rFonts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1602DAB">
      <w:pPr>
        <w:spacing w:line="440" w:lineRule="exact"/>
        <w:ind w:firstLine="420" w:firstLineChars="200"/>
      </w:pPr>
      <w:r>
        <w:rPr>
          <w:rFonts w:hint="eastAsia"/>
        </w:rPr>
        <w:t>一</w:t>
      </w:r>
      <w:r>
        <w:rPr>
          <w:rFonts w:hint="eastAsia"/>
          <w:lang w:eastAsia="zh-CN"/>
        </w:rPr>
        <w:t>、</w:t>
      </w:r>
      <w:r>
        <w:rPr>
          <w:rFonts w:hint="eastAsia"/>
        </w:rPr>
        <w:t>我单位和我本人遵循公开、公平、公正、诚实守信的原则，依法依规参与本项目投标。</w:t>
      </w:r>
    </w:p>
    <w:p w14:paraId="7C3D6F7F">
      <w:pPr>
        <w:spacing w:line="440" w:lineRule="exact"/>
        <w:ind w:firstLine="420" w:firstLineChars="200"/>
      </w:pPr>
      <w:r>
        <w:rPr>
          <w:rFonts w:hint="eastAsia"/>
        </w:rPr>
        <w:t>二</w:t>
      </w:r>
      <w:r>
        <w:rPr>
          <w:rFonts w:hint="eastAsia"/>
          <w:lang w:eastAsia="zh-CN"/>
        </w:rPr>
        <w:t>、</w:t>
      </w:r>
      <w:r>
        <w:rPr>
          <w:rFonts w:hint="eastAsia"/>
        </w:rPr>
        <w:t>我单位具有参与本次投标的资质和能力，公司运营状况良好，不存在挂靠投标、不受让、租借、出租、出借资格或资质证书，无处罚期内的不良行为。</w:t>
      </w:r>
    </w:p>
    <w:p w14:paraId="15DE65E2">
      <w:pPr>
        <w:spacing w:line="440" w:lineRule="exact"/>
        <w:ind w:firstLine="420" w:firstLineChars="200"/>
      </w:pPr>
      <w:r>
        <w:rPr>
          <w:rFonts w:hint="eastAsia"/>
        </w:rPr>
        <w:t>三</w:t>
      </w:r>
      <w:r>
        <w:rPr>
          <w:rFonts w:hint="eastAsia"/>
          <w:lang w:eastAsia="zh-CN"/>
        </w:rPr>
        <w:t>、</w:t>
      </w:r>
      <w:r>
        <w:rPr>
          <w:rFonts w:hint="eastAsia"/>
        </w:rPr>
        <w:t>我单位在本项目投标过程中从招标公告/投标邀请书列明的渠道获取招标文件，没有通过其他不正当渠道获取招标文件。</w:t>
      </w:r>
    </w:p>
    <w:p w14:paraId="5E0B455D">
      <w:pPr>
        <w:spacing w:line="440" w:lineRule="exact"/>
        <w:ind w:firstLine="420" w:firstLineChars="200"/>
      </w:pPr>
      <w:r>
        <w:rPr>
          <w:rFonts w:hint="eastAsia"/>
        </w:rPr>
        <w:t>四</w:t>
      </w:r>
      <w:r>
        <w:rPr>
          <w:rFonts w:hint="eastAsia"/>
          <w:lang w:eastAsia="zh-CN"/>
        </w:rPr>
        <w:t>、</w:t>
      </w:r>
      <w:r>
        <w:rPr>
          <w:rFonts w:hint="eastAsia"/>
        </w:rPr>
        <w:t>我单位承诺投标文件由本单位员工独立编制，严格遵守保密义务。所提供的一切投标相关材料都是真实、有效、合法的。</w:t>
      </w:r>
    </w:p>
    <w:p w14:paraId="03869BAC">
      <w:pPr>
        <w:spacing w:line="440" w:lineRule="exact"/>
        <w:ind w:firstLine="420" w:firstLineChars="200"/>
      </w:pPr>
      <w:r>
        <w:rPr>
          <w:rFonts w:hint="eastAsia"/>
        </w:rPr>
        <w:t>五</w:t>
      </w:r>
      <w:r>
        <w:rPr>
          <w:rFonts w:hint="eastAsia"/>
          <w:lang w:eastAsia="zh-CN"/>
        </w:rPr>
        <w:t>、</w:t>
      </w:r>
      <w:r>
        <w:rPr>
          <w:rFonts w:hint="eastAsia"/>
        </w:rPr>
        <w:t>我单位不与其他投标人相互串通投标报价，不恶意压低或抬高投标报价，不排挤其他投标人的公平竞争，不损害招标人或其他投标人的合法权益。</w:t>
      </w:r>
    </w:p>
    <w:p w14:paraId="696AD85E">
      <w:pPr>
        <w:spacing w:line="440" w:lineRule="exact"/>
        <w:ind w:firstLine="420" w:firstLineChars="200"/>
        <w:rPr>
          <w:rFonts w:hint="eastAsia"/>
        </w:rPr>
      </w:pPr>
      <w:r>
        <w:rPr>
          <w:rFonts w:hint="eastAsia"/>
        </w:rPr>
        <w:t>六</w:t>
      </w:r>
      <w:r>
        <w:rPr>
          <w:rFonts w:hint="eastAsia"/>
          <w:lang w:eastAsia="zh-CN"/>
        </w:rPr>
        <w:t>、</w:t>
      </w:r>
      <w:r>
        <w:rPr>
          <w:rFonts w:hint="eastAsia"/>
        </w:rPr>
        <w:t>我单位不与招标人或招标代理机构串通投标，损害国家利益、社会公共利益或者他人的合法权益</w:t>
      </w:r>
      <w:r>
        <w:rPr>
          <w:rFonts w:hint="eastAsia"/>
          <w:lang w:eastAsia="zh-CN"/>
        </w:rPr>
        <w:t>。</w:t>
      </w:r>
    </w:p>
    <w:p w14:paraId="144F01AF">
      <w:pPr>
        <w:spacing w:line="440" w:lineRule="exact"/>
        <w:ind w:firstLine="420" w:firstLineChars="200"/>
      </w:pPr>
      <w:r>
        <w:rPr>
          <w:rFonts w:hint="eastAsia"/>
        </w:rPr>
        <w:t>七</w:t>
      </w:r>
      <w:r>
        <w:rPr>
          <w:rFonts w:hint="eastAsia"/>
          <w:lang w:eastAsia="zh-CN"/>
        </w:rPr>
        <w:t>、</w:t>
      </w:r>
      <w:r>
        <w:rPr>
          <w:rFonts w:hint="eastAsia"/>
        </w:rPr>
        <w:t>我单位不向招标人或者评标委员会成员行贿以牟取中标，不在开标后进行虚假恶意投诉。</w:t>
      </w:r>
    </w:p>
    <w:p w14:paraId="55B950E7">
      <w:pPr>
        <w:spacing w:line="440" w:lineRule="exact"/>
        <w:ind w:firstLine="420" w:firstLineChars="200"/>
      </w:pPr>
      <w:r>
        <w:rPr>
          <w:rFonts w:hint="eastAsia"/>
        </w:rPr>
        <w:t>八</w:t>
      </w:r>
      <w:r>
        <w:rPr>
          <w:rFonts w:hint="eastAsia"/>
          <w:lang w:eastAsia="zh-CN"/>
        </w:rPr>
        <w:t>、</w:t>
      </w:r>
      <w:r>
        <w:rPr>
          <w:rFonts w:hint="eastAsia"/>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9C06093">
      <w:pPr>
        <w:spacing w:line="440" w:lineRule="exact"/>
        <w:ind w:firstLine="420" w:firstLineChars="200"/>
      </w:pPr>
      <w:r>
        <w:rPr>
          <w:rFonts w:hint="eastAsia"/>
        </w:rPr>
        <w:t>九</w:t>
      </w:r>
      <w:r>
        <w:rPr>
          <w:rFonts w:hint="eastAsia"/>
          <w:lang w:eastAsia="zh-CN"/>
        </w:rPr>
        <w:t>、</w:t>
      </w:r>
      <w:r>
        <w:rPr>
          <w:rFonts w:hint="eastAsia"/>
        </w:rPr>
        <w:t>我单位如在本项目招标投标活动评标工作中存在串通投标、弄虚作假等行为的，本单位及本人自愿承担法律责任，接受相应刑事、纪律和行政处罚以及失信惩戒。</w:t>
      </w:r>
    </w:p>
    <w:p w14:paraId="4F6C7371">
      <w:pPr>
        <w:keepNext w:val="0"/>
        <w:keepLines w:val="0"/>
        <w:widowControl w:val="0"/>
        <w:suppressLineNumbers w:val="0"/>
        <w:spacing w:before="0" w:beforeAutospacing="0" w:after="0" w:afterAutospacing="0" w:line="440" w:lineRule="exact"/>
        <w:ind w:left="0" w:right="0" w:firstLine="420" w:firstLineChars="200"/>
        <w:jc w:val="both"/>
        <w:rPr>
          <w:rFonts w:hint="eastAsia"/>
        </w:rPr>
      </w:pPr>
      <w:r>
        <w:rPr>
          <w:rFonts w:hint="eastAsia"/>
        </w:rPr>
        <w:t>十</w:t>
      </w:r>
      <w:r>
        <w:rPr>
          <w:rFonts w:hint="eastAsia"/>
          <w:lang w:eastAsia="zh-CN"/>
        </w:rPr>
        <w:t>、</w:t>
      </w:r>
      <w:r>
        <w:rPr>
          <w:rFonts w:hint="eastAsia"/>
        </w:rPr>
        <w:t>本承诺函由我单位盖章及法定代表人（授权委托人）本人亲自盖章或签字确认</w:t>
      </w:r>
      <w:r>
        <w:rPr>
          <w:rFonts w:hint="eastAsia" w:ascii="宋体" w:hAnsi="宋体" w:eastAsia="宋体" w:cs="宋体"/>
          <w:kern w:val="2"/>
          <w:sz w:val="21"/>
          <w:szCs w:val="21"/>
          <w:lang w:val="en-US" w:eastAsia="zh-CN" w:bidi="ar"/>
        </w:rPr>
        <w:t>。</w:t>
      </w:r>
    </w:p>
    <w:p w14:paraId="1B80A62F">
      <w:pPr>
        <w:spacing w:line="440" w:lineRule="exact"/>
        <w:ind w:firstLine="420" w:firstLineChars="200"/>
        <w:rPr>
          <w:rFonts w:hint="eastAsia"/>
        </w:rPr>
      </w:pPr>
    </w:p>
    <w:p w14:paraId="0E362B14">
      <w:pPr>
        <w:spacing w:line="440" w:lineRule="exact"/>
        <w:ind w:firstLine="5145" w:firstLineChars="2450"/>
      </w:pPr>
      <w:r>
        <w:rPr>
          <w:rFonts w:hint="eastAsia"/>
        </w:rPr>
        <w:t>承诺单位：（盖单位章）</w:t>
      </w:r>
    </w:p>
    <w:p w14:paraId="34B3BF74">
      <w:pPr>
        <w:spacing w:line="440" w:lineRule="exact"/>
        <w:ind w:firstLine="4095" w:firstLineChars="1950"/>
        <w:rPr>
          <w:rFonts w:hint="eastAsia"/>
        </w:rPr>
      </w:pPr>
      <w:r>
        <w:rPr>
          <w:rFonts w:hint="eastAsia"/>
        </w:rPr>
        <w:t>法定代表人或授权委托人：（签章）</w:t>
      </w:r>
    </w:p>
    <w:p w14:paraId="57C6FBC5">
      <w:pPr>
        <w:spacing w:line="440" w:lineRule="exact"/>
        <w:ind w:right="420" w:firstLine="420" w:firstLineChars="200"/>
        <w:jc w:val="center"/>
        <w:rPr>
          <w:rFonts w:hint="eastAsia"/>
        </w:rPr>
        <w:sectPr>
          <w:footerReference r:id="rId24" w:type="default"/>
          <w:pgSz w:w="11906" w:h="16838"/>
          <w:pgMar w:top="1440" w:right="1800" w:bottom="1440" w:left="1800" w:header="851" w:footer="992" w:gutter="0"/>
          <w:pgNumType w:fmt="decimal"/>
          <w:cols w:space="425" w:num="1"/>
          <w:docGrid w:type="lines" w:linePitch="312" w:charSpace="0"/>
        </w:sectPr>
      </w:pPr>
      <w:r>
        <w:t xml:space="preserve">                               </w:t>
      </w:r>
      <w:r>
        <w:rPr>
          <w:rFonts w:hint="eastAsia"/>
        </w:rPr>
        <w:t>承诺时间：</w:t>
      </w:r>
      <w:r>
        <w:rPr>
          <w:rFonts w:hint="eastAsia"/>
        </w:rPr>
        <w:tab/>
      </w:r>
      <w:r>
        <w:t xml:space="preserve">  </w:t>
      </w:r>
      <w:r>
        <w:rPr>
          <w:rFonts w:hint="eastAsia"/>
        </w:rPr>
        <w:t xml:space="preserve">年 </w:t>
      </w:r>
      <w:r>
        <w:t xml:space="preserve"> </w:t>
      </w:r>
      <w:r>
        <w:rPr>
          <w:rFonts w:hint="eastAsia"/>
        </w:rPr>
        <w:t>月  日</w:t>
      </w:r>
    </w:p>
    <w:p w14:paraId="14299464">
      <w:pPr>
        <w:pStyle w:val="25"/>
        <w:spacing w:before="312" w:beforeLines="100"/>
        <w:jc w:val="center"/>
        <w:rPr>
          <w:sz w:val="28"/>
          <w:szCs w:val="28"/>
        </w:rPr>
      </w:pPr>
      <w:bookmarkStart w:id="2266" w:name="_Toc122603073"/>
      <w:bookmarkStart w:id="2267" w:name="_Toc256000410"/>
      <w:r>
        <w:rPr>
          <w:rFonts w:hint="eastAsia"/>
          <w:sz w:val="28"/>
          <w:szCs w:val="28"/>
          <w:lang w:eastAsia="zh-CN"/>
        </w:rPr>
        <w:t>（</w:t>
      </w:r>
      <w:r>
        <w:rPr>
          <w:rFonts w:hint="eastAsia"/>
          <w:sz w:val="28"/>
          <w:szCs w:val="28"/>
          <w:lang w:val="en-US" w:eastAsia="zh-CN"/>
        </w:rPr>
        <w:t>四</w:t>
      </w:r>
      <w:r>
        <w:rPr>
          <w:rFonts w:hint="eastAsia"/>
          <w:sz w:val="28"/>
          <w:szCs w:val="28"/>
          <w:lang w:eastAsia="zh-CN"/>
        </w:rPr>
        <w:t>）</w:t>
      </w:r>
      <w:r>
        <w:rPr>
          <w:rFonts w:hint="eastAsia"/>
          <w:sz w:val="28"/>
          <w:szCs w:val="28"/>
        </w:rPr>
        <w:t>声明函</w:t>
      </w:r>
      <w:bookmarkEnd w:id="2266"/>
      <w:bookmarkEnd w:id="2267"/>
    </w:p>
    <w:p w14:paraId="661DC6FB">
      <w:pPr>
        <w:spacing w:line="440" w:lineRule="exact"/>
        <w:ind w:firstLine="420" w:firstLineChars="200"/>
      </w:pPr>
    </w:p>
    <w:p w14:paraId="525C2AA1">
      <w:pPr>
        <w:spacing w:line="440" w:lineRule="exact"/>
        <w:ind w:right="420" w:firstLine="420" w:firstLineChars="200"/>
      </w:pPr>
      <w:r>
        <w:rPr>
          <w:rFonts w:hint="eastAsia"/>
        </w:rPr>
        <w:t>在本项目编制投标文件过程中，我单位声明如下：</w:t>
      </w:r>
    </w:p>
    <w:p w14:paraId="70F7486D">
      <w:pPr>
        <w:spacing w:line="440" w:lineRule="exact"/>
        <w:ind w:right="420" w:firstLine="420" w:firstLineChars="200"/>
      </w:pPr>
      <w:r>
        <w:rPr>
          <w:rFonts w:hint="eastAsia"/>
        </w:rPr>
        <w:t>一、未与本标段其他投标人委托同一单位或同一人编制投标文件；</w:t>
      </w:r>
    </w:p>
    <w:p w14:paraId="5CC1E477">
      <w:pPr>
        <w:spacing w:line="440" w:lineRule="exact"/>
        <w:ind w:right="420" w:firstLine="420" w:firstLineChars="200"/>
      </w:pPr>
      <w:r>
        <w:rPr>
          <w:rFonts w:hint="eastAsia"/>
        </w:rPr>
        <w:t>二、未与本标段其他投标人协商投标报价；</w:t>
      </w:r>
    </w:p>
    <w:p w14:paraId="133E5F71">
      <w:pPr>
        <w:spacing w:line="440" w:lineRule="exact"/>
        <w:ind w:right="420" w:firstLine="420" w:firstLineChars="200"/>
      </w:pPr>
      <w:r>
        <w:rPr>
          <w:rFonts w:hint="eastAsia"/>
        </w:rPr>
        <w:t>三、未与本标段其他投标人使用同一电脑等电子设备编制投标文件；</w:t>
      </w:r>
    </w:p>
    <w:p w14:paraId="1E5C88F1">
      <w:pPr>
        <w:spacing w:line="440" w:lineRule="exact"/>
        <w:ind w:right="420" w:firstLine="420" w:firstLineChars="200"/>
      </w:pPr>
      <w:r>
        <w:rPr>
          <w:rFonts w:hint="eastAsia"/>
        </w:rPr>
        <w:t>四、未使用“网络虚拟设备”等无法识别电子设备归属的电脑编制投标文件；</w:t>
      </w:r>
    </w:p>
    <w:p w14:paraId="65D8E221">
      <w:pPr>
        <w:spacing w:line="440" w:lineRule="exact"/>
        <w:ind w:right="420" w:firstLine="420" w:firstLineChars="200"/>
      </w:pPr>
      <w:r>
        <w:rPr>
          <w:rFonts w:hint="eastAsia"/>
        </w:rPr>
        <w:t>五、本项目技术标（施工组织设计）是针对本项目现场实际、技术特点以及施工图纸而编制的相应的技术方案，在编制过程中未抄袭、摘抄网络或其他项目相关技术资料，对文件内容具有独立自主知识产权；</w:t>
      </w:r>
    </w:p>
    <w:p w14:paraId="2B94DEE0">
      <w:pPr>
        <w:spacing w:line="440" w:lineRule="exact"/>
        <w:ind w:right="420" w:firstLine="420" w:firstLineChars="200"/>
      </w:pPr>
      <w:r>
        <w:rPr>
          <w:rFonts w:hint="eastAsia"/>
        </w:rPr>
        <w:t>六、本项目经济标（投标报价）是依据本项目给定的图纸、工程量清单、最高投标限价以及现场实际独立编制的，对投标报价编制的完整性、准确性负责；</w:t>
      </w:r>
    </w:p>
    <w:p w14:paraId="72F0F958">
      <w:pPr>
        <w:spacing w:line="440" w:lineRule="exact"/>
        <w:ind w:right="420" w:firstLine="420" w:firstLineChars="200"/>
      </w:pPr>
      <w:r>
        <w:rPr>
          <w:rFonts w:hint="eastAsia"/>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w:t>
      </w:r>
      <w:r>
        <w:rPr>
          <w:rFonts w:hint="eastAsia"/>
          <w:lang w:val="en-US" w:eastAsia="zh-CN"/>
        </w:rPr>
        <w:t>提供</w:t>
      </w:r>
      <w:r>
        <w:rPr>
          <w:rFonts w:hint="eastAsia"/>
        </w:rPr>
        <w:t>材料的有效性、真实性和完整性。</w:t>
      </w:r>
    </w:p>
    <w:p w14:paraId="1FA79A5B">
      <w:pPr>
        <w:spacing w:line="440" w:lineRule="exact"/>
        <w:ind w:right="420" w:firstLine="420" w:firstLineChars="200"/>
      </w:pPr>
      <w:r>
        <w:rPr>
          <w:rFonts w:hint="eastAsia"/>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0C86E11D">
      <w:pPr>
        <w:spacing w:line="440" w:lineRule="exact"/>
        <w:ind w:right="420" w:firstLine="420" w:firstLineChars="200"/>
      </w:pPr>
      <w:r>
        <w:rPr>
          <w:rFonts w:hint="eastAsia"/>
        </w:rPr>
        <w:t>特此声明！</w:t>
      </w:r>
    </w:p>
    <w:p w14:paraId="2C4F0A32">
      <w:pPr>
        <w:spacing w:line="440" w:lineRule="exact"/>
        <w:ind w:right="420" w:firstLine="420" w:firstLineChars="200"/>
        <w:jc w:val="center"/>
      </w:pPr>
    </w:p>
    <w:p w14:paraId="4CEFF1FD">
      <w:pPr>
        <w:spacing w:line="440" w:lineRule="exact"/>
        <w:ind w:right="420" w:firstLine="420" w:firstLineChars="200"/>
        <w:jc w:val="center"/>
        <w:rPr>
          <w:rFonts w:ascii="宋体" w:hAnsi="宋体"/>
          <w:szCs w:val="21"/>
        </w:rPr>
      </w:pPr>
    </w:p>
    <w:p w14:paraId="41DD1094">
      <w:pPr>
        <w:spacing w:line="440" w:lineRule="exact"/>
        <w:ind w:right="420" w:firstLine="420" w:firstLineChars="200"/>
        <w:jc w:val="center"/>
        <w:rPr>
          <w:rFonts w:ascii="宋体" w:hAnsi="宋体"/>
          <w:szCs w:val="21"/>
        </w:rPr>
      </w:pPr>
    </w:p>
    <w:p w14:paraId="7F988093">
      <w:pPr>
        <w:spacing w:line="440" w:lineRule="exact"/>
        <w:ind w:firstLine="4095" w:firstLineChars="1950"/>
      </w:pPr>
      <w:r>
        <w:rPr>
          <w:rFonts w:hint="eastAsia"/>
        </w:rPr>
        <w:t>声明单位：（盖单位章）</w:t>
      </w:r>
    </w:p>
    <w:p w14:paraId="0F392BE7">
      <w:pPr>
        <w:spacing w:line="440" w:lineRule="exact"/>
        <w:ind w:firstLine="4095" w:firstLineChars="1950"/>
      </w:pPr>
      <w:r>
        <w:rPr>
          <w:rFonts w:hint="eastAsia"/>
        </w:rPr>
        <w:t>法定代表人或授权委托人：（签章）</w:t>
      </w:r>
    </w:p>
    <w:p w14:paraId="2AF9AD10">
      <w:pPr>
        <w:spacing w:line="440" w:lineRule="exact"/>
        <w:ind w:right="420" w:firstLine="420" w:firstLineChars="200"/>
        <w:jc w:val="center"/>
      </w:pPr>
      <w:r>
        <w:t xml:space="preserve">                                   </w:t>
      </w:r>
      <w:r>
        <w:rPr>
          <w:rFonts w:hint="eastAsia"/>
        </w:rPr>
        <w:t>声明时间：</w:t>
      </w:r>
      <w:r>
        <w:rPr>
          <w:rFonts w:hint="eastAsia"/>
        </w:rPr>
        <w:tab/>
      </w:r>
      <w:r>
        <w:t xml:space="preserve">  </w:t>
      </w:r>
      <w:r>
        <w:rPr>
          <w:rFonts w:hint="eastAsia"/>
        </w:rPr>
        <w:t xml:space="preserve">年 </w:t>
      </w:r>
      <w:r>
        <w:rPr>
          <w:rFonts w:hint="eastAsia"/>
        </w:rPr>
        <w:tab/>
      </w:r>
      <w:r>
        <w:t xml:space="preserve">    </w:t>
      </w:r>
      <w:r>
        <w:rPr>
          <w:rFonts w:hint="eastAsia"/>
        </w:rPr>
        <w:t xml:space="preserve">月  </w:t>
      </w:r>
      <w:r>
        <w:rPr>
          <w:rFonts w:hint="eastAsia"/>
        </w:rPr>
        <w:tab/>
      </w:r>
      <w:r>
        <w:rPr>
          <w:rFonts w:hint="eastAsia"/>
        </w:rPr>
        <w:t>日</w:t>
      </w:r>
    </w:p>
    <w:p w14:paraId="31DF539E">
      <w:pPr>
        <w:sectPr>
          <w:footerReference r:id="rId25" w:type="default"/>
          <w:pgSz w:w="11906" w:h="16838"/>
          <w:pgMar w:top="1440" w:right="1800" w:bottom="1440" w:left="1800" w:header="851" w:footer="992" w:gutter="0"/>
          <w:cols w:space="425" w:num="1"/>
          <w:docGrid w:type="lines" w:linePitch="312" w:charSpace="0"/>
        </w:sectPr>
      </w:pPr>
    </w:p>
    <w:p w14:paraId="6192A046">
      <w:pPr>
        <w:bidi w:val="0"/>
        <w:rPr>
          <w:rFonts w:hint="default"/>
        </w:rPr>
      </w:pPr>
    </w:p>
    <w:p w14:paraId="3D32DE23">
      <w:pPr>
        <w:bidi w:val="0"/>
        <w:rPr>
          <w:rFonts w:hint="default"/>
        </w:rPr>
      </w:pPr>
    </w:p>
    <w:p w14:paraId="66BD99FF">
      <w:pPr>
        <w:bidi w:val="0"/>
        <w:rPr>
          <w:rFonts w:hint="default"/>
        </w:rPr>
      </w:pPr>
    </w:p>
    <w:p w14:paraId="41C42C0C">
      <w:pPr>
        <w:bidi w:val="0"/>
        <w:rPr>
          <w:rFonts w:hint="default"/>
        </w:rPr>
      </w:pPr>
    </w:p>
    <w:p w14:paraId="238C97B4">
      <w:pPr>
        <w:bidi w:val="0"/>
        <w:rPr>
          <w:rFonts w:hint="default"/>
        </w:rPr>
      </w:pPr>
    </w:p>
    <w:p w14:paraId="23B7E64B">
      <w:pPr>
        <w:bidi w:val="0"/>
        <w:rPr>
          <w:rFonts w:hint="default"/>
        </w:rPr>
      </w:pPr>
    </w:p>
    <w:p w14:paraId="60B5C901">
      <w:pPr>
        <w:bidi w:val="0"/>
        <w:rPr>
          <w:rFonts w:hint="default"/>
        </w:rPr>
      </w:pPr>
    </w:p>
    <w:p w14:paraId="3866E502">
      <w:pPr>
        <w:bidi w:val="0"/>
        <w:rPr>
          <w:rFonts w:hint="default"/>
        </w:rPr>
      </w:pPr>
    </w:p>
    <w:p w14:paraId="4DD19822">
      <w:pPr>
        <w:bidi w:val="0"/>
        <w:rPr>
          <w:rFonts w:hint="default"/>
        </w:rPr>
      </w:pPr>
    </w:p>
    <w:p w14:paraId="331EB926">
      <w:pPr>
        <w:bidi w:val="0"/>
        <w:rPr>
          <w:rFonts w:hint="default"/>
        </w:rPr>
      </w:pPr>
    </w:p>
    <w:p w14:paraId="2D6EAE05">
      <w:pPr>
        <w:bidi w:val="0"/>
        <w:rPr>
          <w:rFonts w:hint="default"/>
        </w:rPr>
      </w:pPr>
    </w:p>
    <w:p w14:paraId="3B39A64D">
      <w:pPr>
        <w:bidi w:val="0"/>
        <w:rPr>
          <w:rFonts w:hint="default"/>
        </w:rPr>
      </w:pPr>
    </w:p>
    <w:p w14:paraId="2AC4A5EE">
      <w:pPr>
        <w:bidi w:val="0"/>
        <w:rPr>
          <w:rFonts w:hint="default"/>
        </w:rPr>
      </w:pPr>
    </w:p>
    <w:p w14:paraId="1BBC8BDE">
      <w:pPr>
        <w:bidi w:val="0"/>
        <w:rPr>
          <w:rFonts w:hint="default"/>
        </w:rPr>
      </w:pPr>
    </w:p>
    <w:p w14:paraId="2AF4643E">
      <w:pPr>
        <w:pStyle w:val="23"/>
        <w:widowControl/>
        <w:ind w:left="0" w:right="0"/>
        <w:jc w:val="center"/>
        <w:rPr>
          <w:b w:val="0"/>
          <w:bCs w:val="0"/>
        </w:rPr>
        <w:sectPr>
          <w:footerReference r:id="rId26" w:type="default"/>
          <w:pgSz w:w="11906" w:h="16838"/>
          <w:pgMar w:top="1440" w:right="1800" w:bottom="1440" w:left="1800" w:header="851" w:footer="992" w:gutter="0"/>
          <w:pgNumType w:fmt="decimal"/>
          <w:cols w:space="425" w:num="1"/>
          <w:docGrid w:type="lines" w:linePitch="312" w:charSpace="0"/>
        </w:sectPr>
      </w:pPr>
      <w:bookmarkStart w:id="2268" w:name="_Toc256000411"/>
      <w:r>
        <w:rPr>
          <w:rFonts w:hint="default" w:ascii="黑体" w:hAnsi="宋体" w:cs="黑体"/>
          <w:b w:val="0"/>
          <w:bCs w:val="0"/>
          <w:kern w:val="2"/>
          <w:sz w:val="28"/>
          <w:szCs w:val="28"/>
        </w:rPr>
        <w:t>二</w:t>
      </w:r>
      <w:r>
        <w:rPr>
          <w:rFonts w:hint="eastAsia" w:ascii="黑体" w:hAnsi="宋体" w:eastAsia="黑体" w:cs="黑体"/>
          <w:b w:val="0"/>
          <w:bCs w:val="0"/>
          <w:kern w:val="2"/>
          <w:sz w:val="28"/>
          <w:szCs w:val="28"/>
        </w:rPr>
        <w:t>、法定代表人身份证明或授权委托书</w:t>
      </w:r>
      <w:bookmarkEnd w:id="2268"/>
    </w:p>
    <w:p w14:paraId="3C7F9021">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lang w:eastAsia="zh-CN"/>
        </w:rPr>
      </w:pPr>
      <w:bookmarkStart w:id="2269" w:name="_Toc122603074"/>
      <w:bookmarkStart w:id="2270" w:name="_Toc256000412"/>
      <w:r>
        <w:rPr>
          <w:rFonts w:hint="eastAsia"/>
          <w:sz w:val="28"/>
          <w:szCs w:val="28"/>
          <w:lang w:eastAsia="zh-CN"/>
        </w:rPr>
        <w:t>（</w:t>
      </w:r>
      <w:r>
        <w:rPr>
          <w:rFonts w:hint="default"/>
          <w:sz w:val="28"/>
          <w:szCs w:val="28"/>
          <w:lang w:eastAsia="zh-CN"/>
        </w:rPr>
        <w:t>一</w:t>
      </w:r>
      <w:r>
        <w:rPr>
          <w:rFonts w:hint="eastAsia"/>
          <w:sz w:val="28"/>
          <w:szCs w:val="28"/>
          <w:lang w:eastAsia="zh-CN"/>
        </w:rPr>
        <w:t>）法定代表人身份证明</w:t>
      </w:r>
      <w:bookmarkEnd w:id="2269"/>
      <w:bookmarkEnd w:id="2270"/>
    </w:p>
    <w:p w14:paraId="54C1F0E7">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p>
    <w:p w14:paraId="59D8F772">
      <w:pPr>
        <w:spacing w:line="500" w:lineRule="exact"/>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1A75C199">
      <w:pPr>
        <w:spacing w:line="500" w:lineRule="exac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28071F7B">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21394B1">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5F959213">
      <w:pPr>
        <w:spacing w:line="500" w:lineRule="exac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6D4852C8">
      <w:pPr>
        <w:spacing w:line="500" w:lineRule="exact"/>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2A913D48">
      <w:pPr>
        <w:spacing w:line="50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4A20A15D">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r>
        <w:rPr>
          <w:rFonts w:hint="eastAsia" w:ascii="宋体" w:hAnsi="宋体"/>
          <w:szCs w:val="21"/>
        </w:rPr>
        <w:t>特此证明。</w:t>
      </w:r>
    </w:p>
    <w:p w14:paraId="7A2294BD">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p>
    <w:p w14:paraId="68874A15">
      <w:pPr>
        <w:spacing w:line="500" w:lineRule="exact"/>
        <w:rPr>
          <w:rFonts w:hint="eastAsia" w:ascii="宋体" w:hAnsi="宋体"/>
          <w:szCs w:val="21"/>
        </w:rPr>
      </w:pPr>
    </w:p>
    <w:p w14:paraId="21CF477D">
      <w:pPr>
        <w:spacing w:line="500" w:lineRule="exact"/>
        <w:rPr>
          <w:rFonts w:hint="eastAsia" w:ascii="宋体" w:hAnsi="宋体"/>
          <w:szCs w:val="21"/>
        </w:rPr>
      </w:pPr>
    </w:p>
    <w:p w14:paraId="38651D55">
      <w:pPr>
        <w:wordWrap w:val="0"/>
        <w:spacing w:line="50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341DFA48">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657ECCF6">
      <w:pPr>
        <w:sectPr>
          <w:footerReference r:id="rId27" w:type="default"/>
          <w:pgSz w:w="11906" w:h="16838"/>
          <w:pgMar w:top="1440" w:right="1800" w:bottom="1440" w:left="1800" w:header="851" w:footer="992" w:gutter="0"/>
          <w:pgNumType w:fmt="decimal"/>
          <w:cols w:space="425" w:num="1"/>
          <w:docGrid w:type="lines" w:linePitch="312" w:charSpace="0"/>
        </w:sectPr>
      </w:pPr>
    </w:p>
    <w:p w14:paraId="5E4A01FC">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rPr>
      </w:pPr>
      <w:bookmarkStart w:id="2271" w:name="_Toc256000413"/>
      <w:bookmarkStart w:id="2272" w:name="_Toc122603075"/>
      <w:r>
        <w:rPr>
          <w:rFonts w:hint="eastAsia"/>
          <w:sz w:val="28"/>
          <w:szCs w:val="28"/>
          <w:lang w:eastAsia="zh-CN"/>
        </w:rPr>
        <w:t>（</w:t>
      </w:r>
      <w:r>
        <w:rPr>
          <w:rFonts w:hint="default"/>
          <w:sz w:val="28"/>
          <w:szCs w:val="28"/>
          <w:lang w:eastAsia="zh-CN"/>
        </w:rPr>
        <w:t>二</w:t>
      </w:r>
      <w:r>
        <w:rPr>
          <w:rFonts w:hint="eastAsia"/>
          <w:sz w:val="28"/>
          <w:szCs w:val="28"/>
          <w:lang w:eastAsia="zh-CN"/>
        </w:rPr>
        <w:t>）授权委托书</w:t>
      </w:r>
      <w:bookmarkEnd w:id="2271"/>
      <w:bookmarkEnd w:id="2272"/>
    </w:p>
    <w:p w14:paraId="76CCD921">
      <w:pPr>
        <w:spacing w:line="50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bookmarkStart w:id="2273" w:name="_Hlk152154310"/>
      <w:r>
        <w:rPr>
          <w:rFonts w:hint="eastAsia" w:ascii="宋体" w:hAnsi="宋体"/>
          <w:szCs w:val="21"/>
          <w:u w:val="single"/>
        </w:rPr>
        <w:t xml:space="preserve">           </w:t>
      </w:r>
      <w:r>
        <w:rPr>
          <w:rFonts w:hint="eastAsia" w:ascii="宋体" w:hAnsi="宋体"/>
          <w:szCs w:val="21"/>
        </w:rPr>
        <w:t>（标段名称）项目</w:t>
      </w:r>
      <w:r>
        <w:rPr>
          <w:rFonts w:hint="eastAsia"/>
        </w:rPr>
        <w:t>（标段唯一标识码：</w:t>
      </w:r>
      <w:r>
        <w:rPr>
          <w:rFonts w:hint="eastAsia"/>
          <w:u w:val="single"/>
        </w:rPr>
        <w:t xml:space="preserve"> </w:t>
      </w:r>
      <w:r>
        <w:rPr>
          <w:u w:val="single"/>
        </w:rPr>
        <w:t xml:space="preserve">         </w:t>
      </w:r>
      <w:r>
        <w:rPr>
          <w:rFonts w:hint="eastAsia"/>
        </w:rPr>
        <w:t>）</w:t>
      </w:r>
      <w:bookmarkEnd w:id="2273"/>
      <w:r>
        <w:rPr>
          <w:rFonts w:hint="eastAsia" w:ascii="宋体" w:hAnsi="宋体"/>
          <w:szCs w:val="21"/>
        </w:rPr>
        <w:t>投标文件、签订合同和处理有关事宜，其法律后果由我方承担。</w:t>
      </w:r>
    </w:p>
    <w:p w14:paraId="6FF7F066">
      <w:pPr>
        <w:spacing w:before="120" w:beforeLines="50" w:line="500" w:lineRule="exact"/>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67B084F4">
      <w:pPr>
        <w:spacing w:before="240" w:beforeLines="100" w:after="240" w:afterLines="100" w:line="500" w:lineRule="exact"/>
        <w:ind w:firstLine="420" w:firstLineChars="200"/>
        <w:rPr>
          <w:rFonts w:ascii="宋体" w:hAnsi="宋体"/>
          <w:szCs w:val="21"/>
        </w:rPr>
      </w:pPr>
      <w:r>
        <w:rPr>
          <w:rFonts w:hint="eastAsia" w:ascii="宋体" w:hAnsi="宋体"/>
          <w:szCs w:val="21"/>
        </w:rPr>
        <w:t>代理人无转委托权。</w:t>
      </w:r>
    </w:p>
    <w:p w14:paraId="1D010AE0">
      <w:pPr>
        <w:spacing w:line="500" w:lineRule="exact"/>
        <w:jc w:val="center"/>
        <w:rPr>
          <w:rFonts w:ascii="宋体" w:hAnsi="宋体"/>
          <w:szCs w:val="21"/>
        </w:rPr>
      </w:pPr>
      <w:r>
        <w:rPr>
          <w:rFonts w:hint="eastAsia" w:ascii="宋体" w:hAnsi="宋体"/>
          <w:szCs w:val="21"/>
        </w:rPr>
        <w:t>（附授权委托人身份证正反面复印件）</w:t>
      </w:r>
    </w:p>
    <w:p w14:paraId="34DA552B">
      <w:pPr>
        <w:spacing w:line="500" w:lineRule="exact"/>
        <w:rPr>
          <w:rFonts w:hint="eastAsia" w:ascii="宋体" w:hAnsi="宋体"/>
          <w:szCs w:val="21"/>
        </w:rPr>
      </w:pPr>
    </w:p>
    <w:p w14:paraId="7A7BFBEE">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投  标  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（盖单位章）</w:t>
      </w:r>
    </w:p>
    <w:p w14:paraId="1D62F9C3">
      <w:pPr>
        <w:spacing w:line="400" w:lineRule="exact"/>
        <w:ind w:firstLine="3570" w:firstLineChars="1700"/>
        <w:rPr>
          <w:rFonts w:hint="eastAsia" w:ascii="宋体" w:hAnsi="宋体" w:cs="宋体"/>
          <w:b w:val="0"/>
          <w:bCs w:val="0"/>
          <w:szCs w:val="21"/>
        </w:rPr>
      </w:pPr>
    </w:p>
    <w:p w14:paraId="1D346F99">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法定代表人：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3EFF0DDC">
      <w:pPr>
        <w:spacing w:line="400" w:lineRule="exact"/>
        <w:ind w:firstLine="3570" w:firstLineChars="1700"/>
        <w:rPr>
          <w:rFonts w:hint="eastAsia" w:ascii="宋体" w:hAnsi="宋体" w:cs="宋体"/>
          <w:b w:val="0"/>
          <w:bCs w:val="0"/>
          <w:szCs w:val="21"/>
        </w:rPr>
      </w:pPr>
    </w:p>
    <w:p w14:paraId="63E43807">
      <w:pPr>
        <w:spacing w:line="400" w:lineRule="exact"/>
        <w:ind w:firstLine="3570" w:firstLineChars="1700"/>
        <w:rPr>
          <w:rFonts w:hint="eastAsia" w:ascii="宋体" w:hAnsi="宋体" w:cs="宋体"/>
          <w:b w:val="0"/>
          <w:bCs w:val="0"/>
          <w:szCs w:val="21"/>
          <w:u w:val="single"/>
        </w:rPr>
      </w:pPr>
      <w:r>
        <w:rPr>
          <w:rFonts w:hint="eastAsia" w:ascii="宋体" w:hAnsi="宋体" w:eastAsia="宋体" w:cs="宋体"/>
          <w:b w:val="0"/>
          <w:bCs w:val="0"/>
          <w:szCs w:val="21"/>
        </w:rPr>
        <w:t>身份证号码：</w:t>
      </w:r>
      <w:r>
        <w:rPr>
          <w:rFonts w:hint="eastAsia" w:ascii="宋体" w:hAnsi="宋体" w:eastAsia="宋体" w:cs="宋体"/>
          <w:b w:val="0"/>
          <w:bCs w:val="0"/>
          <w:szCs w:val="21"/>
          <w:u w:val="single"/>
        </w:rPr>
        <w:t xml:space="preserve">                              </w:t>
      </w:r>
    </w:p>
    <w:p w14:paraId="56E91812">
      <w:pPr>
        <w:spacing w:line="400" w:lineRule="exact"/>
        <w:ind w:firstLine="3570" w:firstLineChars="1700"/>
        <w:rPr>
          <w:rFonts w:hint="eastAsia" w:ascii="宋体" w:hAnsi="宋体" w:cs="宋体"/>
          <w:b w:val="0"/>
          <w:bCs w:val="0"/>
          <w:szCs w:val="21"/>
          <w:u w:val="single"/>
        </w:rPr>
      </w:pPr>
    </w:p>
    <w:p w14:paraId="797E1364">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委托代理人：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1E74E938">
      <w:pPr>
        <w:spacing w:line="400" w:lineRule="exact"/>
        <w:ind w:firstLine="3570" w:firstLineChars="1700"/>
        <w:rPr>
          <w:rFonts w:hint="eastAsia" w:ascii="宋体" w:hAnsi="宋体" w:cs="宋体"/>
          <w:b w:val="0"/>
          <w:bCs w:val="0"/>
          <w:szCs w:val="21"/>
        </w:rPr>
      </w:pPr>
    </w:p>
    <w:p w14:paraId="5290DE3A">
      <w:pPr>
        <w:spacing w:line="400" w:lineRule="exact"/>
        <w:ind w:firstLine="3570" w:firstLineChars="1700"/>
        <w:rPr>
          <w:rFonts w:hint="eastAsia" w:ascii="黑体" w:hAnsi="宋体" w:eastAsia="黑体"/>
          <w:szCs w:val="21"/>
          <w:u w:val="single"/>
        </w:rPr>
      </w:pPr>
      <w:r>
        <w:rPr>
          <w:rFonts w:hint="eastAsia" w:ascii="宋体" w:hAnsi="宋体" w:eastAsia="宋体" w:cs="宋体"/>
          <w:b w:val="0"/>
          <w:bCs w:val="0"/>
          <w:szCs w:val="21"/>
        </w:rPr>
        <w:t>身份证号码：</w:t>
      </w:r>
      <w:r>
        <w:rPr>
          <w:rFonts w:hint="eastAsia" w:ascii="黑体" w:hAnsi="宋体" w:eastAsia="黑体"/>
          <w:szCs w:val="21"/>
          <w:u w:val="single"/>
        </w:rPr>
        <w:t xml:space="preserve">                              </w:t>
      </w:r>
    </w:p>
    <w:p w14:paraId="0F9DFC7D">
      <w:pPr>
        <w:spacing w:line="400" w:lineRule="exact"/>
        <w:rPr>
          <w:rFonts w:hint="eastAsia" w:ascii="黑体" w:hAnsi="宋体" w:eastAsia="黑体"/>
          <w:szCs w:val="21"/>
        </w:rPr>
      </w:pPr>
    </w:p>
    <w:p w14:paraId="6C8632DE">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569FCF">
      <w:pPr>
        <w:sectPr>
          <w:footerReference r:id="rId28" w:type="default"/>
          <w:pgSz w:w="11906" w:h="16838"/>
          <w:pgMar w:top="1440" w:right="1800" w:bottom="1440" w:left="1800" w:header="851" w:footer="992" w:gutter="0"/>
          <w:pgNumType w:fmt="decimal"/>
          <w:cols w:space="425" w:num="1"/>
          <w:docGrid w:type="lines" w:linePitch="312" w:charSpace="0"/>
        </w:sectPr>
      </w:pPr>
    </w:p>
    <w:p w14:paraId="651BC2EA">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rPr>
      </w:pPr>
      <w:bookmarkStart w:id="2274" w:name="_Toc122603076"/>
      <w:bookmarkStart w:id="2275" w:name="_Toc256000414"/>
      <w:r>
        <w:rPr>
          <w:rFonts w:hint="default"/>
          <w:color w:val="000000"/>
        </w:rPr>
        <w:t>三</w:t>
      </w:r>
      <w:r>
        <w:rPr>
          <w:rFonts w:hint="eastAsia"/>
          <w:color w:val="000000"/>
        </w:rPr>
        <w:t>、投标保证金</w:t>
      </w:r>
      <w:bookmarkEnd w:id="2274"/>
      <w:bookmarkEnd w:id="2275"/>
    </w:p>
    <w:p w14:paraId="06AE11EF">
      <w:pPr>
        <w:spacing w:line="400" w:lineRule="atLeast"/>
        <w:ind w:firstLine="390"/>
        <w:rPr>
          <w:rFonts w:ascii="宋体" w:hAnsi="宋体"/>
          <w:b/>
          <w:bCs/>
        </w:rPr>
      </w:pPr>
      <w:r>
        <w:rPr>
          <w:rFonts w:hint="eastAsia" w:ascii="宋体" w:hAnsi="宋体"/>
          <w:b/>
          <w:bCs/>
          <w:szCs w:val="21"/>
        </w:rPr>
        <w:t>（一）</w:t>
      </w:r>
      <w:r>
        <w:rPr>
          <w:rFonts w:ascii="宋体" w:hAnsi="宋体"/>
          <w:b/>
          <w:bCs/>
          <w:szCs w:val="21"/>
        </w:rPr>
        <w:t>若采用现金或支票，投标人应</w:t>
      </w:r>
      <w:r>
        <w:rPr>
          <w:rFonts w:hint="eastAsia" w:ascii="宋体" w:hAnsi="宋体"/>
          <w:b/>
          <w:bCs/>
          <w:szCs w:val="21"/>
        </w:rPr>
        <w:t>填写以下表格信息并</w:t>
      </w:r>
      <w:r>
        <w:rPr>
          <w:rFonts w:ascii="宋体" w:hAnsi="宋体"/>
          <w:b/>
          <w:bCs/>
          <w:szCs w:val="21"/>
        </w:rPr>
        <w:t>提供汇款凭证的扫描件。</w:t>
      </w:r>
    </w:p>
    <w:tbl>
      <w:tblPr>
        <w:tblStyle w:val="1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04F2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65FC6F3">
            <w:pPr>
              <w:jc w:val="center"/>
              <w:rPr>
                <w:rFonts w:ascii="宋体" w:hAnsi="宋体"/>
                <w:b/>
              </w:rPr>
            </w:pPr>
            <w:r>
              <w:rPr>
                <w:rFonts w:hint="eastAsia" w:ascii="宋体" w:hAnsi="宋体"/>
                <w:b/>
              </w:rPr>
              <w:t>现金汇款信息</w:t>
            </w:r>
          </w:p>
        </w:tc>
      </w:tr>
      <w:tr w14:paraId="3CF0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1A2864D4">
            <w:pPr>
              <w:jc w:val="center"/>
              <w:rPr>
                <w:rFonts w:ascii="宋体" w:hAnsi="宋体"/>
              </w:rPr>
            </w:pPr>
            <w:r>
              <w:rPr>
                <w:rFonts w:hint="eastAsia" w:ascii="宋体" w:hAnsi="宋体"/>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2B4A6A33">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4A71B86F">
            <w:pPr>
              <w:jc w:val="center"/>
              <w:rPr>
                <w:rFonts w:ascii="宋体" w:hAnsi="宋体"/>
              </w:rPr>
            </w:pPr>
            <w:r>
              <w:rPr>
                <w:rFonts w:hint="eastAsia" w:ascii="宋体" w:hAnsi="宋体"/>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7D2E7E1">
            <w:pPr>
              <w:rPr>
                <w:rFonts w:ascii="宋体" w:hAnsi="宋体"/>
              </w:rPr>
            </w:pPr>
          </w:p>
        </w:tc>
      </w:tr>
      <w:tr w14:paraId="7184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BE69281">
            <w:pPr>
              <w:jc w:val="center"/>
              <w:rPr>
                <w:rFonts w:ascii="宋体" w:hAnsi="宋体"/>
              </w:rPr>
            </w:pPr>
            <w:r>
              <w:rPr>
                <w:rFonts w:hint="eastAsia" w:ascii="宋体" w:hAnsi="宋体"/>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4162177">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75FF139A">
            <w:pPr>
              <w:jc w:val="center"/>
              <w:rPr>
                <w:rFonts w:ascii="宋体" w:hAnsi="宋体"/>
              </w:rPr>
            </w:pPr>
            <w:r>
              <w:rPr>
                <w:rFonts w:hint="eastAsia" w:ascii="宋体" w:hAnsi="宋体"/>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199AE0B1">
            <w:pPr>
              <w:rPr>
                <w:rFonts w:ascii="宋体" w:hAnsi="宋体"/>
              </w:rPr>
            </w:pPr>
          </w:p>
        </w:tc>
      </w:tr>
      <w:tr w14:paraId="4329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6328E765">
            <w:pPr>
              <w:jc w:val="center"/>
              <w:rPr>
                <w:rFonts w:ascii="宋体" w:hAnsi="宋体"/>
              </w:rPr>
            </w:pPr>
            <w:r>
              <w:rPr>
                <w:rFonts w:hint="eastAsia" w:ascii="宋体" w:hAnsi="宋体"/>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87167CC">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63F51FA">
            <w:pPr>
              <w:jc w:val="center"/>
              <w:rPr>
                <w:rFonts w:ascii="宋体" w:hAnsi="宋体"/>
              </w:rPr>
            </w:pPr>
            <w:r>
              <w:rPr>
                <w:rFonts w:hint="eastAsia" w:ascii="宋体" w:hAnsi="宋体"/>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54141ADF">
            <w:pPr>
              <w:rPr>
                <w:rFonts w:ascii="宋体" w:hAnsi="宋体"/>
              </w:rPr>
            </w:pPr>
          </w:p>
        </w:tc>
      </w:tr>
      <w:tr w14:paraId="6258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4006CD">
            <w:pPr>
              <w:jc w:val="center"/>
              <w:rPr>
                <w:rFonts w:ascii="宋体" w:hAnsi="宋体"/>
              </w:rPr>
            </w:pPr>
            <w:r>
              <w:rPr>
                <w:rFonts w:hint="eastAsia" w:ascii="宋体" w:hAnsi="宋体"/>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FBF43AD">
            <w:pPr>
              <w:rPr>
                <w:rFonts w:ascii="宋体" w:hAnsi="宋体"/>
              </w:rPr>
            </w:pPr>
            <w:r>
              <w:rPr>
                <w:rFonts w:hint="eastAsia" w:ascii="宋体" w:hAnsi="宋体"/>
              </w:rPr>
              <w:t>汇款凭证扫描件</w:t>
            </w:r>
          </w:p>
        </w:tc>
      </w:tr>
      <w:tr w14:paraId="5EC5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7780B4">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2B26E2">
            <w:pPr>
              <w:rPr>
                <w:rFonts w:ascii="宋体" w:hAnsi="宋体"/>
              </w:rPr>
            </w:pPr>
          </w:p>
        </w:tc>
      </w:tr>
      <w:tr w14:paraId="22D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825FF1">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B5E020">
            <w:pPr>
              <w:rPr>
                <w:rFonts w:ascii="宋体" w:hAnsi="宋体"/>
              </w:rPr>
            </w:pPr>
            <w:r>
              <w:rPr>
                <w:rFonts w:hint="eastAsia" w:ascii="宋体" w:hAnsi="宋体"/>
              </w:rPr>
              <w:t>基本户开户许可证（基本存款账户信息）扫描件</w:t>
            </w:r>
          </w:p>
        </w:tc>
      </w:tr>
      <w:tr w14:paraId="45A0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2CC022">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C96765D">
            <w:pPr>
              <w:rPr>
                <w:rFonts w:ascii="宋体" w:hAnsi="宋体"/>
              </w:rPr>
            </w:pPr>
          </w:p>
        </w:tc>
      </w:tr>
      <w:tr w14:paraId="22D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899F8A">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879A554">
            <w:pPr>
              <w:rPr>
                <w:rFonts w:ascii="宋体" w:hAnsi="宋体"/>
              </w:rPr>
            </w:pPr>
            <w:r>
              <w:rPr>
                <w:rFonts w:hint="eastAsia" w:ascii="宋体" w:hAnsi="宋体"/>
              </w:rPr>
              <w:t>其他材料</w:t>
            </w:r>
          </w:p>
        </w:tc>
      </w:tr>
      <w:tr w14:paraId="367E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41ABFC">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1DD7CD">
            <w:pPr>
              <w:rPr>
                <w:rFonts w:ascii="宋体" w:hAnsi="宋体"/>
              </w:rPr>
            </w:pPr>
          </w:p>
        </w:tc>
      </w:tr>
    </w:tbl>
    <w:p w14:paraId="265F3ECF">
      <w:pPr>
        <w:autoSpaceDE w:val="0"/>
        <w:autoSpaceDN w:val="0"/>
        <w:adjustRightInd w:val="0"/>
        <w:spacing w:line="360" w:lineRule="auto"/>
        <w:ind w:firstLine="400" w:firstLineChars="200"/>
        <w:rPr>
          <w:rFonts w:ascii="宋体" w:hAnsi="宋体"/>
          <w:sz w:val="20"/>
        </w:rPr>
      </w:pPr>
    </w:p>
    <w:p w14:paraId="3EEE29C7">
      <w:pPr>
        <w:spacing w:line="400" w:lineRule="atLeast"/>
        <w:ind w:firstLine="390"/>
        <w:rPr>
          <w:rFonts w:ascii="宋体" w:hAnsi="宋体"/>
          <w:b/>
          <w:bCs/>
        </w:rPr>
      </w:pPr>
      <w:r>
        <w:rPr>
          <w:rFonts w:hint="eastAsia" w:ascii="宋体" w:hAnsi="宋体"/>
          <w:b/>
          <w:bCs/>
          <w:szCs w:val="21"/>
        </w:rPr>
        <w:t>（二）</w:t>
      </w:r>
      <w:r>
        <w:rPr>
          <w:rFonts w:ascii="宋体" w:hAnsi="宋体"/>
          <w:b/>
          <w:bCs/>
          <w:szCs w:val="21"/>
        </w:rPr>
        <w:t>若</w:t>
      </w:r>
      <w:r>
        <w:rPr>
          <w:rFonts w:hint="eastAsia" w:ascii="宋体" w:hAnsi="宋体"/>
          <w:b/>
          <w:bCs/>
          <w:szCs w:val="21"/>
          <w:lang w:val="en-US" w:eastAsia="zh-CN"/>
        </w:rPr>
        <w:t>采用</w:t>
      </w:r>
      <w:r>
        <w:rPr>
          <w:rFonts w:hint="eastAsia" w:ascii="宋体" w:hAnsi="宋体"/>
          <w:b/>
          <w:bCs/>
          <w:szCs w:val="21"/>
        </w:rPr>
        <w:t>辽宁省工程建设项目电子保函保险基础服务平台</w:t>
      </w:r>
      <w:bookmarkStart w:id="2276" w:name="_Hlk150859078"/>
      <w:r>
        <w:rPr>
          <w:rFonts w:hint="eastAsia" w:ascii="宋体" w:hAnsi="宋体"/>
          <w:b/>
          <w:bCs/>
          <w:szCs w:val="21"/>
        </w:rPr>
        <w:t>（包含辽宁省建设工程领域电子保函保险基础公共服务平台及跨地区、跨行业自由服务试点的金融平台或金融机构）</w:t>
      </w:r>
      <w:bookmarkEnd w:id="2276"/>
      <w:r>
        <w:rPr>
          <w:rFonts w:hint="eastAsia" w:ascii="宋体" w:hAnsi="宋体"/>
          <w:b/>
          <w:bCs/>
          <w:szCs w:val="21"/>
        </w:rPr>
        <w:t>电子保函</w:t>
      </w:r>
      <w:r>
        <w:rPr>
          <w:rFonts w:ascii="宋体" w:hAnsi="宋体"/>
          <w:b/>
          <w:bCs/>
          <w:szCs w:val="21"/>
        </w:rPr>
        <w:t>，投标人应</w:t>
      </w:r>
      <w:r>
        <w:rPr>
          <w:rFonts w:hint="eastAsia" w:ascii="宋体" w:hAnsi="宋体"/>
          <w:b/>
          <w:bCs/>
          <w:szCs w:val="21"/>
        </w:rPr>
        <w:t>填写以下表格信息</w:t>
      </w:r>
      <w:r>
        <w:rPr>
          <w:rFonts w:ascii="宋体" w:hAnsi="宋体"/>
          <w:b/>
          <w:bCs/>
          <w:szCs w:val="21"/>
        </w:rPr>
        <w:t>。</w:t>
      </w:r>
    </w:p>
    <w:tbl>
      <w:tblPr>
        <w:tblStyle w:val="17"/>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66C7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2F9B08F8">
            <w:pPr>
              <w:jc w:val="center"/>
              <w:rPr>
                <w:rFonts w:ascii="宋体" w:hAnsi="宋体"/>
                <w:b/>
              </w:rPr>
            </w:pPr>
            <w:r>
              <w:rPr>
                <w:rFonts w:hint="eastAsia" w:ascii="宋体" w:hAnsi="宋体"/>
                <w:b/>
                <w:bCs/>
                <w:szCs w:val="21"/>
              </w:rPr>
              <w:t>辽宁省工程建设项目电子保函保险基础服务平台</w:t>
            </w:r>
            <w:r>
              <w:rPr>
                <w:rFonts w:hint="eastAsia" w:ascii="宋体" w:hAnsi="宋体"/>
                <w:b/>
              </w:rPr>
              <w:t>保函信息</w:t>
            </w:r>
          </w:p>
        </w:tc>
      </w:tr>
      <w:tr w14:paraId="7417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4D90B936">
            <w:pPr>
              <w:jc w:val="center"/>
              <w:rPr>
                <w:rFonts w:ascii="宋体" w:hAnsi="宋体"/>
              </w:rPr>
            </w:pPr>
            <w:r>
              <w:rPr>
                <w:rFonts w:hint="eastAsia" w:ascii="宋体" w:hAnsi="宋体"/>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149989E4">
            <w:pPr>
              <w:rPr>
                <w:rFonts w:ascii="宋体" w:hAnsi="宋体"/>
              </w:rPr>
            </w:pPr>
          </w:p>
        </w:tc>
      </w:tr>
      <w:tr w14:paraId="6DD6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3EBC12C6">
            <w:pPr>
              <w:jc w:val="center"/>
              <w:rPr>
                <w:rFonts w:ascii="宋体" w:hAnsi="宋体"/>
              </w:rPr>
            </w:pPr>
            <w:r>
              <w:rPr>
                <w:rFonts w:hint="eastAsia" w:ascii="宋体" w:hAnsi="宋体"/>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00E491AD">
            <w:pPr>
              <w:rPr>
                <w:rFonts w:ascii="宋体" w:hAnsi="宋体"/>
              </w:rPr>
            </w:pPr>
            <w:r>
              <w:rPr>
                <w:rFonts w:hint="eastAsia" w:ascii="宋体" w:hAnsi="宋体"/>
              </w:rPr>
              <w:t>电子保函扫描件</w:t>
            </w:r>
          </w:p>
        </w:tc>
      </w:tr>
      <w:tr w14:paraId="4523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90AFF9">
            <w:pPr>
              <w:widowControl/>
              <w:rPr>
                <w:rFonts w:ascii="宋体" w:hAnsi="宋体"/>
              </w:rPr>
            </w:pPr>
          </w:p>
        </w:tc>
        <w:tc>
          <w:tcPr>
            <w:tcW w:w="6642" w:type="dxa"/>
            <w:tcBorders>
              <w:top w:val="single" w:color="auto" w:sz="4" w:space="0"/>
              <w:left w:val="single" w:color="auto" w:sz="4" w:space="0"/>
              <w:bottom w:val="single" w:color="auto" w:sz="4" w:space="0"/>
              <w:right w:val="single" w:color="auto" w:sz="4" w:space="0"/>
            </w:tcBorders>
            <w:vAlign w:val="center"/>
          </w:tcPr>
          <w:p w14:paraId="2C3FD1ED">
            <w:pPr>
              <w:rPr>
                <w:rFonts w:ascii="宋体" w:hAnsi="宋体"/>
              </w:rPr>
            </w:pPr>
          </w:p>
        </w:tc>
      </w:tr>
    </w:tbl>
    <w:p w14:paraId="223FC3CD">
      <w:pPr>
        <w:spacing w:line="400" w:lineRule="atLeast"/>
        <w:ind w:firstLine="390"/>
        <w:rPr>
          <w:rFonts w:ascii="宋体" w:hAnsi="宋体"/>
          <w:szCs w:val="21"/>
        </w:rPr>
      </w:pPr>
    </w:p>
    <w:p w14:paraId="4B5228B7">
      <w:pPr>
        <w:spacing w:line="400" w:lineRule="atLeast"/>
        <w:ind w:firstLine="390"/>
        <w:rPr>
          <w:rFonts w:ascii="宋体" w:hAnsi="宋体"/>
          <w:b/>
          <w:bCs/>
        </w:rPr>
      </w:pPr>
      <w:r>
        <w:rPr>
          <w:rFonts w:hint="eastAsia" w:ascii="宋体" w:hAnsi="宋体"/>
          <w:b/>
          <w:bCs/>
          <w:szCs w:val="21"/>
        </w:rPr>
        <w:t>（三）</w:t>
      </w:r>
      <w:r>
        <w:rPr>
          <w:rFonts w:ascii="宋体" w:hAnsi="宋体"/>
          <w:b/>
          <w:bCs/>
          <w:szCs w:val="21"/>
        </w:rPr>
        <w:t>若</w:t>
      </w:r>
      <w:r>
        <w:rPr>
          <w:rFonts w:hint="eastAsia" w:ascii="宋体" w:hAnsi="宋体"/>
          <w:b/>
          <w:bCs/>
          <w:szCs w:val="21"/>
        </w:rPr>
        <w:t>采用纸质保函或其他平台电子保函</w:t>
      </w:r>
      <w:r>
        <w:rPr>
          <w:rFonts w:ascii="宋体" w:hAnsi="宋体"/>
          <w:b/>
          <w:bCs/>
          <w:szCs w:val="21"/>
        </w:rPr>
        <w:t>，投标人应</w:t>
      </w:r>
      <w:r>
        <w:rPr>
          <w:rFonts w:hint="eastAsia" w:ascii="宋体" w:hAnsi="宋体"/>
          <w:b/>
          <w:bCs/>
          <w:szCs w:val="21"/>
        </w:rPr>
        <w:t>填写以下表格信息，并</w:t>
      </w:r>
      <w:r>
        <w:rPr>
          <w:rFonts w:ascii="宋体" w:hAnsi="宋体"/>
          <w:b/>
          <w:bCs/>
          <w:szCs w:val="21"/>
        </w:rPr>
        <w:t>提供</w:t>
      </w:r>
      <w:r>
        <w:rPr>
          <w:rFonts w:hint="eastAsia" w:ascii="宋体" w:hAnsi="宋体"/>
          <w:b/>
          <w:bCs/>
          <w:szCs w:val="21"/>
        </w:rPr>
        <w:t>相关材料扫描件信息。</w:t>
      </w:r>
    </w:p>
    <w:tbl>
      <w:tblPr>
        <w:tblStyle w:val="1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29B2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78BED77">
            <w:pPr>
              <w:jc w:val="center"/>
              <w:rPr>
                <w:rFonts w:ascii="宋体" w:hAnsi="宋体"/>
                <w:b/>
              </w:rPr>
            </w:pPr>
            <w:r>
              <w:rPr>
                <w:rFonts w:hint="eastAsia" w:ascii="宋体" w:hAnsi="宋体"/>
                <w:b/>
              </w:rPr>
              <w:t>非</w:t>
            </w:r>
            <w:r>
              <w:rPr>
                <w:rFonts w:hint="eastAsia" w:ascii="宋体" w:hAnsi="宋体"/>
                <w:b/>
                <w:bCs/>
                <w:szCs w:val="21"/>
              </w:rPr>
              <w:t>辽宁省工程建设项目电子保函保险基础服务平台电子保函</w:t>
            </w:r>
            <w:r>
              <w:rPr>
                <w:rFonts w:hint="eastAsia" w:ascii="宋体" w:hAnsi="宋体"/>
                <w:b/>
              </w:rPr>
              <w:t>或纸质保函信息</w:t>
            </w:r>
          </w:p>
        </w:tc>
      </w:tr>
      <w:tr w14:paraId="373A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32C63F01">
            <w:pPr>
              <w:jc w:val="center"/>
              <w:rPr>
                <w:rFonts w:ascii="宋体" w:hAnsi="宋体"/>
              </w:rPr>
            </w:pPr>
            <w:r>
              <w:rPr>
                <w:rFonts w:hint="eastAsia" w:ascii="宋体" w:hAnsi="宋体"/>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0C9071A4">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1E337D9C">
            <w:pPr>
              <w:jc w:val="center"/>
              <w:rPr>
                <w:rFonts w:ascii="宋体" w:hAnsi="宋体"/>
              </w:rPr>
            </w:pPr>
            <w:r>
              <w:rPr>
                <w:rFonts w:hint="eastAsia" w:ascii="宋体" w:hAnsi="宋体"/>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DF01D6C">
            <w:pPr>
              <w:rPr>
                <w:rFonts w:ascii="宋体" w:hAnsi="宋体"/>
              </w:rPr>
            </w:pPr>
          </w:p>
        </w:tc>
      </w:tr>
      <w:tr w14:paraId="032B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72E25737">
            <w:pPr>
              <w:jc w:val="center"/>
              <w:rPr>
                <w:rFonts w:ascii="宋体" w:hAnsi="宋体"/>
              </w:rPr>
            </w:pPr>
            <w:r>
              <w:rPr>
                <w:rFonts w:hint="eastAsia" w:ascii="宋体" w:hAnsi="宋体"/>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C89898C">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0833AFCE">
            <w:pPr>
              <w:jc w:val="center"/>
              <w:rPr>
                <w:rFonts w:ascii="宋体" w:hAnsi="宋体"/>
              </w:rPr>
            </w:pPr>
            <w:r>
              <w:rPr>
                <w:rFonts w:hint="eastAsia" w:ascii="宋体" w:hAnsi="宋体"/>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4487F59">
            <w:pPr>
              <w:rPr>
                <w:rFonts w:ascii="宋体" w:hAnsi="宋体"/>
              </w:rPr>
            </w:pPr>
          </w:p>
        </w:tc>
      </w:tr>
      <w:tr w14:paraId="67F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5097DB08">
            <w:pPr>
              <w:jc w:val="center"/>
              <w:rPr>
                <w:rFonts w:ascii="宋体" w:hAnsi="宋体"/>
              </w:rPr>
            </w:pPr>
            <w:r>
              <w:rPr>
                <w:rFonts w:hint="eastAsia" w:ascii="宋体" w:hAnsi="宋体"/>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41AC79FF">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321F570">
            <w:pPr>
              <w:jc w:val="center"/>
              <w:rPr>
                <w:rFonts w:ascii="宋体" w:hAnsi="宋体"/>
              </w:rPr>
            </w:pPr>
            <w:r>
              <w:rPr>
                <w:rFonts w:hint="eastAsia" w:ascii="宋体" w:hAnsi="宋体"/>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7811CC1">
            <w:pPr>
              <w:rPr>
                <w:rFonts w:ascii="宋体" w:hAnsi="宋体"/>
              </w:rPr>
            </w:pPr>
          </w:p>
        </w:tc>
      </w:tr>
      <w:tr w14:paraId="67D2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0A037331">
            <w:pPr>
              <w:jc w:val="center"/>
              <w:rPr>
                <w:rFonts w:ascii="宋体" w:hAnsi="宋体"/>
              </w:rPr>
            </w:pPr>
            <w:r>
              <w:rPr>
                <w:rFonts w:hint="eastAsia" w:ascii="宋体" w:hAnsi="宋体"/>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CDF352">
            <w:pPr>
              <w:rPr>
                <w:rFonts w:ascii="宋体" w:hAnsi="宋体"/>
              </w:rPr>
            </w:pPr>
          </w:p>
        </w:tc>
      </w:tr>
      <w:tr w14:paraId="038A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71CAE7A3">
            <w:pPr>
              <w:jc w:val="center"/>
              <w:rPr>
                <w:rFonts w:ascii="宋体" w:hAnsi="宋体"/>
              </w:rPr>
            </w:pPr>
            <w:r>
              <w:rPr>
                <w:rFonts w:hint="eastAsia" w:ascii="宋体" w:hAnsi="宋体"/>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EBEC242">
            <w:pPr>
              <w:rPr>
                <w:rFonts w:ascii="宋体" w:hAnsi="宋体"/>
              </w:rPr>
            </w:pPr>
            <w:r>
              <w:rPr>
                <w:rFonts w:hint="eastAsia" w:ascii="宋体" w:hAnsi="宋体"/>
              </w:rPr>
              <w:t>保函扫描件</w:t>
            </w:r>
          </w:p>
        </w:tc>
      </w:tr>
      <w:tr w14:paraId="3AAB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FEFD942">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B4123E">
            <w:pPr>
              <w:rPr>
                <w:rFonts w:ascii="宋体" w:hAnsi="宋体"/>
              </w:rPr>
            </w:pPr>
          </w:p>
        </w:tc>
      </w:tr>
      <w:tr w14:paraId="48AD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521AA6A">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908F487">
            <w:pPr>
              <w:rPr>
                <w:rFonts w:ascii="宋体" w:hAnsi="宋体"/>
              </w:rPr>
            </w:pPr>
            <w:r>
              <w:rPr>
                <w:rFonts w:hint="eastAsia" w:ascii="宋体" w:hAnsi="宋体"/>
              </w:rPr>
              <w:t>缴费凭证扫描件</w:t>
            </w:r>
          </w:p>
        </w:tc>
      </w:tr>
      <w:tr w14:paraId="042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8FCEF70">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6C0893">
            <w:pPr>
              <w:rPr>
                <w:rFonts w:ascii="宋体" w:hAnsi="宋体"/>
              </w:rPr>
            </w:pPr>
          </w:p>
        </w:tc>
      </w:tr>
      <w:tr w14:paraId="487B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3563AC3">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EDCE388">
            <w:pPr>
              <w:rPr>
                <w:rFonts w:ascii="宋体" w:hAnsi="宋体"/>
              </w:rPr>
            </w:pPr>
            <w:r>
              <w:rPr>
                <w:rFonts w:hint="eastAsia" w:ascii="宋体" w:hAnsi="宋体"/>
              </w:rPr>
              <w:t>基本户开户许可证（基本存款账户信息）扫描件</w:t>
            </w:r>
          </w:p>
        </w:tc>
      </w:tr>
      <w:tr w14:paraId="258C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C0E2733">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DF43082">
            <w:pPr>
              <w:rPr>
                <w:rFonts w:ascii="宋体" w:hAnsi="宋体"/>
              </w:rPr>
            </w:pPr>
          </w:p>
        </w:tc>
      </w:tr>
      <w:tr w14:paraId="3CCB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13F31D1">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301BFF">
            <w:pPr>
              <w:rPr>
                <w:rFonts w:ascii="宋体" w:hAnsi="宋体"/>
              </w:rPr>
            </w:pPr>
            <w:r>
              <w:rPr>
                <w:rFonts w:hint="eastAsia" w:ascii="宋体" w:hAnsi="宋体"/>
              </w:rPr>
              <w:t>其他材料</w:t>
            </w:r>
          </w:p>
        </w:tc>
      </w:tr>
      <w:tr w14:paraId="3E27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44CEDF10">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B55835">
            <w:pPr>
              <w:rPr>
                <w:rFonts w:ascii="宋体" w:hAnsi="宋体"/>
              </w:rPr>
            </w:pPr>
          </w:p>
        </w:tc>
      </w:tr>
    </w:tbl>
    <w:p w14:paraId="721B2633">
      <w:pPr>
        <w:rPr>
          <w:color w:val="000000"/>
        </w:rPr>
        <w:sectPr>
          <w:footerReference r:id="rId29" w:type="default"/>
          <w:pgSz w:w="11906" w:h="16838"/>
          <w:pgMar w:top="1440" w:right="1800" w:bottom="1440" w:left="1800" w:header="851" w:footer="992" w:gutter="0"/>
          <w:pgNumType w:fmt="decimal"/>
          <w:cols w:space="425" w:num="1"/>
          <w:docGrid w:type="lines" w:linePitch="312" w:charSpace="0"/>
        </w:sectPr>
      </w:pPr>
    </w:p>
    <w:p w14:paraId="2C427781">
      <w:pPr>
        <w:keepNext w:val="0"/>
        <w:keepLines w:val="0"/>
        <w:widowControl/>
        <w:suppressLineNumbers w:val="0"/>
        <w:jc w:val="center"/>
        <w:rPr>
          <w:rFonts w:ascii="宋体" w:hAnsi="宋体" w:eastAsia="宋体" w:cs="宋体"/>
          <w:kern w:val="0"/>
          <w:sz w:val="24"/>
          <w:lang w:bidi="ar"/>
        </w:rPr>
      </w:pPr>
    </w:p>
    <w:p w14:paraId="1A93DC46">
      <w:pPr>
        <w:keepNext w:val="0"/>
        <w:keepLines w:val="0"/>
        <w:widowControl/>
        <w:suppressLineNumbers w:val="0"/>
        <w:jc w:val="center"/>
        <w:rPr>
          <w:rFonts w:ascii="宋体" w:hAnsi="宋体" w:eastAsia="宋体" w:cs="宋体"/>
          <w:kern w:val="0"/>
          <w:sz w:val="24"/>
          <w:lang w:bidi="ar"/>
        </w:rPr>
      </w:pPr>
    </w:p>
    <w:p w14:paraId="7D714254">
      <w:pPr>
        <w:keepNext w:val="0"/>
        <w:keepLines w:val="0"/>
        <w:widowControl/>
        <w:suppressLineNumbers w:val="0"/>
        <w:jc w:val="center"/>
        <w:rPr>
          <w:rFonts w:ascii="宋体" w:hAnsi="宋体" w:eastAsia="宋体" w:cs="宋体"/>
          <w:kern w:val="0"/>
          <w:sz w:val="24"/>
          <w:lang w:bidi="ar"/>
        </w:rPr>
      </w:pPr>
    </w:p>
    <w:p w14:paraId="1A711374">
      <w:pPr>
        <w:keepNext w:val="0"/>
        <w:keepLines w:val="0"/>
        <w:widowControl/>
        <w:suppressLineNumbers w:val="0"/>
        <w:jc w:val="center"/>
        <w:rPr>
          <w:rFonts w:ascii="宋体" w:hAnsi="宋体" w:eastAsia="宋体" w:cs="宋体"/>
          <w:kern w:val="0"/>
          <w:sz w:val="24"/>
          <w:lang w:bidi="ar"/>
        </w:rPr>
      </w:pPr>
    </w:p>
    <w:p w14:paraId="75EE931A">
      <w:pPr>
        <w:keepNext w:val="0"/>
        <w:keepLines w:val="0"/>
        <w:widowControl/>
        <w:suppressLineNumbers w:val="0"/>
        <w:jc w:val="center"/>
        <w:rPr>
          <w:rFonts w:ascii="宋体" w:hAnsi="宋体" w:eastAsia="宋体" w:cs="宋体"/>
          <w:kern w:val="0"/>
          <w:sz w:val="24"/>
          <w:lang w:bidi="ar"/>
        </w:rPr>
      </w:pPr>
    </w:p>
    <w:p w14:paraId="42F5ADDA">
      <w:pPr>
        <w:keepNext w:val="0"/>
        <w:keepLines w:val="0"/>
        <w:widowControl/>
        <w:suppressLineNumbers w:val="0"/>
        <w:jc w:val="center"/>
        <w:rPr>
          <w:rFonts w:ascii="宋体" w:hAnsi="宋体" w:eastAsia="宋体" w:cs="宋体"/>
          <w:kern w:val="0"/>
          <w:sz w:val="24"/>
          <w:lang w:bidi="ar"/>
        </w:rPr>
      </w:pPr>
    </w:p>
    <w:p w14:paraId="4DBB1A19">
      <w:pPr>
        <w:keepNext w:val="0"/>
        <w:keepLines w:val="0"/>
        <w:widowControl/>
        <w:suppressLineNumbers w:val="0"/>
        <w:jc w:val="center"/>
        <w:rPr>
          <w:rFonts w:ascii="宋体" w:hAnsi="宋体" w:eastAsia="宋体" w:cs="宋体"/>
          <w:kern w:val="0"/>
          <w:sz w:val="24"/>
          <w:lang w:bidi="ar"/>
        </w:rPr>
      </w:pPr>
    </w:p>
    <w:p w14:paraId="4C56C4A1">
      <w:pPr>
        <w:keepNext w:val="0"/>
        <w:keepLines w:val="0"/>
        <w:widowControl/>
        <w:suppressLineNumbers w:val="0"/>
        <w:jc w:val="center"/>
        <w:rPr>
          <w:rFonts w:ascii="宋体" w:hAnsi="宋体" w:eastAsia="宋体" w:cs="宋体"/>
          <w:kern w:val="0"/>
          <w:sz w:val="24"/>
          <w:lang w:bidi="ar"/>
        </w:rPr>
      </w:pPr>
    </w:p>
    <w:p w14:paraId="24D0B17D">
      <w:pPr>
        <w:keepNext w:val="0"/>
        <w:keepLines w:val="0"/>
        <w:widowControl/>
        <w:suppressLineNumbers w:val="0"/>
        <w:jc w:val="center"/>
        <w:rPr>
          <w:rFonts w:ascii="宋体" w:hAnsi="宋体" w:eastAsia="宋体" w:cs="宋体"/>
          <w:kern w:val="0"/>
          <w:sz w:val="24"/>
          <w:lang w:bidi="ar"/>
        </w:rPr>
      </w:pPr>
    </w:p>
    <w:p w14:paraId="32C66505">
      <w:pPr>
        <w:keepNext w:val="0"/>
        <w:keepLines w:val="0"/>
        <w:widowControl/>
        <w:suppressLineNumbers w:val="0"/>
        <w:jc w:val="center"/>
        <w:rPr>
          <w:rFonts w:ascii="宋体" w:hAnsi="宋体" w:eastAsia="宋体" w:cs="宋体"/>
          <w:kern w:val="0"/>
          <w:sz w:val="24"/>
          <w:lang w:bidi="ar"/>
        </w:rPr>
      </w:pPr>
    </w:p>
    <w:p w14:paraId="494D3E49">
      <w:pPr>
        <w:keepNext w:val="0"/>
        <w:keepLines w:val="0"/>
        <w:widowControl/>
        <w:suppressLineNumbers w:val="0"/>
        <w:jc w:val="center"/>
        <w:rPr>
          <w:rFonts w:ascii="宋体" w:hAnsi="宋体" w:eastAsia="宋体" w:cs="宋体"/>
          <w:kern w:val="0"/>
          <w:sz w:val="24"/>
          <w:lang w:bidi="ar"/>
        </w:rPr>
      </w:pPr>
    </w:p>
    <w:p w14:paraId="4EABD89C">
      <w:pPr>
        <w:keepNext w:val="0"/>
        <w:keepLines w:val="0"/>
        <w:widowControl/>
        <w:suppressLineNumbers w:val="0"/>
        <w:jc w:val="center"/>
        <w:rPr>
          <w:rFonts w:ascii="宋体" w:hAnsi="宋体" w:eastAsia="宋体" w:cs="宋体"/>
          <w:kern w:val="0"/>
          <w:sz w:val="24"/>
          <w:lang w:bidi="ar"/>
        </w:rPr>
      </w:pPr>
    </w:p>
    <w:p w14:paraId="61E70CDF">
      <w:pPr>
        <w:keepNext w:val="0"/>
        <w:keepLines w:val="0"/>
        <w:widowControl/>
        <w:suppressLineNumbers w:val="0"/>
        <w:jc w:val="center"/>
        <w:rPr>
          <w:rFonts w:ascii="宋体" w:hAnsi="宋体" w:eastAsia="宋体" w:cs="宋体"/>
          <w:kern w:val="0"/>
          <w:sz w:val="24"/>
          <w:lang w:bidi="ar"/>
        </w:rPr>
      </w:pPr>
    </w:p>
    <w:p w14:paraId="7B4A7415">
      <w:pPr>
        <w:keepNext w:val="0"/>
        <w:keepLines w:val="0"/>
        <w:widowControl/>
        <w:suppressLineNumbers w:val="0"/>
        <w:jc w:val="center"/>
        <w:rPr>
          <w:rFonts w:ascii="宋体" w:hAnsi="宋体" w:eastAsia="宋体" w:cs="宋体"/>
          <w:kern w:val="0"/>
          <w:sz w:val="24"/>
          <w:lang w:bidi="ar"/>
        </w:rPr>
      </w:pPr>
    </w:p>
    <w:p w14:paraId="27B5CBB1">
      <w:pPr>
        <w:keepNext w:val="0"/>
        <w:keepLines w:val="0"/>
        <w:widowControl/>
        <w:suppressLineNumbers w:val="0"/>
        <w:jc w:val="center"/>
        <w:rPr>
          <w:rFonts w:ascii="宋体" w:hAnsi="宋体" w:eastAsia="宋体" w:cs="宋体"/>
          <w:kern w:val="0"/>
          <w:sz w:val="24"/>
          <w:lang w:bidi="ar"/>
        </w:rPr>
      </w:pPr>
    </w:p>
    <w:p w14:paraId="19D67646">
      <w:pPr>
        <w:keepNext w:val="0"/>
        <w:keepLines w:val="0"/>
        <w:widowControl/>
        <w:suppressLineNumbers w:val="0"/>
        <w:jc w:val="center"/>
        <w:rPr>
          <w:rFonts w:ascii="宋体" w:hAnsi="宋体" w:eastAsia="宋体" w:cs="宋体"/>
          <w:kern w:val="0"/>
          <w:sz w:val="24"/>
          <w:lang w:bidi="ar"/>
        </w:rPr>
      </w:pPr>
    </w:p>
    <w:p w14:paraId="0185E28F">
      <w:pPr>
        <w:keepNext w:val="0"/>
        <w:keepLines w:val="0"/>
        <w:widowControl/>
        <w:suppressLineNumbers w:val="0"/>
        <w:jc w:val="center"/>
        <w:rPr>
          <w:rFonts w:ascii="宋体" w:hAnsi="宋体" w:eastAsia="宋体" w:cs="宋体"/>
          <w:kern w:val="0"/>
          <w:sz w:val="24"/>
          <w:lang w:bidi="ar"/>
        </w:rPr>
      </w:pPr>
    </w:p>
    <w:p w14:paraId="07033BE0">
      <w:pPr>
        <w:pStyle w:val="23"/>
        <w:jc w:val="center"/>
        <w:rPr>
          <w:rFonts w:hint="eastAsia"/>
          <w:lang w:val="en-US" w:eastAsia="zh-CN"/>
        </w:rPr>
      </w:pPr>
      <w:bookmarkStart w:id="2277" w:name="_Toc256000415"/>
      <w:r>
        <w:rPr>
          <w:rFonts w:hint="default"/>
          <w:lang w:eastAsia="zh-CN"/>
        </w:rPr>
        <w:t>四</w:t>
      </w:r>
      <w:r>
        <w:rPr>
          <w:rFonts w:hint="eastAsia"/>
          <w:lang w:val="en-US" w:eastAsia="zh-CN"/>
        </w:rPr>
        <w:t>、项目管理机构</w:t>
      </w:r>
      <w:bookmarkEnd w:id="2277"/>
    </w:p>
    <w:p w14:paraId="6FE33266">
      <w:pPr>
        <w:keepNext w:val="0"/>
        <w:keepLines w:val="0"/>
        <w:widowControl/>
        <w:suppressLineNumbers w:val="0"/>
        <w:jc w:val="center"/>
        <w:rPr>
          <w:rFonts w:hint="eastAsia" w:ascii="黑体" w:hAnsi="黑体" w:eastAsia="黑体" w:cs="黑体"/>
          <w:kern w:val="0"/>
          <w:sz w:val="28"/>
          <w:szCs w:val="28"/>
          <w:lang w:bidi="ar"/>
        </w:rPr>
      </w:pPr>
    </w:p>
    <w:p w14:paraId="111E1E1C">
      <w:pPr>
        <w:sectPr>
          <w:headerReference r:id="rId30" w:type="default"/>
          <w:footerReference r:id="rId31" w:type="default"/>
          <w:pgSz w:w="11906" w:h="16838"/>
          <w:pgMar w:top="1440" w:right="1800" w:bottom="1440" w:left="1800" w:header="851" w:footer="992" w:gutter="0"/>
          <w:pgNumType w:fmt="decimal"/>
          <w:cols w:space="425" w:num="1"/>
          <w:docGrid w:type="lines" w:linePitch="312" w:charSpace="0"/>
        </w:sectPr>
      </w:pPr>
    </w:p>
    <w:p w14:paraId="74E5D3CF">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2278" w:name="_Toc256000416"/>
      <w:bookmarkStart w:id="2279" w:name="_Toc122603080"/>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项目管理机构主要人员表</w:t>
      </w:r>
      <w:bookmarkEnd w:id="2278"/>
      <w:bookmarkEnd w:id="2279"/>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5DC5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noWrap w:val="0"/>
            <w:vAlign w:val="center"/>
          </w:tcPr>
          <w:p w14:paraId="3C2566E3">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序号</w:t>
            </w:r>
          </w:p>
        </w:tc>
        <w:tc>
          <w:tcPr>
            <w:tcW w:w="1229" w:type="dxa"/>
            <w:vMerge w:val="restart"/>
            <w:noWrap w:val="0"/>
            <w:vAlign w:val="center"/>
          </w:tcPr>
          <w:p w14:paraId="2F28C475">
            <w:pPr>
              <w:keepNext w:val="0"/>
              <w:keepLines w:val="0"/>
              <w:widowControl w:val="0"/>
              <w:suppressLineNumbers w:val="0"/>
              <w:spacing w:before="0" w:beforeAutospacing="0" w:after="0" w:afterAutospacing="0"/>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岗位</w:t>
            </w:r>
          </w:p>
          <w:p w14:paraId="2C14259A">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（职务）</w:t>
            </w:r>
          </w:p>
        </w:tc>
        <w:tc>
          <w:tcPr>
            <w:tcW w:w="796" w:type="dxa"/>
            <w:vMerge w:val="restart"/>
            <w:noWrap w:val="0"/>
            <w:vAlign w:val="center"/>
          </w:tcPr>
          <w:p w14:paraId="4CFEEE6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姓名</w:t>
            </w:r>
          </w:p>
        </w:tc>
        <w:tc>
          <w:tcPr>
            <w:tcW w:w="514" w:type="dxa"/>
            <w:vMerge w:val="restart"/>
            <w:noWrap w:val="0"/>
            <w:vAlign w:val="center"/>
          </w:tcPr>
          <w:p w14:paraId="6AFE9CF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性别</w:t>
            </w:r>
          </w:p>
        </w:tc>
        <w:tc>
          <w:tcPr>
            <w:tcW w:w="726" w:type="dxa"/>
            <w:vMerge w:val="restart"/>
            <w:noWrap w:val="0"/>
            <w:vAlign w:val="center"/>
          </w:tcPr>
          <w:p w14:paraId="691AE78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年龄</w:t>
            </w:r>
          </w:p>
        </w:tc>
        <w:tc>
          <w:tcPr>
            <w:tcW w:w="726" w:type="dxa"/>
            <w:vMerge w:val="restart"/>
            <w:noWrap w:val="0"/>
            <w:vAlign w:val="center"/>
          </w:tcPr>
          <w:p w14:paraId="7DE14A1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学历</w:t>
            </w:r>
          </w:p>
        </w:tc>
        <w:tc>
          <w:tcPr>
            <w:tcW w:w="933" w:type="dxa"/>
            <w:vMerge w:val="restart"/>
            <w:noWrap w:val="0"/>
            <w:vAlign w:val="center"/>
          </w:tcPr>
          <w:p w14:paraId="2DA761D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所学专业</w:t>
            </w:r>
          </w:p>
        </w:tc>
        <w:tc>
          <w:tcPr>
            <w:tcW w:w="1000" w:type="dxa"/>
            <w:vMerge w:val="restart"/>
            <w:noWrap w:val="0"/>
            <w:vAlign w:val="center"/>
          </w:tcPr>
          <w:p w14:paraId="77311DEF">
            <w:pPr>
              <w:keepNext w:val="0"/>
              <w:keepLines w:val="0"/>
              <w:widowControl w:val="0"/>
              <w:suppressLineNumbers w:val="0"/>
              <w:spacing w:before="0" w:beforeAutospacing="0" w:after="0" w:afterAutospacing="0"/>
              <w:ind w:left="0" w:leftChars="0" w:right="0" w:rightChars="0"/>
              <w:jc w:val="center"/>
              <w:rPr>
                <w:rFonts w:hint="eastAsia"/>
                <w:szCs w:val="21"/>
              </w:rPr>
            </w:pPr>
            <w:r>
              <w:rPr>
                <w:rFonts w:hint="eastAsia" w:ascii="Times New Roman" w:hAnsi="Times New Roman" w:eastAsia="宋体" w:cs="宋体"/>
                <w:kern w:val="2"/>
                <w:sz w:val="21"/>
                <w:szCs w:val="21"/>
                <w:lang w:val="en-US" w:eastAsia="zh-CN" w:bidi="ar"/>
              </w:rPr>
              <w:t>专业工作年限</w:t>
            </w:r>
          </w:p>
        </w:tc>
        <w:tc>
          <w:tcPr>
            <w:tcW w:w="1635" w:type="dxa"/>
            <w:gridSpan w:val="3"/>
            <w:noWrap w:val="0"/>
            <w:vAlign w:val="center"/>
          </w:tcPr>
          <w:p w14:paraId="18F0FC34">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专业技术职称</w:t>
            </w:r>
          </w:p>
        </w:tc>
        <w:tc>
          <w:tcPr>
            <w:tcW w:w="4038" w:type="dxa"/>
            <w:gridSpan w:val="4"/>
            <w:noWrap w:val="0"/>
            <w:vAlign w:val="center"/>
          </w:tcPr>
          <w:p w14:paraId="3719B529">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执业或职业资格证明</w:t>
            </w:r>
          </w:p>
        </w:tc>
        <w:tc>
          <w:tcPr>
            <w:tcW w:w="1091" w:type="dxa"/>
            <w:vMerge w:val="restart"/>
            <w:noWrap w:val="0"/>
            <w:vAlign w:val="center"/>
          </w:tcPr>
          <w:p w14:paraId="015FEEF1">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社会保险</w:t>
            </w:r>
          </w:p>
        </w:tc>
        <w:tc>
          <w:tcPr>
            <w:tcW w:w="909" w:type="dxa"/>
            <w:vMerge w:val="restart"/>
            <w:noWrap w:val="0"/>
            <w:vAlign w:val="center"/>
          </w:tcPr>
          <w:p w14:paraId="3CF4F0F9">
            <w:pPr>
              <w:keepNext w:val="0"/>
              <w:keepLines w:val="0"/>
              <w:widowControl w:val="0"/>
              <w:suppressLineNumbers w:val="0"/>
              <w:spacing w:before="0" w:beforeAutospacing="0" w:after="0" w:afterAutospacing="0" w:line="420" w:lineRule="exact"/>
              <w:ind w:left="0" w:right="0"/>
              <w:jc w:val="center"/>
              <w:rPr>
                <w:rFonts w:hint="default"/>
                <w:szCs w:val="21"/>
              </w:rPr>
            </w:pPr>
            <w:r>
              <w:rPr>
                <w:rFonts w:hint="eastAsia" w:ascii="Times New Roman" w:hAnsi="Times New Roman" w:eastAsia="宋体" w:cs="宋体"/>
                <w:kern w:val="2"/>
                <w:sz w:val="21"/>
                <w:szCs w:val="21"/>
                <w:lang w:val="en-US" w:eastAsia="zh-CN" w:bidi="ar"/>
              </w:rPr>
              <w:t>执业或</w:t>
            </w:r>
          </w:p>
          <w:p w14:paraId="5AA89959">
            <w:pPr>
              <w:keepNext w:val="0"/>
              <w:keepLines w:val="0"/>
              <w:widowControl w:val="0"/>
              <w:suppressLineNumbers w:val="0"/>
              <w:spacing w:before="0" w:beforeAutospacing="0" w:after="0" w:afterAutospacing="0" w:line="420" w:lineRule="exact"/>
              <w:ind w:left="0" w:leftChars="0" w:right="0" w:rightChars="0"/>
              <w:jc w:val="center"/>
              <w:rPr>
                <w:rFonts w:hint="default"/>
                <w:szCs w:val="21"/>
                <w:vertAlign w:val="superscript"/>
              </w:rPr>
            </w:pPr>
            <w:r>
              <w:rPr>
                <w:rFonts w:hint="eastAsia" w:ascii="Times New Roman" w:hAnsi="Times New Roman" w:eastAsia="宋体" w:cs="宋体"/>
                <w:kern w:val="2"/>
                <w:sz w:val="21"/>
                <w:szCs w:val="21"/>
                <w:lang w:val="en-US" w:eastAsia="zh-CN" w:bidi="ar"/>
              </w:rPr>
              <w:t>职业单位</w:t>
            </w:r>
          </w:p>
        </w:tc>
      </w:tr>
      <w:tr w14:paraId="227B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noWrap w:val="0"/>
            <w:vAlign w:val="center"/>
          </w:tcPr>
          <w:p w14:paraId="11A39C4F">
            <w:pPr>
              <w:keepNext w:val="0"/>
              <w:keepLines w:val="0"/>
              <w:suppressLineNumbers w:val="0"/>
              <w:spacing w:before="0" w:beforeAutospacing="0" w:after="0" w:afterAutospacing="0"/>
              <w:ind w:left="0" w:right="0"/>
              <w:rPr>
                <w:rFonts w:hint="default"/>
                <w:szCs w:val="21"/>
              </w:rPr>
            </w:pPr>
          </w:p>
        </w:tc>
        <w:tc>
          <w:tcPr>
            <w:tcW w:w="1229" w:type="dxa"/>
            <w:vMerge w:val="continue"/>
            <w:noWrap w:val="0"/>
            <w:vAlign w:val="center"/>
          </w:tcPr>
          <w:p w14:paraId="07777E7B">
            <w:pPr>
              <w:keepNext w:val="0"/>
              <w:keepLines w:val="0"/>
              <w:suppressLineNumbers w:val="0"/>
              <w:spacing w:before="0" w:beforeAutospacing="0" w:after="0" w:afterAutospacing="0"/>
              <w:ind w:left="0" w:right="0"/>
              <w:rPr>
                <w:rFonts w:hint="default"/>
                <w:szCs w:val="21"/>
              </w:rPr>
            </w:pPr>
          </w:p>
        </w:tc>
        <w:tc>
          <w:tcPr>
            <w:tcW w:w="796" w:type="dxa"/>
            <w:vMerge w:val="continue"/>
            <w:noWrap w:val="0"/>
            <w:vAlign w:val="center"/>
          </w:tcPr>
          <w:p w14:paraId="20F0DBF1">
            <w:pPr>
              <w:keepNext w:val="0"/>
              <w:keepLines w:val="0"/>
              <w:suppressLineNumbers w:val="0"/>
              <w:spacing w:before="0" w:beforeAutospacing="0" w:after="0" w:afterAutospacing="0"/>
              <w:ind w:left="0" w:right="0"/>
              <w:rPr>
                <w:rFonts w:hint="default"/>
                <w:szCs w:val="21"/>
              </w:rPr>
            </w:pPr>
          </w:p>
        </w:tc>
        <w:tc>
          <w:tcPr>
            <w:tcW w:w="514" w:type="dxa"/>
            <w:vMerge w:val="continue"/>
            <w:noWrap w:val="0"/>
            <w:vAlign w:val="center"/>
          </w:tcPr>
          <w:p w14:paraId="01482836">
            <w:pPr>
              <w:keepNext w:val="0"/>
              <w:keepLines w:val="0"/>
              <w:suppressLineNumbers w:val="0"/>
              <w:spacing w:before="0" w:beforeAutospacing="0" w:after="0" w:afterAutospacing="0"/>
              <w:ind w:left="0" w:right="0"/>
              <w:rPr>
                <w:rFonts w:hint="default"/>
                <w:szCs w:val="21"/>
              </w:rPr>
            </w:pPr>
          </w:p>
        </w:tc>
        <w:tc>
          <w:tcPr>
            <w:tcW w:w="726" w:type="dxa"/>
            <w:vMerge w:val="continue"/>
            <w:noWrap w:val="0"/>
            <w:vAlign w:val="center"/>
          </w:tcPr>
          <w:p w14:paraId="0B87D61F">
            <w:pPr>
              <w:keepNext w:val="0"/>
              <w:keepLines w:val="0"/>
              <w:suppressLineNumbers w:val="0"/>
              <w:spacing w:before="0" w:beforeAutospacing="0" w:after="0" w:afterAutospacing="0"/>
              <w:ind w:left="0" w:right="0"/>
              <w:rPr>
                <w:rFonts w:hint="default"/>
                <w:szCs w:val="21"/>
              </w:rPr>
            </w:pPr>
          </w:p>
        </w:tc>
        <w:tc>
          <w:tcPr>
            <w:tcW w:w="726" w:type="dxa"/>
            <w:vMerge w:val="continue"/>
            <w:noWrap w:val="0"/>
            <w:vAlign w:val="center"/>
          </w:tcPr>
          <w:p w14:paraId="72E8AB55">
            <w:pPr>
              <w:keepNext w:val="0"/>
              <w:keepLines w:val="0"/>
              <w:suppressLineNumbers w:val="0"/>
              <w:spacing w:before="0" w:beforeAutospacing="0" w:after="0" w:afterAutospacing="0"/>
              <w:ind w:left="0" w:right="0"/>
              <w:rPr>
                <w:rFonts w:hint="default"/>
                <w:szCs w:val="21"/>
              </w:rPr>
            </w:pPr>
          </w:p>
        </w:tc>
        <w:tc>
          <w:tcPr>
            <w:tcW w:w="933" w:type="dxa"/>
            <w:vMerge w:val="continue"/>
            <w:noWrap w:val="0"/>
            <w:vAlign w:val="center"/>
          </w:tcPr>
          <w:p w14:paraId="7DFFE83C">
            <w:pPr>
              <w:keepNext w:val="0"/>
              <w:keepLines w:val="0"/>
              <w:suppressLineNumbers w:val="0"/>
              <w:spacing w:before="0" w:beforeAutospacing="0" w:after="0" w:afterAutospacing="0"/>
              <w:ind w:left="0" w:right="0"/>
              <w:rPr>
                <w:rFonts w:hint="default"/>
                <w:szCs w:val="21"/>
              </w:rPr>
            </w:pPr>
          </w:p>
        </w:tc>
        <w:tc>
          <w:tcPr>
            <w:tcW w:w="1000" w:type="dxa"/>
            <w:vMerge w:val="continue"/>
            <w:noWrap w:val="0"/>
            <w:vAlign w:val="center"/>
          </w:tcPr>
          <w:p w14:paraId="54930E11">
            <w:pPr>
              <w:keepNext w:val="0"/>
              <w:keepLines w:val="0"/>
              <w:suppressLineNumbers w:val="0"/>
              <w:spacing w:before="0" w:beforeAutospacing="0" w:after="0" w:afterAutospacing="0"/>
              <w:ind w:left="0" w:right="0"/>
              <w:rPr>
                <w:rFonts w:hint="default"/>
                <w:szCs w:val="21"/>
              </w:rPr>
            </w:pPr>
          </w:p>
        </w:tc>
        <w:tc>
          <w:tcPr>
            <w:tcW w:w="369" w:type="dxa"/>
            <w:noWrap w:val="0"/>
            <w:vAlign w:val="center"/>
          </w:tcPr>
          <w:p w14:paraId="580C1770">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级别</w:t>
            </w:r>
          </w:p>
        </w:tc>
        <w:tc>
          <w:tcPr>
            <w:tcW w:w="676" w:type="dxa"/>
            <w:noWrap w:val="0"/>
            <w:vAlign w:val="center"/>
          </w:tcPr>
          <w:p w14:paraId="01652208">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职称专业</w:t>
            </w:r>
          </w:p>
        </w:tc>
        <w:tc>
          <w:tcPr>
            <w:tcW w:w="590" w:type="dxa"/>
            <w:noWrap w:val="0"/>
            <w:vAlign w:val="center"/>
          </w:tcPr>
          <w:p w14:paraId="07AFAC8B">
            <w:pPr>
              <w:keepNext w:val="0"/>
              <w:keepLines w:val="0"/>
              <w:widowControl w:val="0"/>
              <w:suppressLineNumbers w:val="0"/>
              <w:spacing w:before="0" w:beforeAutospacing="0" w:after="0" w:afterAutospacing="0"/>
              <w:ind w:left="0" w:leftChars="0" w:right="0" w:rightChars="0"/>
              <w:jc w:val="center"/>
              <w:rPr>
                <w:rFonts w:hint="default"/>
              </w:rPr>
            </w:pPr>
            <w:r>
              <w:rPr>
                <w:rFonts w:hint="eastAsia" w:ascii="Times New Roman" w:hAnsi="Times New Roman" w:eastAsia="宋体" w:cs="宋体"/>
                <w:kern w:val="2"/>
                <w:sz w:val="21"/>
                <w:szCs w:val="21"/>
                <w:lang w:val="en-US" w:eastAsia="zh-CN" w:bidi="ar"/>
              </w:rPr>
              <w:t>职称专业类别</w:t>
            </w:r>
          </w:p>
        </w:tc>
        <w:tc>
          <w:tcPr>
            <w:tcW w:w="1135" w:type="dxa"/>
            <w:noWrap w:val="0"/>
            <w:vAlign w:val="center"/>
          </w:tcPr>
          <w:p w14:paraId="7CAECD68">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证书名称</w:t>
            </w:r>
          </w:p>
        </w:tc>
        <w:tc>
          <w:tcPr>
            <w:tcW w:w="966" w:type="dxa"/>
            <w:noWrap w:val="0"/>
            <w:vAlign w:val="center"/>
          </w:tcPr>
          <w:p w14:paraId="0D73F41C">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级别</w:t>
            </w:r>
          </w:p>
        </w:tc>
        <w:tc>
          <w:tcPr>
            <w:tcW w:w="967" w:type="dxa"/>
            <w:noWrap w:val="0"/>
            <w:vAlign w:val="center"/>
          </w:tcPr>
          <w:p w14:paraId="3E3DC11B">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证号</w:t>
            </w:r>
          </w:p>
        </w:tc>
        <w:tc>
          <w:tcPr>
            <w:tcW w:w="970" w:type="dxa"/>
            <w:noWrap w:val="0"/>
            <w:vAlign w:val="center"/>
          </w:tcPr>
          <w:p w14:paraId="4142BBDC">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专业</w:t>
            </w:r>
          </w:p>
        </w:tc>
        <w:tc>
          <w:tcPr>
            <w:tcW w:w="1091" w:type="dxa"/>
            <w:vMerge w:val="continue"/>
            <w:noWrap w:val="0"/>
            <w:vAlign w:val="center"/>
          </w:tcPr>
          <w:p w14:paraId="56D45E7A">
            <w:pPr>
              <w:keepNext w:val="0"/>
              <w:keepLines w:val="0"/>
              <w:suppressLineNumbers w:val="0"/>
              <w:spacing w:before="0" w:beforeAutospacing="0" w:after="0" w:afterAutospacing="0"/>
              <w:ind w:left="0" w:right="0"/>
              <w:rPr>
                <w:rFonts w:hint="default"/>
                <w:szCs w:val="21"/>
              </w:rPr>
            </w:pPr>
          </w:p>
        </w:tc>
        <w:tc>
          <w:tcPr>
            <w:tcW w:w="909" w:type="dxa"/>
            <w:vMerge w:val="continue"/>
            <w:noWrap w:val="0"/>
            <w:vAlign w:val="center"/>
          </w:tcPr>
          <w:p w14:paraId="636563B0">
            <w:pPr>
              <w:keepNext w:val="0"/>
              <w:keepLines w:val="0"/>
              <w:suppressLineNumbers w:val="0"/>
              <w:spacing w:before="0" w:beforeAutospacing="0" w:after="0" w:afterAutospacing="0"/>
              <w:ind w:left="0" w:right="0"/>
              <w:rPr>
                <w:rFonts w:hint="default"/>
                <w:szCs w:val="21"/>
              </w:rPr>
            </w:pPr>
          </w:p>
        </w:tc>
      </w:tr>
      <w:tr w14:paraId="2C5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ADB0A7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1</w:t>
            </w:r>
          </w:p>
        </w:tc>
        <w:tc>
          <w:tcPr>
            <w:tcW w:w="1229" w:type="dxa"/>
            <w:noWrap w:val="0"/>
            <w:vAlign w:val="center"/>
          </w:tcPr>
          <w:p w14:paraId="510551A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07E356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68F2F79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6C2A44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198E3D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2F95797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9A3401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6206707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A84CB9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5B8391E1">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501529E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1F9DEB0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256FFD3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0C0A76E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5249F32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AFCEB06">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695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1CA25422">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2</w:t>
            </w:r>
          </w:p>
        </w:tc>
        <w:tc>
          <w:tcPr>
            <w:tcW w:w="1229" w:type="dxa"/>
            <w:noWrap w:val="0"/>
            <w:vAlign w:val="center"/>
          </w:tcPr>
          <w:p w14:paraId="585043E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5E7719D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2A6161A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33659E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B2708E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A9AF83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50654B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329499C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0C9D0B5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107FC6A9">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7F30F6C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863D86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6E31D1A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1E3FFAE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6136B93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600118A4">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1A31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B09A20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3</w:t>
            </w:r>
          </w:p>
        </w:tc>
        <w:tc>
          <w:tcPr>
            <w:tcW w:w="1229" w:type="dxa"/>
            <w:noWrap w:val="0"/>
            <w:vAlign w:val="center"/>
          </w:tcPr>
          <w:p w14:paraId="0BF12A2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8A9CF9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42A9DD9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F790E7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587BBF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1B9505D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24AFF3C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7AD1217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78A1614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04F4C41F">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02DBDB4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5BB83C2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F1A1A7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67F81B4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75358A9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D6D56FB">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1B8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2B5AFFB">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4</w:t>
            </w:r>
          </w:p>
        </w:tc>
        <w:tc>
          <w:tcPr>
            <w:tcW w:w="1229" w:type="dxa"/>
            <w:noWrap w:val="0"/>
            <w:vAlign w:val="center"/>
          </w:tcPr>
          <w:p w14:paraId="3DE44DB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401BD56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7FDBF41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70893A5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DC7140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0E4068E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71D7583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1574DCE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0695724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7BF75AB1">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5C29CB1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24BB2C4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4718614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3C4CFB4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2C181E8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47E8C45A">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4A22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97D711E">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5</w:t>
            </w:r>
          </w:p>
        </w:tc>
        <w:tc>
          <w:tcPr>
            <w:tcW w:w="1229" w:type="dxa"/>
            <w:noWrap w:val="0"/>
            <w:vAlign w:val="center"/>
          </w:tcPr>
          <w:p w14:paraId="7FA1A83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51AD18C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2C14333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0B327F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256C51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C63D91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635C693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458DB81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1A64D63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4CC7E2AA">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3E2B79A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00BFE40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3C8D7C5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21B3100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5195A7F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437D9A3">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A6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B2B16C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6</w:t>
            </w:r>
          </w:p>
        </w:tc>
        <w:tc>
          <w:tcPr>
            <w:tcW w:w="1229" w:type="dxa"/>
            <w:noWrap w:val="0"/>
            <w:vAlign w:val="center"/>
          </w:tcPr>
          <w:p w14:paraId="3048763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0F98147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22ACFC8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8E4707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57964C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1F862F7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4F4734F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734AF99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29E5E0B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3C1AC929">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36FC9F2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54BDA0E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1A98E8F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470F386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747277D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57451F3">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55CC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36F1B97">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7</w:t>
            </w:r>
          </w:p>
        </w:tc>
        <w:tc>
          <w:tcPr>
            <w:tcW w:w="1229" w:type="dxa"/>
            <w:noWrap w:val="0"/>
            <w:vAlign w:val="center"/>
          </w:tcPr>
          <w:p w14:paraId="571DC60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112FE47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072FF2A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1E7E9D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4D4EF83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76118A1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13FD41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6F6EB5E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5BFB465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52F5BDC0">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44F75EA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A66835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67A5506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670A1C4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1820D3D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069C4F5">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A1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1B8D579">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8</w:t>
            </w:r>
          </w:p>
        </w:tc>
        <w:tc>
          <w:tcPr>
            <w:tcW w:w="1229" w:type="dxa"/>
            <w:noWrap w:val="0"/>
            <w:vAlign w:val="center"/>
          </w:tcPr>
          <w:p w14:paraId="3CD93EB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785411E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FF2A67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0B5DC3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04E509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15C0681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E2EB74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1D99005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43C04F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599EA369">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3939129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3C497F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AA1F2A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4E5D18F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157BBE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7AA8B26A">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411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EDFD841">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9</w:t>
            </w:r>
          </w:p>
        </w:tc>
        <w:tc>
          <w:tcPr>
            <w:tcW w:w="1229" w:type="dxa"/>
            <w:noWrap w:val="0"/>
            <w:vAlign w:val="center"/>
          </w:tcPr>
          <w:p w14:paraId="15C4606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39CEE0C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52DD3C4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F07E70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6918EC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44AB981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4539890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6F6C33A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72C525F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6CD4D966">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74B2CC1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502F43D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EFFC19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3A76D2B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53C8E7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38723C57">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B62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12F79AF5">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eastAsia" w:ascii="宋体" w:hAnsi="宋体" w:eastAsia="宋体" w:cs="宋体"/>
                <w:kern w:val="2"/>
                <w:sz w:val="21"/>
                <w:szCs w:val="21"/>
                <w:lang w:val="en-US" w:eastAsia="zh-CN" w:bidi="ar"/>
              </w:rPr>
              <w:t>…</w:t>
            </w:r>
          </w:p>
        </w:tc>
        <w:tc>
          <w:tcPr>
            <w:tcW w:w="1229" w:type="dxa"/>
            <w:noWrap w:val="0"/>
            <w:vAlign w:val="center"/>
          </w:tcPr>
          <w:p w14:paraId="3938F38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0C0D817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F8E4B8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52BFAD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DBBFA3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35A3DBE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0C4EB7B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0D12FC9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686BFB4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54F36B38">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0923259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D97169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04CB9B2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7433FFC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3031BF5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459AC2B4">
            <w:pPr>
              <w:keepNext w:val="0"/>
              <w:keepLines w:val="0"/>
              <w:widowControl w:val="0"/>
              <w:suppressLineNumbers w:val="0"/>
              <w:spacing w:before="0" w:beforeAutospacing="0" w:after="0" w:afterAutospacing="0"/>
              <w:ind w:left="0" w:leftChars="0" w:right="0" w:rightChars="0"/>
              <w:jc w:val="center"/>
              <w:rPr>
                <w:rFonts w:hint="default"/>
                <w:szCs w:val="21"/>
              </w:rPr>
            </w:pPr>
          </w:p>
        </w:tc>
      </w:tr>
    </w:tbl>
    <w:p w14:paraId="1C2E926A">
      <w:pPr>
        <w:spacing w:line="400" w:lineRule="atLeast"/>
        <w:ind w:left="630" w:hanging="630" w:hangingChars="300"/>
        <w:rPr>
          <w:rFonts w:ascii="宋体" w:hAnsi="宋体"/>
          <w:szCs w:val="21"/>
        </w:rPr>
      </w:pPr>
      <w:r>
        <w:rPr>
          <w:rFonts w:hint="eastAsia"/>
        </w:rPr>
        <w:t>备注</w:t>
      </w:r>
      <w:r>
        <w:t>：</w:t>
      </w:r>
      <w:r>
        <w:rPr>
          <w:rFonts w:hint="eastAsia" w:ascii="宋体" w:hAnsi="宋体"/>
          <w:szCs w:val="21"/>
        </w:rPr>
        <w:t>1.执业、职业单位</w:t>
      </w:r>
      <w:r>
        <w:rPr>
          <w:rFonts w:hint="eastAsia" w:ascii="宋体" w:hAnsi="宋体" w:cs="宋体"/>
          <w:szCs w:val="21"/>
          <w:lang w:bidi="ar"/>
        </w:rPr>
        <w:t>是指</w:t>
      </w:r>
      <w:r>
        <w:rPr>
          <w:rFonts w:hint="eastAsia" w:ascii="宋体" w:hAnsi="宋体"/>
          <w:szCs w:val="21"/>
        </w:rPr>
        <w:t>拟投入的项目管理机构人员目前是否在投标人处注册执业或岗位登记</w:t>
      </w:r>
      <w:r>
        <w:rPr>
          <w:rFonts w:ascii="宋体" w:hAnsi="宋体"/>
          <w:szCs w:val="21"/>
        </w:rPr>
        <w:t>。</w:t>
      </w:r>
    </w:p>
    <w:p w14:paraId="077E764D">
      <w:pPr>
        <w:spacing w:line="420" w:lineRule="exact"/>
        <w:ind w:left="945" w:leftChars="300" w:hanging="315" w:hangingChars="150"/>
        <w:rPr>
          <w:rFonts w:ascii="宋体" w:hAnsi="宋体"/>
          <w:szCs w:val="21"/>
        </w:rPr>
      </w:pPr>
      <w:r>
        <w:rPr>
          <w:rFonts w:ascii="宋体" w:hAnsi="宋体"/>
          <w:szCs w:val="21"/>
        </w:rPr>
        <w:t>2</w:t>
      </w:r>
      <w:r>
        <w:rPr>
          <w:rFonts w:hint="eastAsia" w:ascii="宋体" w:hAnsi="宋体"/>
          <w:szCs w:val="21"/>
        </w:rPr>
        <w:t>.附项目管理机构主要人员</w:t>
      </w:r>
      <w:r>
        <w:rPr>
          <w:rFonts w:ascii="宋体" w:hAnsi="宋体"/>
          <w:szCs w:val="21"/>
        </w:rPr>
        <w:t>社会保险证明</w:t>
      </w:r>
      <w:r>
        <w:rPr>
          <w:rFonts w:hint="eastAsia" w:ascii="宋体" w:hAnsi="宋体"/>
          <w:szCs w:val="21"/>
        </w:rPr>
        <w:t>。</w:t>
      </w:r>
      <w:r>
        <w:rPr>
          <w:rFonts w:ascii="宋体" w:hAnsi="宋体"/>
          <w:szCs w:val="21"/>
        </w:rPr>
        <w:t>社会保险证明中缴费单位应与</w:t>
      </w:r>
      <w:r>
        <w:rPr>
          <w:rFonts w:hint="eastAsia" w:ascii="宋体" w:hAnsi="宋体"/>
          <w:szCs w:val="21"/>
        </w:rPr>
        <w:t>投标</w:t>
      </w:r>
      <w:r>
        <w:rPr>
          <w:rFonts w:ascii="宋体" w:hAnsi="宋体"/>
          <w:szCs w:val="21"/>
        </w:rPr>
        <w:t>单位</w:t>
      </w:r>
      <w:r>
        <w:rPr>
          <w:rFonts w:hint="eastAsia" w:ascii="宋体" w:hAnsi="宋体"/>
          <w:szCs w:val="21"/>
          <w:lang w:eastAsia="zh-CN"/>
        </w:rPr>
        <w:t>（</w:t>
      </w:r>
      <w:r>
        <w:rPr>
          <w:rFonts w:hint="eastAsia" w:ascii="宋体" w:hAnsi="宋体"/>
          <w:szCs w:val="21"/>
          <w:lang w:val="en-US" w:eastAsia="zh-CN"/>
        </w:rPr>
        <w:t>或其分公司</w:t>
      </w:r>
      <w:r>
        <w:rPr>
          <w:rFonts w:hint="eastAsia" w:ascii="宋体" w:hAnsi="宋体"/>
          <w:szCs w:val="21"/>
          <w:lang w:eastAsia="zh-CN"/>
        </w:rPr>
        <w:t>）</w:t>
      </w:r>
      <w:r>
        <w:rPr>
          <w:rFonts w:ascii="宋体" w:hAnsi="宋体"/>
          <w:szCs w:val="21"/>
        </w:rPr>
        <w:t>一致</w:t>
      </w:r>
      <w:r>
        <w:rPr>
          <w:rFonts w:hint="eastAsia" w:ascii="宋体" w:hAnsi="宋体"/>
          <w:szCs w:val="21"/>
        </w:rPr>
        <w:t>。</w:t>
      </w:r>
    </w:p>
    <w:p w14:paraId="0E837FAD">
      <w:pPr>
        <w:sectPr>
          <w:footerReference r:id="rId32" w:type="default"/>
          <w:pgSz w:w="16838" w:h="11906" w:orient="landscape"/>
          <w:pgMar w:top="1800" w:right="1440" w:bottom="1800" w:left="1440" w:header="851" w:footer="992" w:gutter="0"/>
          <w:pgNumType w:fmt="decimal"/>
          <w:cols w:space="425" w:num="1"/>
          <w:docGrid w:type="lines" w:linePitch="312" w:charSpace="0"/>
        </w:sectPr>
      </w:pPr>
    </w:p>
    <w:p w14:paraId="45DB353A">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rPr>
      </w:pPr>
      <w:bookmarkStart w:id="2280" w:name="_Toc256000417"/>
      <w:bookmarkStart w:id="2281" w:name="_Toc122603081"/>
      <w:r>
        <w:rPr>
          <w:rFonts w:hint="eastAsia"/>
          <w:sz w:val="28"/>
          <w:szCs w:val="28"/>
          <w:lang w:eastAsia="zh-CN"/>
        </w:rPr>
        <w:t>（</w:t>
      </w:r>
      <w:r>
        <w:rPr>
          <w:rFonts w:hint="default"/>
          <w:sz w:val="28"/>
          <w:szCs w:val="28"/>
        </w:rPr>
        <w:t>二</w:t>
      </w:r>
      <w:r>
        <w:rPr>
          <w:rFonts w:hint="eastAsia"/>
          <w:sz w:val="28"/>
          <w:szCs w:val="28"/>
          <w:lang w:eastAsia="zh-CN"/>
        </w:rPr>
        <w:t>）</w:t>
      </w:r>
      <w:r>
        <w:rPr>
          <w:rFonts w:hint="eastAsia"/>
          <w:sz w:val="28"/>
          <w:szCs w:val="28"/>
        </w:rPr>
        <w:t>项目经理简历表</w:t>
      </w:r>
      <w:bookmarkEnd w:id="2280"/>
      <w:bookmarkEnd w:id="2281"/>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0C3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4" w:type="dxa"/>
            <w:vAlign w:val="center"/>
          </w:tcPr>
          <w:p w14:paraId="5D67196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  名</w:t>
            </w:r>
          </w:p>
        </w:tc>
        <w:tc>
          <w:tcPr>
            <w:tcW w:w="902" w:type="dxa"/>
            <w:vAlign w:val="center"/>
          </w:tcPr>
          <w:p w14:paraId="01075779">
            <w:pPr>
              <w:keepNext w:val="0"/>
              <w:keepLines w:val="0"/>
              <w:suppressLineNumbers w:val="0"/>
              <w:spacing w:before="0" w:beforeAutospacing="0" w:after="0" w:afterAutospacing="0"/>
              <w:ind w:left="0" w:right="0"/>
              <w:jc w:val="center"/>
              <w:rPr>
                <w:rFonts w:hint="default" w:ascii="宋体" w:hAnsi="宋体"/>
                <w:szCs w:val="21"/>
              </w:rPr>
            </w:pPr>
          </w:p>
        </w:tc>
        <w:tc>
          <w:tcPr>
            <w:tcW w:w="1090" w:type="dxa"/>
            <w:vAlign w:val="center"/>
          </w:tcPr>
          <w:p w14:paraId="45EEB8A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年  龄</w:t>
            </w:r>
          </w:p>
        </w:tc>
        <w:tc>
          <w:tcPr>
            <w:tcW w:w="1222" w:type="dxa"/>
            <w:vAlign w:val="center"/>
          </w:tcPr>
          <w:p w14:paraId="39D867C0">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21EB571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学历</w:t>
            </w:r>
          </w:p>
        </w:tc>
        <w:tc>
          <w:tcPr>
            <w:tcW w:w="2053" w:type="dxa"/>
            <w:vAlign w:val="center"/>
          </w:tcPr>
          <w:p w14:paraId="04865EA5">
            <w:pPr>
              <w:keepNext w:val="0"/>
              <w:keepLines w:val="0"/>
              <w:suppressLineNumbers w:val="0"/>
              <w:spacing w:before="0" w:beforeAutospacing="0" w:after="0" w:afterAutospacing="0"/>
              <w:ind w:left="0" w:right="0"/>
              <w:jc w:val="center"/>
              <w:rPr>
                <w:rFonts w:hint="default" w:ascii="宋体" w:hAnsi="宋体"/>
                <w:szCs w:val="21"/>
              </w:rPr>
            </w:pPr>
          </w:p>
        </w:tc>
      </w:tr>
      <w:tr w14:paraId="628D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7FF8DA1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职  称</w:t>
            </w:r>
          </w:p>
        </w:tc>
        <w:tc>
          <w:tcPr>
            <w:tcW w:w="902" w:type="dxa"/>
            <w:vAlign w:val="center"/>
          </w:tcPr>
          <w:p w14:paraId="5147A20C">
            <w:pPr>
              <w:keepNext w:val="0"/>
              <w:keepLines w:val="0"/>
              <w:suppressLineNumbers w:val="0"/>
              <w:spacing w:before="0" w:beforeAutospacing="0" w:after="0" w:afterAutospacing="0"/>
              <w:ind w:left="0" w:right="0"/>
              <w:jc w:val="center"/>
              <w:rPr>
                <w:rFonts w:hint="default" w:ascii="宋体" w:hAnsi="宋体"/>
                <w:szCs w:val="21"/>
              </w:rPr>
            </w:pPr>
          </w:p>
        </w:tc>
        <w:tc>
          <w:tcPr>
            <w:tcW w:w="1090" w:type="dxa"/>
            <w:vAlign w:val="center"/>
          </w:tcPr>
          <w:p w14:paraId="542696E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职  务</w:t>
            </w:r>
          </w:p>
        </w:tc>
        <w:tc>
          <w:tcPr>
            <w:tcW w:w="1222" w:type="dxa"/>
            <w:vAlign w:val="center"/>
          </w:tcPr>
          <w:p w14:paraId="72B38DA8">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2DB2336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拟在本工程任职</w:t>
            </w:r>
          </w:p>
        </w:tc>
        <w:tc>
          <w:tcPr>
            <w:tcW w:w="2053" w:type="dxa"/>
            <w:vAlign w:val="center"/>
          </w:tcPr>
          <w:p w14:paraId="36F2692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项目经理</w:t>
            </w:r>
          </w:p>
        </w:tc>
      </w:tr>
      <w:tr w14:paraId="7DCA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238A14F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注册建造师执业资格等级</w:t>
            </w:r>
          </w:p>
        </w:tc>
        <w:tc>
          <w:tcPr>
            <w:tcW w:w="1222" w:type="dxa"/>
            <w:vAlign w:val="center"/>
          </w:tcPr>
          <w:p w14:paraId="5718360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 xml:space="preserve">      级</w:t>
            </w:r>
          </w:p>
        </w:tc>
        <w:tc>
          <w:tcPr>
            <w:tcW w:w="2019" w:type="dxa"/>
            <w:vAlign w:val="center"/>
          </w:tcPr>
          <w:p w14:paraId="630BAD3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建造师专业</w:t>
            </w:r>
          </w:p>
        </w:tc>
        <w:tc>
          <w:tcPr>
            <w:tcW w:w="2053" w:type="dxa"/>
            <w:vAlign w:val="center"/>
          </w:tcPr>
          <w:p w14:paraId="6272DE7F">
            <w:pPr>
              <w:keepNext w:val="0"/>
              <w:keepLines w:val="0"/>
              <w:suppressLineNumbers w:val="0"/>
              <w:spacing w:before="0" w:beforeAutospacing="0" w:after="0" w:afterAutospacing="0"/>
              <w:ind w:left="0" w:right="0"/>
              <w:jc w:val="center"/>
              <w:rPr>
                <w:rFonts w:hint="default" w:ascii="宋体" w:hAnsi="宋体"/>
                <w:szCs w:val="21"/>
              </w:rPr>
            </w:pPr>
          </w:p>
        </w:tc>
      </w:tr>
      <w:tr w14:paraId="5F02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29105F7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安全生产考核合格证书</w:t>
            </w:r>
          </w:p>
        </w:tc>
        <w:tc>
          <w:tcPr>
            <w:tcW w:w="5294" w:type="dxa"/>
            <w:gridSpan w:val="3"/>
            <w:vAlign w:val="center"/>
          </w:tcPr>
          <w:p w14:paraId="3373A44C">
            <w:pPr>
              <w:keepNext w:val="0"/>
              <w:keepLines w:val="0"/>
              <w:suppressLineNumbers w:val="0"/>
              <w:spacing w:before="0" w:beforeAutospacing="0" w:after="0" w:afterAutospacing="0"/>
              <w:ind w:left="0" w:right="0"/>
              <w:jc w:val="center"/>
              <w:rPr>
                <w:rFonts w:hint="default" w:ascii="宋体" w:hAnsi="宋体"/>
                <w:szCs w:val="21"/>
              </w:rPr>
            </w:pPr>
          </w:p>
        </w:tc>
      </w:tr>
      <w:tr w14:paraId="209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4B7733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毕业学校</w:t>
            </w:r>
          </w:p>
        </w:tc>
        <w:tc>
          <w:tcPr>
            <w:tcW w:w="7286" w:type="dxa"/>
            <w:gridSpan w:val="5"/>
            <w:vAlign w:val="center"/>
          </w:tcPr>
          <w:p w14:paraId="5929F22E">
            <w:pPr>
              <w:keepNext w:val="0"/>
              <w:keepLines w:val="0"/>
              <w:suppressLineNumbers w:val="0"/>
              <w:spacing w:before="0" w:beforeAutospacing="0" w:after="0" w:afterAutospacing="0"/>
              <w:ind w:left="0" w:right="0" w:firstLine="840" w:firstLineChars="400"/>
              <w:rPr>
                <w:rFonts w:hint="default" w:ascii="宋体" w:hAnsi="宋体"/>
                <w:szCs w:val="21"/>
              </w:rPr>
            </w:pPr>
            <w:r>
              <w:rPr>
                <w:rFonts w:hint="eastAsia" w:ascii="宋体" w:hAnsi="宋体"/>
                <w:szCs w:val="21"/>
              </w:rPr>
              <w:t>年毕业于                  学校            专业</w:t>
            </w:r>
          </w:p>
        </w:tc>
      </w:tr>
      <w:tr w14:paraId="2355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5411FD1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主要工作经历</w:t>
            </w:r>
          </w:p>
        </w:tc>
      </w:tr>
      <w:tr w14:paraId="39A6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1849B5B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时  间</w:t>
            </w:r>
          </w:p>
        </w:tc>
        <w:tc>
          <w:tcPr>
            <w:tcW w:w="3214" w:type="dxa"/>
            <w:gridSpan w:val="3"/>
            <w:vAlign w:val="center"/>
          </w:tcPr>
          <w:p w14:paraId="3F46820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参加过的类似项目名称</w:t>
            </w:r>
          </w:p>
        </w:tc>
        <w:tc>
          <w:tcPr>
            <w:tcW w:w="2019" w:type="dxa"/>
            <w:vAlign w:val="center"/>
          </w:tcPr>
          <w:p w14:paraId="459985E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工程概况说明</w:t>
            </w:r>
          </w:p>
        </w:tc>
        <w:tc>
          <w:tcPr>
            <w:tcW w:w="2053" w:type="dxa"/>
            <w:vAlign w:val="center"/>
          </w:tcPr>
          <w:p w14:paraId="4FDFF97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发包人及联系电话</w:t>
            </w:r>
          </w:p>
        </w:tc>
      </w:tr>
      <w:tr w14:paraId="150E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A038592">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08AB291C">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54AF3E1A">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5EE98B9E">
            <w:pPr>
              <w:keepNext w:val="0"/>
              <w:keepLines w:val="0"/>
              <w:suppressLineNumbers w:val="0"/>
              <w:spacing w:before="0" w:beforeAutospacing="0" w:after="0" w:afterAutospacing="0"/>
              <w:ind w:left="0" w:right="0"/>
              <w:jc w:val="center"/>
              <w:rPr>
                <w:rFonts w:hint="default" w:ascii="宋体" w:hAnsi="宋体"/>
                <w:szCs w:val="21"/>
              </w:rPr>
            </w:pPr>
          </w:p>
        </w:tc>
      </w:tr>
      <w:tr w14:paraId="4754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7B234BA">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0A271D32">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6F3917AE">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0B310590">
            <w:pPr>
              <w:keepNext w:val="0"/>
              <w:keepLines w:val="0"/>
              <w:suppressLineNumbers w:val="0"/>
              <w:spacing w:before="0" w:beforeAutospacing="0" w:after="0" w:afterAutospacing="0"/>
              <w:ind w:left="0" w:right="0"/>
              <w:jc w:val="center"/>
              <w:rPr>
                <w:rFonts w:hint="default" w:ascii="宋体" w:hAnsi="宋体"/>
                <w:szCs w:val="21"/>
              </w:rPr>
            </w:pPr>
          </w:p>
        </w:tc>
      </w:tr>
      <w:tr w14:paraId="38FD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C9BC6A7">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3A8F85A8">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2A8EB442">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4581430F">
            <w:pPr>
              <w:keepNext w:val="0"/>
              <w:keepLines w:val="0"/>
              <w:suppressLineNumbers w:val="0"/>
              <w:spacing w:before="0" w:beforeAutospacing="0" w:after="0" w:afterAutospacing="0"/>
              <w:ind w:left="0" w:right="0"/>
              <w:jc w:val="center"/>
              <w:rPr>
                <w:rFonts w:hint="default" w:ascii="宋体" w:hAnsi="宋体"/>
                <w:szCs w:val="21"/>
              </w:rPr>
            </w:pPr>
          </w:p>
        </w:tc>
      </w:tr>
      <w:tr w14:paraId="73FF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0C14499">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0FF75D6D">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788D791C">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1B793650">
            <w:pPr>
              <w:keepNext w:val="0"/>
              <w:keepLines w:val="0"/>
              <w:suppressLineNumbers w:val="0"/>
              <w:spacing w:before="0" w:beforeAutospacing="0" w:after="0" w:afterAutospacing="0"/>
              <w:ind w:left="0" w:right="0"/>
              <w:jc w:val="center"/>
              <w:rPr>
                <w:rFonts w:hint="default" w:ascii="宋体" w:hAnsi="宋体"/>
                <w:szCs w:val="21"/>
              </w:rPr>
            </w:pPr>
          </w:p>
        </w:tc>
      </w:tr>
      <w:tr w14:paraId="5C45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134" w:type="dxa"/>
            <w:vAlign w:val="center"/>
          </w:tcPr>
          <w:p w14:paraId="6852BF09">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1B0E3882">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2B20467F">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7A295931">
            <w:pPr>
              <w:keepNext w:val="0"/>
              <w:keepLines w:val="0"/>
              <w:suppressLineNumbers w:val="0"/>
              <w:spacing w:before="0" w:beforeAutospacing="0" w:after="0" w:afterAutospacing="0"/>
              <w:ind w:left="0" w:right="0"/>
              <w:jc w:val="center"/>
              <w:rPr>
                <w:rFonts w:hint="default" w:ascii="宋体" w:hAnsi="宋体"/>
                <w:szCs w:val="21"/>
              </w:rPr>
            </w:pPr>
          </w:p>
        </w:tc>
      </w:tr>
      <w:tr w14:paraId="512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158D040">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33F0503E">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19CF9AED">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14DBFDE9">
            <w:pPr>
              <w:keepNext w:val="0"/>
              <w:keepLines w:val="0"/>
              <w:suppressLineNumbers w:val="0"/>
              <w:spacing w:before="0" w:beforeAutospacing="0" w:after="0" w:afterAutospacing="0"/>
              <w:ind w:left="0" w:right="0"/>
              <w:jc w:val="center"/>
              <w:rPr>
                <w:rFonts w:hint="default" w:ascii="宋体" w:hAnsi="宋体"/>
                <w:szCs w:val="21"/>
              </w:rPr>
            </w:pPr>
          </w:p>
        </w:tc>
      </w:tr>
      <w:tr w14:paraId="1D9C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3EF3C64">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18916BA7">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469C91CC">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4227CB0D">
            <w:pPr>
              <w:keepNext w:val="0"/>
              <w:keepLines w:val="0"/>
              <w:suppressLineNumbers w:val="0"/>
              <w:spacing w:before="0" w:beforeAutospacing="0" w:after="0" w:afterAutospacing="0"/>
              <w:ind w:left="0" w:right="0"/>
              <w:jc w:val="center"/>
              <w:rPr>
                <w:rFonts w:hint="default" w:ascii="宋体" w:hAnsi="宋体"/>
                <w:szCs w:val="21"/>
              </w:rPr>
            </w:pPr>
          </w:p>
        </w:tc>
      </w:tr>
      <w:tr w14:paraId="4713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CCAE585">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3B02EAEE">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6BF856F3">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4CB5FB18">
            <w:pPr>
              <w:keepNext w:val="0"/>
              <w:keepLines w:val="0"/>
              <w:suppressLineNumbers w:val="0"/>
              <w:spacing w:before="0" w:beforeAutospacing="0" w:after="0" w:afterAutospacing="0"/>
              <w:ind w:left="0" w:right="0"/>
              <w:jc w:val="center"/>
              <w:rPr>
                <w:rFonts w:hint="default" w:ascii="宋体" w:hAnsi="宋体"/>
                <w:szCs w:val="21"/>
              </w:rPr>
            </w:pPr>
          </w:p>
        </w:tc>
      </w:tr>
      <w:tr w14:paraId="4C87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14D52320">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78EFCCEE">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12F5159A">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6CDC1F22">
            <w:pPr>
              <w:keepNext w:val="0"/>
              <w:keepLines w:val="0"/>
              <w:suppressLineNumbers w:val="0"/>
              <w:spacing w:before="0" w:beforeAutospacing="0" w:after="0" w:afterAutospacing="0"/>
              <w:ind w:left="0" w:right="0"/>
              <w:jc w:val="center"/>
              <w:rPr>
                <w:rFonts w:hint="default" w:ascii="宋体" w:hAnsi="宋体"/>
                <w:szCs w:val="21"/>
              </w:rPr>
            </w:pPr>
          </w:p>
        </w:tc>
      </w:tr>
    </w:tbl>
    <w:p w14:paraId="20305058">
      <w:pPr>
        <w:autoSpaceDE w:val="0"/>
        <w:autoSpaceDN w:val="0"/>
        <w:adjustRightInd w:val="0"/>
        <w:snapToGrid w:val="0"/>
        <w:spacing w:line="325" w:lineRule="exact"/>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项目经理应附建造师注册证书、安全生产考核合格证书</w:t>
      </w:r>
      <w:r>
        <w:t>（</w:t>
      </w:r>
      <w:r>
        <w:rPr>
          <w:rFonts w:hint="eastAsia"/>
        </w:rPr>
        <w:t>B证</w:t>
      </w:r>
      <w:r>
        <w:t>）</w:t>
      </w:r>
      <w:r>
        <w:rPr>
          <w:rFonts w:hint="eastAsia" w:ascii="宋体" w:hAnsi="宋体"/>
        </w:rPr>
        <w:t>、职称证书、学历证书</w:t>
      </w:r>
      <w:r>
        <w:rPr>
          <w:rFonts w:hint="eastAsia" w:ascii="宋体" w:hAnsi="宋体"/>
          <w:szCs w:val="21"/>
        </w:rPr>
        <w:t>等材料</w:t>
      </w:r>
      <w:r>
        <w:rPr>
          <w:rFonts w:hint="eastAsia" w:ascii="宋体" w:hAnsi="宋体"/>
        </w:rPr>
        <w:t>。</w:t>
      </w:r>
    </w:p>
    <w:p w14:paraId="63A7E81D">
      <w:pPr>
        <w:keepNext w:val="0"/>
        <w:keepLines w:val="0"/>
        <w:widowControl w:val="0"/>
        <w:suppressLineNumbers w:val="0"/>
        <w:autoSpaceDE w:val="0"/>
        <w:autoSpaceDN w:val="0"/>
        <w:adjustRightInd w:val="0"/>
        <w:snapToGrid w:val="0"/>
        <w:spacing w:before="0" w:beforeAutospacing="0" w:after="0" w:afterAutospacing="0" w:line="325" w:lineRule="exact"/>
        <w:ind w:left="945" w:leftChars="300" w:right="0" w:hanging="315" w:hangingChars="150"/>
        <w:jc w:val="both"/>
        <w:rPr>
          <w:rFonts w:hint="eastAsia" w:ascii="宋体" w:hAnsi="宋体"/>
          <w:szCs w:val="21"/>
        </w:rPr>
      </w:pPr>
      <w:r>
        <w:rPr>
          <w:rFonts w:hint="eastAsia" w:ascii="宋体" w:hAnsi="宋体"/>
        </w:rPr>
        <w:t>2</w:t>
      </w:r>
      <w:r>
        <w:rPr>
          <w:rFonts w:ascii="宋体" w:hAnsi="宋体"/>
        </w:rPr>
        <w:t>.</w:t>
      </w:r>
      <w:r>
        <w:rPr>
          <w:rFonts w:hint="eastAsia" w:ascii="宋体" w:hAnsi="宋体"/>
        </w:rPr>
        <w:t>类似项目限于以项目经理身份参与的项目。须附业绩证明材料</w:t>
      </w:r>
      <w:r>
        <w:rPr>
          <w:rFonts w:hint="eastAsia" w:ascii="宋体" w:hAnsi="宋体"/>
          <w:szCs w:val="21"/>
        </w:rPr>
        <w:t>。</w:t>
      </w:r>
    </w:p>
    <w:p w14:paraId="12431D09">
      <w:pPr>
        <w:sectPr>
          <w:footerReference r:id="rId33" w:type="default"/>
          <w:pgSz w:w="11906" w:h="16838"/>
          <w:pgMar w:top="1440" w:right="1800" w:bottom="1440" w:left="1800" w:header="851" w:footer="992" w:gutter="0"/>
          <w:pgNumType w:fmt="decimal"/>
          <w:cols w:space="425" w:num="1"/>
          <w:docGrid w:type="lines" w:linePitch="312" w:charSpace="0"/>
        </w:sectPr>
      </w:pPr>
    </w:p>
    <w:p w14:paraId="5B6B7AD3">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u w:val="single"/>
        </w:rPr>
      </w:pPr>
      <w:bookmarkStart w:id="2282" w:name="_Toc122603082"/>
      <w:bookmarkStart w:id="2283" w:name="_Toc256000418"/>
      <w:r>
        <w:rPr>
          <w:rFonts w:hint="eastAsia"/>
          <w:sz w:val="28"/>
          <w:szCs w:val="28"/>
          <w:lang w:eastAsia="zh-CN"/>
        </w:rPr>
        <w:t>（</w:t>
      </w:r>
      <w:r>
        <w:rPr>
          <w:rFonts w:hint="default"/>
          <w:sz w:val="28"/>
          <w:szCs w:val="28"/>
        </w:rPr>
        <w:t>三</w:t>
      </w:r>
      <w:r>
        <w:rPr>
          <w:rFonts w:hint="eastAsia"/>
          <w:sz w:val="28"/>
          <w:szCs w:val="28"/>
          <w:lang w:eastAsia="zh-CN"/>
        </w:rPr>
        <w:t>）</w:t>
      </w:r>
      <w:r>
        <w:rPr>
          <w:rFonts w:hint="eastAsia"/>
          <w:sz w:val="28"/>
          <w:szCs w:val="28"/>
        </w:rPr>
        <w:t>承诺书</w:t>
      </w:r>
      <w:bookmarkEnd w:id="2282"/>
      <w:bookmarkEnd w:id="2283"/>
    </w:p>
    <w:p w14:paraId="6A3C0788">
      <w:pPr>
        <w:rPr>
          <w:rFonts w:ascii="宋体" w:hAnsi="宋体"/>
        </w:rPr>
      </w:pPr>
      <w:r>
        <w:rPr>
          <w:rFonts w:hint="eastAsia" w:ascii="宋体" w:hAnsi="宋体"/>
          <w:u w:val="single"/>
        </w:rPr>
        <w:t xml:space="preserve">                     </w:t>
      </w:r>
      <w:r>
        <w:rPr>
          <w:rFonts w:hint="eastAsia" w:ascii="宋体" w:hAnsi="宋体"/>
        </w:rPr>
        <w:t>（招标人名称）：</w:t>
      </w:r>
    </w:p>
    <w:p w14:paraId="275867CE">
      <w:pPr>
        <w:spacing w:line="440" w:lineRule="exact"/>
        <w:ind w:firstLine="420" w:firstLineChars="200"/>
        <w:rPr>
          <w:szCs w:val="21"/>
        </w:rPr>
      </w:pPr>
      <w:r>
        <w:rPr>
          <w:rFonts w:hint="eastAsia" w:ascii="宋体" w:hAnsi="宋体"/>
          <w:szCs w:val="21"/>
        </w:rPr>
        <w:t>我方在此声明，我方拟派往</w:t>
      </w:r>
      <w:r>
        <w:rPr>
          <w:rFonts w:hint="eastAsia" w:ascii="宋体" w:hAnsi="宋体"/>
          <w:szCs w:val="21"/>
          <w:u w:val="single"/>
        </w:rPr>
        <w:t xml:space="preserve">                  </w:t>
      </w:r>
      <w:r>
        <w:rPr>
          <w:rFonts w:hint="eastAsia"/>
        </w:rPr>
        <w:t>（标段名称）</w:t>
      </w:r>
      <w:r>
        <w:rPr>
          <w:rFonts w:hint="eastAsia" w:ascii="宋体" w:hAnsi="宋体"/>
          <w:szCs w:val="21"/>
        </w:rPr>
        <w:t>（以下简称“本工程”）的项目经理</w:t>
      </w:r>
      <w:r>
        <w:rPr>
          <w:rFonts w:hint="eastAsia" w:ascii="宋体" w:hAnsi="宋体"/>
          <w:szCs w:val="21"/>
          <w:u w:val="single"/>
        </w:rPr>
        <w:t xml:space="preserve">            </w:t>
      </w:r>
      <w:r>
        <w:rPr>
          <w:rFonts w:hint="eastAsia" w:ascii="宋体" w:hAnsi="宋体"/>
          <w:szCs w:val="21"/>
        </w:rPr>
        <w:t xml:space="preserve"> （项目经理姓名）现阶段（投标截止时间之前）没有担任其他在施建设工程项目的项目经理。</w:t>
      </w:r>
    </w:p>
    <w:p w14:paraId="28F12108">
      <w:pPr>
        <w:spacing w:line="440" w:lineRule="exact"/>
        <w:ind w:firstLine="420" w:firstLineChars="200"/>
        <w:rPr>
          <w:rFonts w:ascii="宋体" w:hAnsi="宋体"/>
          <w:szCs w:val="21"/>
        </w:rPr>
      </w:pPr>
      <w:r>
        <w:rPr>
          <w:rFonts w:hint="eastAsia" w:ascii="宋体" w:hAnsi="宋体"/>
          <w:szCs w:val="21"/>
        </w:rPr>
        <w:t>根据</w:t>
      </w:r>
      <w:r>
        <w:rPr>
          <w:rFonts w:ascii="宋体" w:hAnsi="宋体"/>
          <w:szCs w:val="21"/>
        </w:rPr>
        <w:t>《注册建造师执业管理办法（试行）》</w:t>
      </w:r>
      <w:r>
        <w:rPr>
          <w:rFonts w:hint="eastAsia" w:ascii="宋体" w:hAnsi="宋体"/>
          <w:szCs w:val="21"/>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039F8F91">
      <w:pPr>
        <w:spacing w:line="440" w:lineRule="exact"/>
        <w:ind w:firstLine="525" w:firstLineChars="250"/>
        <w:rPr>
          <w:szCs w:val="21"/>
        </w:rPr>
      </w:pPr>
      <w:r>
        <w:rPr>
          <w:rFonts w:hint="eastAsia"/>
          <w:szCs w:val="21"/>
        </w:rPr>
        <w:t xml:space="preserve">□  </w:t>
      </w:r>
      <w:r>
        <w:rPr>
          <w:rFonts w:hint="eastAsia" w:ascii="宋体" w:hAnsi="宋体"/>
          <w:szCs w:val="21"/>
        </w:rPr>
        <w:t>拟派项目经理无在建工程。</w:t>
      </w:r>
    </w:p>
    <w:p w14:paraId="1BAC2395">
      <w:pPr>
        <w:spacing w:line="440" w:lineRule="exact"/>
        <w:ind w:firstLine="525" w:firstLineChars="250"/>
        <w:rPr>
          <w:rFonts w:ascii="宋体" w:hAnsi="宋体"/>
          <w:szCs w:val="21"/>
        </w:rPr>
      </w:pPr>
      <w:r>
        <w:rPr>
          <w:rFonts w:hint="eastAsia"/>
          <w:szCs w:val="21"/>
        </w:rPr>
        <w:t xml:space="preserve">□  </w:t>
      </w:r>
      <w:r>
        <w:rPr>
          <w:rFonts w:hint="eastAsia" w:ascii="宋体" w:hAnsi="宋体"/>
          <w:szCs w:val="21"/>
        </w:rPr>
        <w:t>拟派项目经理存在</w:t>
      </w:r>
      <w:r>
        <w:rPr>
          <w:rFonts w:ascii="宋体" w:hAnsi="宋体"/>
          <w:szCs w:val="21"/>
        </w:rPr>
        <w:t>《注册建造师执业管理办法（试行）》</w:t>
      </w:r>
      <w:r>
        <w:rPr>
          <w:rFonts w:hint="eastAsia" w:ascii="宋体" w:hAnsi="宋体"/>
          <w:szCs w:val="21"/>
        </w:rPr>
        <w:t>第九条规定的下列情形：</w:t>
      </w:r>
    </w:p>
    <w:p w14:paraId="455A5C75">
      <w:pPr>
        <w:spacing w:line="440" w:lineRule="exact"/>
        <w:ind w:firstLine="945" w:firstLineChars="450"/>
        <w:rPr>
          <w:rFonts w:ascii="宋体" w:hAnsi="宋体"/>
          <w:szCs w:val="21"/>
        </w:rPr>
      </w:pPr>
      <w:r>
        <w:rPr>
          <w:rFonts w:hint="eastAsia"/>
          <w:szCs w:val="21"/>
        </w:rPr>
        <w:t>□</w:t>
      </w:r>
      <w:r>
        <w:rPr>
          <w:rFonts w:ascii="宋体" w:hAnsi="宋体"/>
          <w:szCs w:val="21"/>
        </w:rPr>
        <w:t>同一工程相邻分段发包或分期施工的</w:t>
      </w:r>
      <w:r>
        <w:rPr>
          <w:rFonts w:hint="eastAsia" w:ascii="宋体" w:hAnsi="宋体"/>
          <w:szCs w:val="21"/>
        </w:rPr>
        <w:t>;</w:t>
      </w:r>
    </w:p>
    <w:p w14:paraId="031C3E55">
      <w:pPr>
        <w:spacing w:line="440" w:lineRule="exact"/>
        <w:ind w:firstLine="945" w:firstLineChars="450"/>
        <w:rPr>
          <w:rFonts w:ascii="宋体" w:hAnsi="宋体"/>
          <w:szCs w:val="21"/>
        </w:rPr>
      </w:pPr>
      <w:r>
        <w:rPr>
          <w:rFonts w:hint="eastAsia"/>
          <w:szCs w:val="21"/>
        </w:rPr>
        <w:t>□</w:t>
      </w:r>
      <w:r>
        <w:rPr>
          <w:rFonts w:ascii="宋体" w:hAnsi="宋体"/>
          <w:szCs w:val="21"/>
        </w:rPr>
        <w:t>合同约定的工程验收合格的；</w:t>
      </w:r>
    </w:p>
    <w:p w14:paraId="118586B6">
      <w:pPr>
        <w:spacing w:line="440" w:lineRule="exact"/>
        <w:ind w:firstLine="945" w:firstLineChars="450"/>
        <w:rPr>
          <w:rFonts w:ascii="宋体" w:hAnsi="宋体"/>
          <w:szCs w:val="21"/>
        </w:rPr>
      </w:pPr>
      <w:r>
        <w:rPr>
          <w:rFonts w:hint="eastAsia"/>
          <w:szCs w:val="21"/>
        </w:rPr>
        <w:t>□</w:t>
      </w:r>
      <w:r>
        <w:rPr>
          <w:rFonts w:ascii="宋体" w:hAnsi="宋体"/>
          <w:szCs w:val="21"/>
        </w:rPr>
        <w:t>因非承包方原因致使工程项目停工超过120天（含），经建设单位同意的。</w:t>
      </w:r>
    </w:p>
    <w:p w14:paraId="3A0B94B3">
      <w:pPr>
        <w:spacing w:line="440" w:lineRule="exact"/>
        <w:ind w:firstLine="525" w:firstLineChars="250"/>
        <w:rPr>
          <w:rFonts w:ascii="宋体" w:hAnsi="宋体"/>
          <w:szCs w:val="21"/>
        </w:rPr>
      </w:pPr>
      <w:r>
        <w:rPr>
          <w:rFonts w:hint="eastAsia"/>
          <w:szCs w:val="21"/>
        </w:rPr>
        <w:t xml:space="preserve">□  </w:t>
      </w:r>
      <w:r>
        <w:rPr>
          <w:rFonts w:hint="eastAsia" w:ascii="宋体" w:hAnsi="宋体"/>
          <w:szCs w:val="21"/>
        </w:rPr>
        <w:t>拟派项目经理担任其他施工项目负责人期间因下列原因进行了更换，并办理书面交接手续：</w:t>
      </w:r>
    </w:p>
    <w:p w14:paraId="024BB37E">
      <w:pPr>
        <w:spacing w:line="440" w:lineRule="exact"/>
        <w:ind w:firstLine="945" w:firstLineChars="450"/>
        <w:rPr>
          <w:rFonts w:ascii="宋体" w:hAnsi="宋体"/>
          <w:szCs w:val="21"/>
        </w:rPr>
      </w:pPr>
      <w:r>
        <w:rPr>
          <w:rFonts w:hint="eastAsia"/>
          <w:szCs w:val="21"/>
        </w:rPr>
        <w:t>□</w:t>
      </w:r>
      <w:r>
        <w:rPr>
          <w:rFonts w:hint="eastAsia" w:ascii="宋体" w:hAnsi="宋体"/>
          <w:szCs w:val="21"/>
        </w:rPr>
        <w:t>发包方与注册建造师受聘企业已解除承包合同的；</w:t>
      </w:r>
    </w:p>
    <w:p w14:paraId="3B9F10D3">
      <w:pPr>
        <w:spacing w:line="440" w:lineRule="exact"/>
        <w:ind w:firstLine="945" w:firstLineChars="450"/>
        <w:rPr>
          <w:rFonts w:ascii="宋体" w:hAnsi="宋体"/>
          <w:szCs w:val="21"/>
        </w:rPr>
      </w:pPr>
      <w:r>
        <w:rPr>
          <w:rFonts w:hint="eastAsia"/>
          <w:szCs w:val="21"/>
        </w:rPr>
        <w:t>□</w:t>
      </w:r>
      <w:r>
        <w:rPr>
          <w:rFonts w:hint="eastAsia" w:ascii="宋体" w:hAnsi="宋体"/>
          <w:szCs w:val="21"/>
        </w:rPr>
        <w:t>发包方同意更换项目负责人的；</w:t>
      </w:r>
    </w:p>
    <w:p w14:paraId="004BD874">
      <w:pPr>
        <w:spacing w:line="440" w:lineRule="exact"/>
        <w:ind w:firstLine="945" w:firstLineChars="450"/>
        <w:rPr>
          <w:rFonts w:ascii="宋体" w:hAnsi="宋体"/>
          <w:szCs w:val="21"/>
        </w:rPr>
      </w:pPr>
      <w:r>
        <w:rPr>
          <w:rFonts w:hint="eastAsia"/>
          <w:szCs w:val="21"/>
        </w:rPr>
        <w:t>□</w:t>
      </w:r>
      <w:r>
        <w:rPr>
          <w:rFonts w:hint="eastAsia" w:ascii="宋体" w:hAnsi="宋体"/>
          <w:szCs w:val="21"/>
        </w:rPr>
        <w:t>因不可抗力等特殊情况必须更换项目负责人的。</w:t>
      </w:r>
    </w:p>
    <w:p w14:paraId="60C86EF7">
      <w:pPr>
        <w:spacing w:line="440" w:lineRule="exact"/>
        <w:ind w:firstLine="525" w:firstLineChars="250"/>
        <w:rPr>
          <w:rFonts w:ascii="宋体" w:hAnsi="宋体"/>
          <w:szCs w:val="21"/>
        </w:rPr>
      </w:pPr>
      <w:r>
        <w:rPr>
          <w:rFonts w:hint="eastAsia"/>
          <w:szCs w:val="21"/>
        </w:rPr>
        <w:t xml:space="preserve">□ </w:t>
      </w:r>
      <w:r>
        <w:rPr>
          <w:rFonts w:hint="eastAsia"/>
          <w:szCs w:val="21"/>
          <w:u w:val="single"/>
        </w:rPr>
        <w:t xml:space="preserve">                                                   </w:t>
      </w:r>
      <w:r>
        <w:rPr>
          <w:rFonts w:hint="eastAsia"/>
          <w:szCs w:val="21"/>
        </w:rPr>
        <w:t xml:space="preserve"> 。</w:t>
      </w:r>
    </w:p>
    <w:p w14:paraId="18EF97AC">
      <w:pPr>
        <w:spacing w:line="440" w:lineRule="exact"/>
        <w:ind w:firstLine="420" w:firstLineChars="200"/>
        <w:rPr>
          <w:rFonts w:ascii="宋体" w:hAnsi="宋体"/>
          <w:szCs w:val="21"/>
        </w:rPr>
      </w:pPr>
      <w:r>
        <w:rPr>
          <w:rFonts w:hint="eastAsia" w:ascii="宋体" w:hAnsi="宋体"/>
          <w:szCs w:val="21"/>
        </w:rPr>
        <w:t>我方保证上述信息的真实性和准确性，并承担相应的法律责任。</w:t>
      </w:r>
    </w:p>
    <w:p w14:paraId="019578DE">
      <w:pPr>
        <w:spacing w:line="440" w:lineRule="exact"/>
        <w:ind w:firstLine="420" w:firstLineChars="200"/>
        <w:rPr>
          <w:rFonts w:ascii="宋体" w:hAnsi="宋体"/>
          <w:szCs w:val="21"/>
        </w:rPr>
      </w:pPr>
      <w:r>
        <w:rPr>
          <w:rFonts w:hint="eastAsia" w:ascii="宋体" w:hAnsi="宋体"/>
          <w:szCs w:val="21"/>
        </w:rPr>
        <w:t>特此承诺</w:t>
      </w:r>
    </w:p>
    <w:p w14:paraId="4A63C86D">
      <w:pPr>
        <w:spacing w:line="440" w:lineRule="exact"/>
        <w:ind w:firstLine="420" w:firstLineChars="200"/>
        <w:rPr>
          <w:rFonts w:hint="eastAsia" w:ascii="宋体" w:hAnsi="宋体"/>
          <w:szCs w:val="21"/>
        </w:rPr>
      </w:pPr>
    </w:p>
    <w:p w14:paraId="3C66D03C">
      <w:pPr>
        <w:spacing w:line="440" w:lineRule="exact"/>
        <w:ind w:firstLine="420" w:firstLineChars="200"/>
        <w:rPr>
          <w:rFonts w:hint="eastAsia" w:ascii="宋体" w:hAnsi="宋体"/>
          <w:szCs w:val="21"/>
        </w:rPr>
      </w:pPr>
    </w:p>
    <w:p w14:paraId="3B7CF933">
      <w:pPr>
        <w:spacing w:line="44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721B8BA5">
      <w:pPr>
        <w:wordWrap w:val="0"/>
        <w:spacing w:line="440" w:lineRule="exact"/>
        <w:jc w:val="right"/>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79499EF2">
      <w:pPr>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014E5F7">
      <w:pPr>
        <w:sectPr>
          <w:footerReference r:id="rId34" w:type="default"/>
          <w:pgSz w:w="11906" w:h="16838"/>
          <w:pgMar w:top="1440" w:right="1800" w:bottom="1440" w:left="1800" w:header="851" w:footer="992" w:gutter="0"/>
          <w:pgNumType w:fmt="decimal"/>
          <w:cols w:space="425" w:num="1"/>
          <w:docGrid w:type="lines" w:linePitch="312" w:charSpace="0"/>
        </w:sectPr>
      </w:pPr>
    </w:p>
    <w:p w14:paraId="2C43310A">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rPr>
      </w:pPr>
      <w:bookmarkStart w:id="2284" w:name="_Toc256000419"/>
      <w:bookmarkStart w:id="2285" w:name="_Toc122603083"/>
      <w:r>
        <w:rPr>
          <w:rFonts w:hint="eastAsia"/>
          <w:sz w:val="28"/>
          <w:szCs w:val="28"/>
          <w:lang w:eastAsia="zh-CN"/>
        </w:rPr>
        <w:t>（</w:t>
      </w:r>
      <w:r>
        <w:rPr>
          <w:rFonts w:hint="default"/>
          <w:sz w:val="28"/>
          <w:szCs w:val="28"/>
        </w:rPr>
        <w:t>四</w:t>
      </w:r>
      <w:r>
        <w:rPr>
          <w:rFonts w:hint="eastAsia"/>
          <w:sz w:val="28"/>
          <w:szCs w:val="28"/>
          <w:lang w:eastAsia="zh-CN"/>
        </w:rPr>
        <w:t>）</w:t>
      </w:r>
      <w:r>
        <w:rPr>
          <w:rFonts w:hint="eastAsia"/>
          <w:sz w:val="28"/>
          <w:szCs w:val="28"/>
        </w:rPr>
        <w:t>其他主要项目管理人员简历表</w:t>
      </w:r>
      <w:bookmarkEnd w:id="2284"/>
      <w:bookmarkEnd w:id="228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692F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C0A20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rPr>
            </w:pPr>
            <w:r>
              <w:rPr>
                <w:rFonts w:hint="eastAsia" w:ascii="宋体" w:hAnsi="宋体"/>
                <w:szCs w:val="21"/>
              </w:rPr>
              <w:t>岗位名称</w:t>
            </w:r>
          </w:p>
          <w:p w14:paraId="2C27B4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职务</w:t>
            </w:r>
            <w:r>
              <w:rPr>
                <w:rFonts w:hint="eastAsia" w:ascii="宋体" w:hAnsi="宋体"/>
                <w:szCs w:val="21"/>
                <w:lang w:eastAsia="zh-CN"/>
              </w:rPr>
              <w:t>）</w:t>
            </w:r>
          </w:p>
        </w:tc>
        <w:tc>
          <w:tcPr>
            <w:tcW w:w="7560" w:type="dxa"/>
            <w:gridSpan w:val="3"/>
            <w:vAlign w:val="center"/>
          </w:tcPr>
          <w:p w14:paraId="56FE0C99">
            <w:pPr>
              <w:jc w:val="center"/>
              <w:rPr>
                <w:rFonts w:ascii="宋体" w:hAnsi="宋体"/>
                <w:szCs w:val="21"/>
              </w:rPr>
            </w:pPr>
          </w:p>
        </w:tc>
      </w:tr>
      <w:tr w14:paraId="0385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0C7285D">
            <w:pPr>
              <w:jc w:val="center"/>
              <w:rPr>
                <w:rFonts w:ascii="宋体" w:hAnsi="宋体"/>
                <w:szCs w:val="21"/>
              </w:rPr>
            </w:pPr>
            <w:r>
              <w:rPr>
                <w:rFonts w:hint="eastAsia" w:ascii="宋体" w:hAnsi="宋体"/>
                <w:szCs w:val="21"/>
              </w:rPr>
              <w:t>姓    名</w:t>
            </w:r>
          </w:p>
        </w:tc>
        <w:tc>
          <w:tcPr>
            <w:tcW w:w="2880" w:type="dxa"/>
            <w:vAlign w:val="center"/>
          </w:tcPr>
          <w:p w14:paraId="72D52CD2">
            <w:pPr>
              <w:jc w:val="center"/>
              <w:rPr>
                <w:rFonts w:ascii="宋体" w:hAnsi="宋体"/>
                <w:szCs w:val="21"/>
              </w:rPr>
            </w:pPr>
          </w:p>
        </w:tc>
        <w:tc>
          <w:tcPr>
            <w:tcW w:w="1800" w:type="dxa"/>
            <w:vAlign w:val="center"/>
          </w:tcPr>
          <w:p w14:paraId="1888B26B">
            <w:pPr>
              <w:jc w:val="center"/>
              <w:rPr>
                <w:rFonts w:ascii="宋体" w:hAnsi="宋体"/>
                <w:szCs w:val="21"/>
              </w:rPr>
            </w:pPr>
            <w:r>
              <w:rPr>
                <w:rFonts w:hint="eastAsia" w:ascii="宋体" w:hAnsi="宋体"/>
                <w:szCs w:val="21"/>
              </w:rPr>
              <w:t>年    龄</w:t>
            </w:r>
          </w:p>
        </w:tc>
        <w:tc>
          <w:tcPr>
            <w:tcW w:w="2880" w:type="dxa"/>
            <w:vAlign w:val="center"/>
          </w:tcPr>
          <w:p w14:paraId="65BC2D57">
            <w:pPr>
              <w:jc w:val="center"/>
              <w:rPr>
                <w:rFonts w:ascii="宋体" w:hAnsi="宋体"/>
                <w:szCs w:val="21"/>
              </w:rPr>
            </w:pPr>
          </w:p>
        </w:tc>
      </w:tr>
      <w:tr w14:paraId="0C87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760F17">
            <w:pPr>
              <w:jc w:val="center"/>
              <w:rPr>
                <w:rFonts w:ascii="宋体" w:hAnsi="宋体"/>
                <w:szCs w:val="21"/>
              </w:rPr>
            </w:pPr>
            <w:r>
              <w:rPr>
                <w:rFonts w:hint="eastAsia" w:ascii="宋体" w:hAnsi="宋体"/>
                <w:szCs w:val="21"/>
              </w:rPr>
              <w:t>性    别</w:t>
            </w:r>
          </w:p>
        </w:tc>
        <w:tc>
          <w:tcPr>
            <w:tcW w:w="2880" w:type="dxa"/>
            <w:vAlign w:val="center"/>
          </w:tcPr>
          <w:p w14:paraId="7CC9CCBA">
            <w:pPr>
              <w:jc w:val="center"/>
              <w:rPr>
                <w:rFonts w:ascii="宋体" w:hAnsi="宋体"/>
                <w:szCs w:val="21"/>
              </w:rPr>
            </w:pPr>
          </w:p>
        </w:tc>
        <w:tc>
          <w:tcPr>
            <w:tcW w:w="1800" w:type="dxa"/>
            <w:vAlign w:val="center"/>
          </w:tcPr>
          <w:p w14:paraId="760D2179">
            <w:pPr>
              <w:jc w:val="center"/>
              <w:rPr>
                <w:rFonts w:ascii="宋体" w:hAnsi="宋体"/>
                <w:szCs w:val="21"/>
              </w:rPr>
            </w:pPr>
            <w:r>
              <w:rPr>
                <w:rFonts w:hint="eastAsia" w:ascii="宋体" w:hAnsi="宋体"/>
                <w:szCs w:val="21"/>
              </w:rPr>
              <w:t>毕业学校</w:t>
            </w:r>
          </w:p>
        </w:tc>
        <w:tc>
          <w:tcPr>
            <w:tcW w:w="2880" w:type="dxa"/>
            <w:vAlign w:val="center"/>
          </w:tcPr>
          <w:p w14:paraId="4E2C0EFC">
            <w:pPr>
              <w:jc w:val="center"/>
              <w:rPr>
                <w:rFonts w:ascii="宋体" w:hAnsi="宋体"/>
                <w:szCs w:val="21"/>
              </w:rPr>
            </w:pPr>
          </w:p>
        </w:tc>
      </w:tr>
      <w:tr w14:paraId="5E66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3FA48ED">
            <w:pPr>
              <w:jc w:val="center"/>
              <w:rPr>
                <w:rFonts w:ascii="宋体" w:hAnsi="宋体"/>
                <w:szCs w:val="21"/>
              </w:rPr>
            </w:pPr>
            <w:r>
              <w:rPr>
                <w:rFonts w:hint="eastAsia" w:ascii="宋体" w:hAnsi="宋体"/>
                <w:szCs w:val="21"/>
              </w:rPr>
              <w:t>学历和专业</w:t>
            </w:r>
          </w:p>
        </w:tc>
        <w:tc>
          <w:tcPr>
            <w:tcW w:w="2880" w:type="dxa"/>
            <w:vAlign w:val="center"/>
          </w:tcPr>
          <w:p w14:paraId="3C2E8DB9">
            <w:pPr>
              <w:jc w:val="center"/>
              <w:rPr>
                <w:rFonts w:ascii="宋体" w:hAnsi="宋体"/>
                <w:szCs w:val="21"/>
              </w:rPr>
            </w:pPr>
          </w:p>
        </w:tc>
        <w:tc>
          <w:tcPr>
            <w:tcW w:w="1800" w:type="dxa"/>
            <w:vAlign w:val="center"/>
          </w:tcPr>
          <w:p w14:paraId="4337B4FD">
            <w:pPr>
              <w:jc w:val="center"/>
              <w:rPr>
                <w:rFonts w:ascii="宋体" w:hAnsi="宋体"/>
                <w:szCs w:val="21"/>
              </w:rPr>
            </w:pPr>
            <w:r>
              <w:rPr>
                <w:rFonts w:hint="eastAsia" w:ascii="宋体" w:hAnsi="宋体"/>
                <w:szCs w:val="21"/>
              </w:rPr>
              <w:t>毕业时间</w:t>
            </w:r>
          </w:p>
        </w:tc>
        <w:tc>
          <w:tcPr>
            <w:tcW w:w="2880" w:type="dxa"/>
            <w:vAlign w:val="center"/>
          </w:tcPr>
          <w:p w14:paraId="167B7A84">
            <w:pPr>
              <w:jc w:val="center"/>
              <w:rPr>
                <w:rFonts w:ascii="宋体" w:hAnsi="宋体"/>
                <w:szCs w:val="21"/>
              </w:rPr>
            </w:pPr>
          </w:p>
        </w:tc>
      </w:tr>
      <w:tr w14:paraId="7DEE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B29A11B">
            <w:pPr>
              <w:jc w:val="center"/>
              <w:rPr>
                <w:rFonts w:ascii="宋体" w:hAnsi="宋体"/>
                <w:szCs w:val="21"/>
              </w:rPr>
            </w:pPr>
            <w:r>
              <w:rPr>
                <w:rFonts w:hint="eastAsia" w:ascii="宋体" w:hAnsi="宋体"/>
                <w:szCs w:val="21"/>
              </w:rPr>
              <w:t>执业/岗位资格</w:t>
            </w:r>
          </w:p>
        </w:tc>
        <w:tc>
          <w:tcPr>
            <w:tcW w:w="2880" w:type="dxa"/>
            <w:vAlign w:val="center"/>
          </w:tcPr>
          <w:p w14:paraId="56B4A089">
            <w:pPr>
              <w:jc w:val="center"/>
              <w:rPr>
                <w:rFonts w:ascii="宋体" w:hAnsi="宋体"/>
                <w:szCs w:val="21"/>
              </w:rPr>
            </w:pPr>
          </w:p>
        </w:tc>
        <w:tc>
          <w:tcPr>
            <w:tcW w:w="1800" w:type="dxa"/>
            <w:vAlign w:val="center"/>
          </w:tcPr>
          <w:p w14:paraId="0CEA24DA">
            <w:pPr>
              <w:jc w:val="center"/>
              <w:rPr>
                <w:rFonts w:ascii="宋体" w:hAnsi="宋体"/>
                <w:szCs w:val="21"/>
              </w:rPr>
            </w:pPr>
            <w:r>
              <w:rPr>
                <w:rFonts w:hint="eastAsia" w:ascii="宋体" w:hAnsi="宋体"/>
                <w:szCs w:val="21"/>
              </w:rPr>
              <w:t>专业职称</w:t>
            </w:r>
          </w:p>
        </w:tc>
        <w:tc>
          <w:tcPr>
            <w:tcW w:w="2880" w:type="dxa"/>
            <w:vAlign w:val="center"/>
          </w:tcPr>
          <w:p w14:paraId="42DBE838">
            <w:pPr>
              <w:jc w:val="center"/>
              <w:rPr>
                <w:rFonts w:ascii="宋体" w:hAnsi="宋体"/>
                <w:szCs w:val="21"/>
              </w:rPr>
            </w:pPr>
          </w:p>
        </w:tc>
      </w:tr>
      <w:tr w14:paraId="1C40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4291913">
            <w:pPr>
              <w:jc w:val="center"/>
              <w:rPr>
                <w:rFonts w:ascii="宋体" w:hAnsi="宋体"/>
                <w:szCs w:val="21"/>
              </w:rPr>
            </w:pPr>
            <w:r>
              <w:rPr>
                <w:rFonts w:hint="eastAsia" w:ascii="宋体" w:hAnsi="宋体"/>
                <w:szCs w:val="21"/>
              </w:rPr>
              <w:t>执业/岗位</w:t>
            </w:r>
          </w:p>
          <w:p w14:paraId="45F8943A">
            <w:pPr>
              <w:jc w:val="center"/>
              <w:rPr>
                <w:rFonts w:ascii="宋体" w:hAnsi="宋体"/>
                <w:szCs w:val="21"/>
              </w:rPr>
            </w:pPr>
            <w:r>
              <w:rPr>
                <w:rFonts w:hint="eastAsia" w:ascii="宋体" w:hAnsi="宋体"/>
                <w:szCs w:val="21"/>
              </w:rPr>
              <w:t>证书编号</w:t>
            </w:r>
          </w:p>
        </w:tc>
        <w:tc>
          <w:tcPr>
            <w:tcW w:w="2880" w:type="dxa"/>
            <w:vAlign w:val="center"/>
          </w:tcPr>
          <w:p w14:paraId="19BF7833">
            <w:pPr>
              <w:jc w:val="center"/>
              <w:rPr>
                <w:rFonts w:ascii="宋体" w:hAnsi="宋体"/>
                <w:szCs w:val="21"/>
              </w:rPr>
            </w:pPr>
          </w:p>
        </w:tc>
        <w:tc>
          <w:tcPr>
            <w:tcW w:w="1800" w:type="dxa"/>
            <w:vAlign w:val="center"/>
          </w:tcPr>
          <w:p w14:paraId="2BAEB931">
            <w:pPr>
              <w:jc w:val="center"/>
              <w:rPr>
                <w:rFonts w:ascii="宋体" w:hAnsi="宋体"/>
                <w:szCs w:val="21"/>
              </w:rPr>
            </w:pPr>
            <w:r>
              <w:rPr>
                <w:rFonts w:hint="eastAsia" w:ascii="宋体" w:hAnsi="宋体"/>
                <w:szCs w:val="21"/>
              </w:rPr>
              <w:t>专业工作年限</w:t>
            </w:r>
          </w:p>
        </w:tc>
        <w:tc>
          <w:tcPr>
            <w:tcW w:w="2880" w:type="dxa"/>
            <w:vAlign w:val="center"/>
          </w:tcPr>
          <w:p w14:paraId="531F078D">
            <w:pPr>
              <w:jc w:val="center"/>
              <w:rPr>
                <w:rFonts w:ascii="宋体" w:hAnsi="宋体"/>
                <w:szCs w:val="21"/>
              </w:rPr>
            </w:pPr>
          </w:p>
          <w:p w14:paraId="7D631D9F">
            <w:pPr>
              <w:jc w:val="center"/>
              <w:rPr>
                <w:rFonts w:ascii="宋体" w:hAnsi="宋体"/>
                <w:szCs w:val="21"/>
              </w:rPr>
            </w:pPr>
          </w:p>
        </w:tc>
      </w:tr>
      <w:tr w14:paraId="5950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77EE5928">
            <w:pPr>
              <w:ind w:firstLine="210" w:firstLineChars="100"/>
              <w:jc w:val="center"/>
              <w:rPr>
                <w:rFonts w:ascii="宋体" w:hAnsi="宋体"/>
                <w:szCs w:val="21"/>
              </w:rPr>
            </w:pPr>
            <w:r>
              <w:rPr>
                <w:rFonts w:hint="eastAsia" w:ascii="宋体" w:hAnsi="宋体"/>
                <w:szCs w:val="21"/>
              </w:rPr>
              <w:t>主</w:t>
            </w:r>
          </w:p>
          <w:p w14:paraId="3A5D5186">
            <w:pPr>
              <w:ind w:firstLine="210" w:firstLineChars="100"/>
              <w:jc w:val="center"/>
              <w:rPr>
                <w:rFonts w:ascii="宋体" w:hAnsi="宋体"/>
                <w:szCs w:val="21"/>
              </w:rPr>
            </w:pPr>
            <w:r>
              <w:rPr>
                <w:rFonts w:hint="eastAsia" w:ascii="宋体" w:hAnsi="宋体"/>
                <w:szCs w:val="21"/>
              </w:rPr>
              <w:t>要</w:t>
            </w:r>
          </w:p>
          <w:p w14:paraId="6B61D809">
            <w:pPr>
              <w:ind w:firstLine="210" w:firstLineChars="100"/>
              <w:jc w:val="center"/>
              <w:rPr>
                <w:rFonts w:ascii="宋体" w:hAnsi="宋体"/>
                <w:szCs w:val="21"/>
              </w:rPr>
            </w:pPr>
            <w:r>
              <w:rPr>
                <w:rFonts w:hint="eastAsia" w:ascii="宋体" w:hAnsi="宋体"/>
                <w:szCs w:val="21"/>
              </w:rPr>
              <w:t>工</w:t>
            </w:r>
          </w:p>
          <w:p w14:paraId="37B54F3B">
            <w:pPr>
              <w:ind w:firstLine="210" w:firstLineChars="100"/>
              <w:jc w:val="center"/>
              <w:rPr>
                <w:rFonts w:ascii="宋体" w:hAnsi="宋体"/>
                <w:szCs w:val="21"/>
              </w:rPr>
            </w:pPr>
            <w:r>
              <w:rPr>
                <w:rFonts w:hint="eastAsia" w:ascii="宋体" w:hAnsi="宋体"/>
                <w:szCs w:val="21"/>
              </w:rPr>
              <w:t>作</w:t>
            </w:r>
          </w:p>
          <w:p w14:paraId="53153256">
            <w:pPr>
              <w:ind w:firstLine="210" w:firstLineChars="100"/>
              <w:jc w:val="center"/>
              <w:rPr>
                <w:rFonts w:ascii="宋体" w:hAnsi="宋体"/>
                <w:szCs w:val="21"/>
              </w:rPr>
            </w:pPr>
            <w:r>
              <w:rPr>
                <w:rFonts w:hint="eastAsia" w:ascii="宋体" w:hAnsi="宋体"/>
                <w:szCs w:val="21"/>
              </w:rPr>
              <w:t>业</w:t>
            </w:r>
          </w:p>
          <w:p w14:paraId="0809A29D">
            <w:pPr>
              <w:ind w:firstLine="210" w:firstLineChars="100"/>
              <w:jc w:val="center"/>
              <w:rPr>
                <w:rFonts w:ascii="宋体" w:hAnsi="宋体"/>
                <w:szCs w:val="21"/>
              </w:rPr>
            </w:pPr>
            <w:r>
              <w:rPr>
                <w:rFonts w:hint="eastAsia" w:ascii="宋体" w:hAnsi="宋体"/>
                <w:szCs w:val="21"/>
              </w:rPr>
              <w:t>绩</w:t>
            </w:r>
          </w:p>
          <w:p w14:paraId="744A2400">
            <w:pPr>
              <w:ind w:firstLine="210" w:firstLineChars="100"/>
              <w:jc w:val="center"/>
              <w:rPr>
                <w:rFonts w:ascii="宋体" w:hAnsi="宋体"/>
                <w:szCs w:val="21"/>
              </w:rPr>
            </w:pPr>
            <w:r>
              <w:rPr>
                <w:rFonts w:hint="eastAsia" w:ascii="宋体" w:hAnsi="宋体"/>
                <w:szCs w:val="21"/>
              </w:rPr>
              <w:t>及</w:t>
            </w:r>
          </w:p>
          <w:p w14:paraId="113222C7">
            <w:pPr>
              <w:ind w:firstLine="210" w:firstLineChars="100"/>
              <w:jc w:val="center"/>
              <w:rPr>
                <w:rFonts w:ascii="宋体" w:hAnsi="宋体"/>
                <w:szCs w:val="21"/>
              </w:rPr>
            </w:pPr>
            <w:r>
              <w:rPr>
                <w:rFonts w:hint="eastAsia" w:ascii="宋体" w:hAnsi="宋体"/>
                <w:szCs w:val="21"/>
              </w:rPr>
              <w:t>担</w:t>
            </w:r>
          </w:p>
          <w:p w14:paraId="28504730">
            <w:pPr>
              <w:ind w:firstLine="210" w:firstLineChars="100"/>
              <w:jc w:val="center"/>
              <w:rPr>
                <w:rFonts w:ascii="宋体" w:hAnsi="宋体"/>
                <w:szCs w:val="21"/>
              </w:rPr>
            </w:pPr>
            <w:r>
              <w:rPr>
                <w:rFonts w:hint="eastAsia" w:ascii="宋体" w:hAnsi="宋体"/>
                <w:szCs w:val="21"/>
              </w:rPr>
              <w:t>任</w:t>
            </w:r>
          </w:p>
          <w:p w14:paraId="21991DAD">
            <w:pPr>
              <w:ind w:firstLine="210" w:firstLineChars="100"/>
              <w:jc w:val="center"/>
              <w:rPr>
                <w:rFonts w:ascii="宋体" w:hAnsi="宋体"/>
                <w:szCs w:val="21"/>
              </w:rPr>
            </w:pPr>
            <w:r>
              <w:rPr>
                <w:rFonts w:hint="eastAsia" w:ascii="宋体" w:hAnsi="宋体"/>
                <w:szCs w:val="21"/>
              </w:rPr>
              <w:t>的</w:t>
            </w:r>
          </w:p>
          <w:p w14:paraId="77BC1492">
            <w:pPr>
              <w:ind w:firstLine="210" w:firstLineChars="100"/>
              <w:jc w:val="center"/>
              <w:rPr>
                <w:rFonts w:ascii="宋体" w:hAnsi="宋体"/>
                <w:szCs w:val="21"/>
              </w:rPr>
            </w:pPr>
            <w:r>
              <w:rPr>
                <w:rFonts w:hint="eastAsia" w:ascii="宋体" w:hAnsi="宋体"/>
                <w:szCs w:val="21"/>
              </w:rPr>
              <w:t>主</w:t>
            </w:r>
          </w:p>
          <w:p w14:paraId="1E3B25C8">
            <w:pPr>
              <w:ind w:firstLine="210" w:firstLineChars="100"/>
              <w:jc w:val="center"/>
              <w:rPr>
                <w:rFonts w:ascii="宋体" w:hAnsi="宋体"/>
                <w:szCs w:val="21"/>
              </w:rPr>
            </w:pPr>
            <w:r>
              <w:rPr>
                <w:rFonts w:hint="eastAsia" w:ascii="宋体" w:hAnsi="宋体"/>
                <w:szCs w:val="21"/>
              </w:rPr>
              <w:t>要</w:t>
            </w:r>
          </w:p>
          <w:p w14:paraId="71386A74">
            <w:pPr>
              <w:ind w:firstLine="210" w:firstLineChars="100"/>
              <w:jc w:val="center"/>
              <w:rPr>
                <w:rFonts w:ascii="宋体" w:hAnsi="宋体"/>
                <w:szCs w:val="21"/>
              </w:rPr>
            </w:pPr>
            <w:r>
              <w:rPr>
                <w:rFonts w:hint="eastAsia" w:ascii="宋体" w:hAnsi="宋体"/>
                <w:szCs w:val="21"/>
              </w:rPr>
              <w:t>工</w:t>
            </w:r>
          </w:p>
          <w:p w14:paraId="66BF4336">
            <w:pPr>
              <w:ind w:firstLine="210" w:firstLineChars="100"/>
              <w:jc w:val="center"/>
              <w:rPr>
                <w:rFonts w:ascii="宋体" w:hAnsi="宋体"/>
                <w:szCs w:val="21"/>
              </w:rPr>
            </w:pPr>
            <w:r>
              <w:rPr>
                <w:rFonts w:hint="eastAsia" w:ascii="宋体" w:hAnsi="宋体"/>
                <w:szCs w:val="21"/>
              </w:rPr>
              <w:t>作</w:t>
            </w:r>
          </w:p>
        </w:tc>
        <w:tc>
          <w:tcPr>
            <w:tcW w:w="7560" w:type="dxa"/>
            <w:gridSpan w:val="3"/>
            <w:vAlign w:val="center"/>
          </w:tcPr>
          <w:p w14:paraId="79257B8A">
            <w:pPr>
              <w:jc w:val="center"/>
              <w:rPr>
                <w:rFonts w:ascii="宋体" w:hAnsi="宋体"/>
                <w:szCs w:val="21"/>
              </w:rPr>
            </w:pPr>
          </w:p>
        </w:tc>
      </w:tr>
    </w:tbl>
    <w:p w14:paraId="79473AB2">
      <w:pPr>
        <w:ind w:left="630" w:hanging="630" w:hangingChars="300"/>
        <w:sectPr>
          <w:footerReference r:id="rId35"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备注：其他主</w:t>
      </w:r>
      <w:r>
        <w:rPr>
          <w:rFonts w:hint="eastAsia" w:ascii="宋体" w:hAnsi="宋体"/>
        </w:rPr>
        <w:t>要项目管理人员指项目副经理（如有）、项目技术负责人、</w:t>
      </w:r>
      <w:r>
        <w:rPr>
          <w:rFonts w:ascii="宋体" w:hAnsi="宋体"/>
        </w:rPr>
        <w:t>施工</w:t>
      </w:r>
      <w:r>
        <w:rPr>
          <w:rFonts w:hint="eastAsia" w:ascii="宋体" w:hAnsi="宋体"/>
        </w:rPr>
        <w:t>管理</w:t>
      </w:r>
      <w:r>
        <w:rPr>
          <w:rFonts w:ascii="宋体" w:hAnsi="宋体"/>
        </w:rPr>
        <w:t>、质量</w:t>
      </w:r>
      <w:r>
        <w:rPr>
          <w:rFonts w:hint="eastAsia" w:ascii="宋体" w:hAnsi="宋体"/>
        </w:rPr>
        <w:t>管理</w:t>
      </w:r>
      <w:r>
        <w:rPr>
          <w:rFonts w:ascii="宋体" w:hAnsi="宋体"/>
        </w:rPr>
        <w:t>、安全</w:t>
      </w:r>
      <w:r>
        <w:rPr>
          <w:rFonts w:hint="eastAsia" w:ascii="宋体" w:hAnsi="宋体"/>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rPr>
        <w:t>施工</w:t>
      </w:r>
      <w:r>
        <w:rPr>
          <w:rFonts w:hint="eastAsia" w:ascii="宋体" w:hAnsi="宋体"/>
        </w:rPr>
        <w:t>管理</w:t>
      </w:r>
      <w:r>
        <w:rPr>
          <w:rFonts w:ascii="宋体" w:hAnsi="宋体"/>
        </w:rPr>
        <w:t>、质量</w:t>
      </w:r>
      <w:r>
        <w:rPr>
          <w:rFonts w:hint="eastAsia" w:ascii="宋体" w:hAnsi="宋体"/>
        </w:rPr>
        <w:t>管理及资格条件要求的其他岗位人员应附岗位培训考核合格证书。</w:t>
      </w:r>
    </w:p>
    <w:p w14:paraId="3EEE1341">
      <w:pPr>
        <w:bidi w:val="0"/>
        <w:rPr>
          <w:rFonts w:hint="eastAsia"/>
        </w:rPr>
      </w:pPr>
      <w:bookmarkStart w:id="2286" w:name="_Toc122603084"/>
    </w:p>
    <w:p w14:paraId="5DEC3899">
      <w:pPr>
        <w:bidi w:val="0"/>
        <w:rPr>
          <w:rFonts w:hint="eastAsia"/>
        </w:rPr>
      </w:pPr>
    </w:p>
    <w:p w14:paraId="7E1326B6">
      <w:pPr>
        <w:bidi w:val="0"/>
        <w:rPr>
          <w:rFonts w:hint="eastAsia"/>
        </w:rPr>
      </w:pPr>
    </w:p>
    <w:p w14:paraId="2CC6234A">
      <w:pPr>
        <w:bidi w:val="0"/>
        <w:rPr>
          <w:rFonts w:hint="eastAsia"/>
        </w:rPr>
      </w:pPr>
    </w:p>
    <w:p w14:paraId="5073ABA4">
      <w:pPr>
        <w:bidi w:val="0"/>
        <w:rPr>
          <w:rFonts w:hint="eastAsia"/>
        </w:rPr>
      </w:pPr>
    </w:p>
    <w:p w14:paraId="7581F0B8">
      <w:pPr>
        <w:bidi w:val="0"/>
        <w:rPr>
          <w:rFonts w:hint="eastAsia"/>
        </w:rPr>
      </w:pPr>
    </w:p>
    <w:p w14:paraId="4E5D1521">
      <w:pPr>
        <w:bidi w:val="0"/>
        <w:rPr>
          <w:rFonts w:hint="eastAsia"/>
        </w:rPr>
      </w:pPr>
    </w:p>
    <w:p w14:paraId="63728AEE">
      <w:pPr>
        <w:bidi w:val="0"/>
        <w:rPr>
          <w:rFonts w:hint="eastAsia"/>
        </w:rPr>
      </w:pPr>
    </w:p>
    <w:p w14:paraId="5CBB227B">
      <w:pPr>
        <w:bidi w:val="0"/>
        <w:rPr>
          <w:rFonts w:hint="eastAsia"/>
        </w:rPr>
      </w:pPr>
    </w:p>
    <w:p w14:paraId="167388C1">
      <w:pPr>
        <w:bidi w:val="0"/>
        <w:rPr>
          <w:rFonts w:hint="eastAsia"/>
        </w:rPr>
      </w:pPr>
    </w:p>
    <w:p w14:paraId="18E45667">
      <w:pPr>
        <w:bidi w:val="0"/>
        <w:rPr>
          <w:rFonts w:hint="eastAsia"/>
        </w:rPr>
      </w:pPr>
    </w:p>
    <w:p w14:paraId="01E442EA">
      <w:pPr>
        <w:bidi w:val="0"/>
        <w:rPr>
          <w:rFonts w:hint="eastAsia"/>
        </w:rPr>
      </w:pPr>
    </w:p>
    <w:p w14:paraId="33DC6CA5">
      <w:pPr>
        <w:bidi w:val="0"/>
        <w:rPr>
          <w:rFonts w:hint="eastAsia"/>
        </w:rPr>
      </w:pPr>
    </w:p>
    <w:p w14:paraId="1083A5DB">
      <w:pPr>
        <w:pStyle w:val="23"/>
        <w:jc w:val="center"/>
        <w:rPr>
          <w:rFonts w:ascii="黑体" w:hAnsi="宋体"/>
          <w:szCs w:val="28"/>
        </w:rPr>
      </w:pPr>
      <w:bookmarkStart w:id="2287" w:name="_Toc256000420"/>
      <w:r>
        <w:rPr>
          <w:rFonts w:hint="default"/>
        </w:rPr>
        <w:t>五</w:t>
      </w:r>
      <w:r>
        <w:rPr>
          <w:rFonts w:hint="eastAsia"/>
        </w:rPr>
        <w:t>、资格审查资料</w:t>
      </w:r>
      <w:bookmarkEnd w:id="2286"/>
      <w:bookmarkEnd w:id="2287"/>
    </w:p>
    <w:p w14:paraId="0BDA7F25">
      <w:pPr>
        <w:sectPr>
          <w:footerReference r:id="rId36" w:type="default"/>
          <w:pgSz w:w="11906" w:h="16838"/>
          <w:pgMar w:top="1440" w:right="1800" w:bottom="1440" w:left="1800" w:header="851" w:footer="992" w:gutter="0"/>
          <w:pgNumType w:fmt="decimal"/>
          <w:cols w:space="425" w:num="1"/>
          <w:docGrid w:type="lines" w:linePitch="312" w:charSpace="0"/>
        </w:sectPr>
      </w:pPr>
    </w:p>
    <w:p w14:paraId="0A3B3E8F">
      <w:pPr>
        <w:bidi w:val="0"/>
        <w:rPr>
          <w:rFonts w:hint="default"/>
        </w:rPr>
      </w:pPr>
      <w:bookmarkStart w:id="2288" w:name="_Toc122603085"/>
    </w:p>
    <w:p w14:paraId="0942CFE5">
      <w:pPr>
        <w:bidi w:val="0"/>
        <w:rPr>
          <w:rFonts w:hint="default"/>
        </w:rPr>
      </w:pPr>
    </w:p>
    <w:p w14:paraId="6F93AF0D">
      <w:pPr>
        <w:bidi w:val="0"/>
        <w:rPr>
          <w:rFonts w:hint="default"/>
        </w:rPr>
      </w:pPr>
    </w:p>
    <w:p w14:paraId="5E4DF891">
      <w:pPr>
        <w:bidi w:val="0"/>
        <w:rPr>
          <w:rFonts w:hint="default"/>
        </w:rPr>
      </w:pPr>
    </w:p>
    <w:p w14:paraId="323DD7CC">
      <w:pPr>
        <w:bidi w:val="0"/>
        <w:rPr>
          <w:rFonts w:hint="default"/>
        </w:rPr>
      </w:pPr>
    </w:p>
    <w:p w14:paraId="6D6E4F97">
      <w:pPr>
        <w:bidi w:val="0"/>
        <w:rPr>
          <w:rFonts w:hint="default"/>
        </w:rPr>
      </w:pPr>
    </w:p>
    <w:p w14:paraId="0041413E">
      <w:pPr>
        <w:bidi w:val="0"/>
        <w:rPr>
          <w:rFonts w:hint="default"/>
        </w:rPr>
      </w:pPr>
    </w:p>
    <w:p w14:paraId="1F71AC5B">
      <w:pPr>
        <w:bidi w:val="0"/>
        <w:rPr>
          <w:rFonts w:hint="default"/>
        </w:rPr>
      </w:pPr>
    </w:p>
    <w:p w14:paraId="7DD223D1">
      <w:pPr>
        <w:bidi w:val="0"/>
        <w:rPr>
          <w:rFonts w:hint="default"/>
        </w:rPr>
      </w:pPr>
    </w:p>
    <w:p w14:paraId="5FE9A77F">
      <w:pPr>
        <w:bidi w:val="0"/>
        <w:rPr>
          <w:rFonts w:hint="default"/>
        </w:rPr>
      </w:pPr>
    </w:p>
    <w:p w14:paraId="370BE239">
      <w:pPr>
        <w:bidi w:val="0"/>
        <w:rPr>
          <w:rFonts w:hint="default"/>
        </w:rPr>
      </w:pPr>
    </w:p>
    <w:p w14:paraId="4A1151F9">
      <w:pPr>
        <w:bidi w:val="0"/>
        <w:rPr>
          <w:rFonts w:hint="default"/>
        </w:rPr>
      </w:pPr>
    </w:p>
    <w:p w14:paraId="073C97FC">
      <w:pPr>
        <w:bidi w:val="0"/>
        <w:rPr>
          <w:rFonts w:hint="default"/>
        </w:rPr>
      </w:pPr>
    </w:p>
    <w:p w14:paraId="3CAB3939">
      <w:pPr>
        <w:bidi w:val="0"/>
        <w:rPr>
          <w:rFonts w:hint="default"/>
        </w:rPr>
      </w:pPr>
    </w:p>
    <w:p w14:paraId="4B9627E8">
      <w:pPr>
        <w:bidi w:val="0"/>
        <w:rPr>
          <w:rFonts w:hint="default"/>
        </w:rPr>
      </w:pPr>
    </w:p>
    <w:p w14:paraId="698A2597">
      <w:pPr>
        <w:pStyle w:val="25"/>
        <w:jc w:val="center"/>
        <w:sectPr>
          <w:footerReference r:id="rId37" w:type="default"/>
          <w:pgSz w:w="11906" w:h="16838"/>
          <w:pgMar w:top="1440" w:right="1800" w:bottom="1440" w:left="1800" w:header="851" w:footer="992" w:gutter="0"/>
          <w:pgNumType w:fmt="decimal"/>
          <w:cols w:space="425" w:num="1"/>
          <w:docGrid w:type="lines" w:linePitch="312" w:charSpace="0"/>
        </w:sectPr>
      </w:pPr>
      <w:bookmarkStart w:id="2289" w:name="_Toc256000421"/>
      <w:r>
        <w:rPr>
          <w:rFonts w:hint="eastAsia"/>
          <w:szCs w:val="24"/>
          <w:lang w:eastAsia="zh-CN"/>
        </w:rPr>
        <w:t>（</w:t>
      </w:r>
      <w:r>
        <w:rPr>
          <w:rFonts w:hint="default"/>
          <w:szCs w:val="24"/>
        </w:rPr>
        <w:t>一</w:t>
      </w:r>
      <w:r>
        <w:rPr>
          <w:rFonts w:hint="eastAsia"/>
          <w:szCs w:val="24"/>
          <w:lang w:eastAsia="zh-CN"/>
        </w:rPr>
        <w:t>）</w:t>
      </w:r>
      <w:r>
        <w:rPr>
          <w:rFonts w:hint="eastAsia"/>
          <w:szCs w:val="24"/>
        </w:rPr>
        <w:t>投标人基本情况</w:t>
      </w:r>
      <w:bookmarkEnd w:id="2288"/>
      <w:bookmarkEnd w:id="2289"/>
    </w:p>
    <w:p w14:paraId="1442A832">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2290" w:name="_Toc122603086"/>
      <w:bookmarkStart w:id="2291" w:name="_Toc256000422"/>
      <w:r>
        <w:rPr>
          <w:rFonts w:hint="eastAsia"/>
          <w:szCs w:val="24"/>
          <w:lang w:val="en-US" w:eastAsia="zh-CN"/>
        </w:rPr>
        <w:t xml:space="preserve">1-1 </w:t>
      </w:r>
      <w:r>
        <w:rPr>
          <w:rFonts w:hint="eastAsia"/>
          <w:szCs w:val="24"/>
        </w:rPr>
        <w:t>投标人基本情况表</w:t>
      </w:r>
      <w:bookmarkEnd w:id="2290"/>
      <w:bookmarkEnd w:id="229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1446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501126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投标人名称</w:t>
            </w:r>
          </w:p>
        </w:tc>
        <w:tc>
          <w:tcPr>
            <w:tcW w:w="6930" w:type="dxa"/>
            <w:gridSpan w:val="8"/>
            <w:vAlign w:val="center"/>
          </w:tcPr>
          <w:p w14:paraId="013F267C">
            <w:pPr>
              <w:keepNext w:val="0"/>
              <w:keepLines w:val="0"/>
              <w:suppressLineNumbers w:val="0"/>
              <w:spacing w:before="0" w:beforeAutospacing="0" w:after="0" w:afterAutospacing="0"/>
              <w:ind w:left="0" w:right="0"/>
              <w:jc w:val="center"/>
              <w:rPr>
                <w:rFonts w:hint="default" w:ascii="宋体" w:hAnsi="宋体"/>
                <w:szCs w:val="21"/>
              </w:rPr>
            </w:pPr>
          </w:p>
        </w:tc>
      </w:tr>
      <w:tr w14:paraId="0F96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CD7EEE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注册地址</w:t>
            </w:r>
          </w:p>
        </w:tc>
        <w:tc>
          <w:tcPr>
            <w:tcW w:w="3267" w:type="dxa"/>
            <w:gridSpan w:val="4"/>
            <w:vAlign w:val="center"/>
          </w:tcPr>
          <w:p w14:paraId="1E5ABA66">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3CB2A7E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邮政编码</w:t>
            </w:r>
          </w:p>
        </w:tc>
        <w:tc>
          <w:tcPr>
            <w:tcW w:w="2460" w:type="dxa"/>
            <w:gridSpan w:val="3"/>
            <w:vAlign w:val="center"/>
          </w:tcPr>
          <w:p w14:paraId="72BBE680">
            <w:pPr>
              <w:keepNext w:val="0"/>
              <w:keepLines w:val="0"/>
              <w:suppressLineNumbers w:val="0"/>
              <w:spacing w:before="0" w:beforeAutospacing="0" w:after="0" w:afterAutospacing="0"/>
              <w:ind w:left="0" w:right="0"/>
              <w:jc w:val="center"/>
              <w:rPr>
                <w:rFonts w:hint="default" w:ascii="宋体" w:hAnsi="宋体"/>
                <w:szCs w:val="21"/>
              </w:rPr>
            </w:pPr>
          </w:p>
        </w:tc>
      </w:tr>
      <w:tr w14:paraId="463E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5E45F2C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联系方式</w:t>
            </w:r>
          </w:p>
        </w:tc>
        <w:tc>
          <w:tcPr>
            <w:tcW w:w="872" w:type="dxa"/>
            <w:vAlign w:val="center"/>
          </w:tcPr>
          <w:p w14:paraId="63BB6A9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联系人</w:t>
            </w:r>
          </w:p>
        </w:tc>
        <w:tc>
          <w:tcPr>
            <w:tcW w:w="2395" w:type="dxa"/>
            <w:gridSpan w:val="3"/>
            <w:vAlign w:val="center"/>
          </w:tcPr>
          <w:p w14:paraId="1D3317C8">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515404D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  话</w:t>
            </w:r>
          </w:p>
        </w:tc>
        <w:tc>
          <w:tcPr>
            <w:tcW w:w="2460" w:type="dxa"/>
            <w:gridSpan w:val="3"/>
            <w:vAlign w:val="center"/>
          </w:tcPr>
          <w:p w14:paraId="20FF4B41">
            <w:pPr>
              <w:keepNext w:val="0"/>
              <w:keepLines w:val="0"/>
              <w:suppressLineNumbers w:val="0"/>
              <w:spacing w:before="0" w:beforeAutospacing="0" w:after="0" w:afterAutospacing="0"/>
              <w:ind w:left="0" w:right="0"/>
              <w:jc w:val="center"/>
              <w:rPr>
                <w:rFonts w:hint="default" w:ascii="宋体" w:hAnsi="宋体"/>
                <w:szCs w:val="21"/>
              </w:rPr>
            </w:pPr>
          </w:p>
        </w:tc>
      </w:tr>
      <w:tr w14:paraId="00E3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4473A168">
            <w:pPr>
              <w:keepNext w:val="0"/>
              <w:keepLines w:val="0"/>
              <w:suppressLineNumbers w:val="0"/>
              <w:spacing w:before="0" w:beforeAutospacing="0" w:after="0" w:afterAutospacing="0"/>
              <w:ind w:left="0" w:right="0"/>
              <w:jc w:val="center"/>
              <w:rPr>
                <w:rFonts w:hint="default" w:ascii="宋体" w:hAnsi="宋体"/>
                <w:szCs w:val="21"/>
              </w:rPr>
            </w:pPr>
          </w:p>
        </w:tc>
        <w:tc>
          <w:tcPr>
            <w:tcW w:w="872" w:type="dxa"/>
            <w:vAlign w:val="center"/>
          </w:tcPr>
          <w:p w14:paraId="52D68FA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传  真</w:t>
            </w:r>
          </w:p>
        </w:tc>
        <w:tc>
          <w:tcPr>
            <w:tcW w:w="2395" w:type="dxa"/>
            <w:gridSpan w:val="3"/>
            <w:vAlign w:val="center"/>
          </w:tcPr>
          <w:p w14:paraId="56413AC8">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5FFA8AC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网  址</w:t>
            </w:r>
          </w:p>
        </w:tc>
        <w:tc>
          <w:tcPr>
            <w:tcW w:w="2460" w:type="dxa"/>
            <w:gridSpan w:val="3"/>
            <w:vAlign w:val="center"/>
          </w:tcPr>
          <w:p w14:paraId="0C0535AB">
            <w:pPr>
              <w:keepNext w:val="0"/>
              <w:keepLines w:val="0"/>
              <w:suppressLineNumbers w:val="0"/>
              <w:spacing w:before="0" w:beforeAutospacing="0" w:after="0" w:afterAutospacing="0"/>
              <w:ind w:left="0" w:right="0"/>
              <w:jc w:val="center"/>
              <w:rPr>
                <w:rFonts w:hint="default" w:ascii="宋体" w:hAnsi="宋体"/>
                <w:szCs w:val="21"/>
              </w:rPr>
            </w:pPr>
          </w:p>
        </w:tc>
      </w:tr>
      <w:tr w14:paraId="0A71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ED1FDC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组织结构</w:t>
            </w:r>
          </w:p>
        </w:tc>
        <w:tc>
          <w:tcPr>
            <w:tcW w:w="6930" w:type="dxa"/>
            <w:gridSpan w:val="8"/>
            <w:vAlign w:val="center"/>
          </w:tcPr>
          <w:p w14:paraId="71E27917">
            <w:pPr>
              <w:keepNext w:val="0"/>
              <w:keepLines w:val="0"/>
              <w:suppressLineNumbers w:val="0"/>
              <w:spacing w:before="0" w:beforeAutospacing="0" w:after="0" w:afterAutospacing="0"/>
              <w:ind w:left="0" w:right="0"/>
              <w:jc w:val="center"/>
              <w:rPr>
                <w:rFonts w:hint="default" w:ascii="宋体" w:hAnsi="宋体"/>
                <w:szCs w:val="21"/>
              </w:rPr>
            </w:pPr>
          </w:p>
        </w:tc>
      </w:tr>
      <w:tr w14:paraId="44E6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1158EF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w:t>
            </w:r>
          </w:p>
        </w:tc>
        <w:tc>
          <w:tcPr>
            <w:tcW w:w="872" w:type="dxa"/>
            <w:vAlign w:val="center"/>
          </w:tcPr>
          <w:p w14:paraId="0B2B6AB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姓名</w:t>
            </w:r>
          </w:p>
        </w:tc>
        <w:tc>
          <w:tcPr>
            <w:tcW w:w="1182" w:type="dxa"/>
            <w:vAlign w:val="center"/>
          </w:tcPr>
          <w:p w14:paraId="75D2773E">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Align w:val="center"/>
          </w:tcPr>
          <w:p w14:paraId="3B4F4A3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技术职称</w:t>
            </w:r>
          </w:p>
        </w:tc>
        <w:tc>
          <w:tcPr>
            <w:tcW w:w="1558" w:type="dxa"/>
            <w:gridSpan w:val="3"/>
            <w:vAlign w:val="center"/>
          </w:tcPr>
          <w:p w14:paraId="2C91F8D9">
            <w:pPr>
              <w:keepNext w:val="0"/>
              <w:keepLines w:val="0"/>
              <w:suppressLineNumbers w:val="0"/>
              <w:spacing w:before="0" w:beforeAutospacing="0" w:after="0" w:afterAutospacing="0"/>
              <w:ind w:left="0" w:right="0"/>
              <w:jc w:val="center"/>
              <w:rPr>
                <w:rFonts w:hint="default" w:ascii="宋体" w:hAnsi="宋体"/>
                <w:szCs w:val="21"/>
              </w:rPr>
            </w:pPr>
          </w:p>
        </w:tc>
        <w:tc>
          <w:tcPr>
            <w:tcW w:w="875" w:type="dxa"/>
            <w:vAlign w:val="center"/>
          </w:tcPr>
          <w:p w14:paraId="5011372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电话</w:t>
            </w:r>
          </w:p>
        </w:tc>
        <w:tc>
          <w:tcPr>
            <w:tcW w:w="1260" w:type="dxa"/>
            <w:vAlign w:val="center"/>
          </w:tcPr>
          <w:p w14:paraId="357AB44B">
            <w:pPr>
              <w:keepNext w:val="0"/>
              <w:keepLines w:val="0"/>
              <w:suppressLineNumbers w:val="0"/>
              <w:spacing w:before="0" w:beforeAutospacing="0" w:after="0" w:afterAutospacing="0"/>
              <w:ind w:left="0" w:right="0"/>
              <w:jc w:val="center"/>
              <w:rPr>
                <w:rFonts w:hint="default" w:ascii="宋体" w:hAnsi="宋体"/>
                <w:szCs w:val="21"/>
              </w:rPr>
            </w:pPr>
          </w:p>
        </w:tc>
      </w:tr>
      <w:tr w14:paraId="5284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3F76AF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技术负责人</w:t>
            </w:r>
          </w:p>
        </w:tc>
        <w:tc>
          <w:tcPr>
            <w:tcW w:w="872" w:type="dxa"/>
            <w:vAlign w:val="center"/>
          </w:tcPr>
          <w:p w14:paraId="45432AF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姓名</w:t>
            </w:r>
          </w:p>
        </w:tc>
        <w:tc>
          <w:tcPr>
            <w:tcW w:w="1182" w:type="dxa"/>
            <w:vAlign w:val="center"/>
          </w:tcPr>
          <w:p w14:paraId="26E5BA38">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Align w:val="center"/>
          </w:tcPr>
          <w:p w14:paraId="2040B1B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技术职称</w:t>
            </w:r>
          </w:p>
        </w:tc>
        <w:tc>
          <w:tcPr>
            <w:tcW w:w="1558" w:type="dxa"/>
            <w:gridSpan w:val="3"/>
            <w:vAlign w:val="center"/>
          </w:tcPr>
          <w:p w14:paraId="7E95CDBF">
            <w:pPr>
              <w:keepNext w:val="0"/>
              <w:keepLines w:val="0"/>
              <w:suppressLineNumbers w:val="0"/>
              <w:spacing w:before="0" w:beforeAutospacing="0" w:after="0" w:afterAutospacing="0"/>
              <w:ind w:left="0" w:right="0"/>
              <w:jc w:val="center"/>
              <w:rPr>
                <w:rFonts w:hint="default" w:ascii="宋体" w:hAnsi="宋体"/>
                <w:szCs w:val="21"/>
              </w:rPr>
            </w:pPr>
          </w:p>
        </w:tc>
        <w:tc>
          <w:tcPr>
            <w:tcW w:w="875" w:type="dxa"/>
            <w:vAlign w:val="center"/>
          </w:tcPr>
          <w:p w14:paraId="12C8FC8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电话</w:t>
            </w:r>
          </w:p>
        </w:tc>
        <w:tc>
          <w:tcPr>
            <w:tcW w:w="1260" w:type="dxa"/>
            <w:vAlign w:val="center"/>
          </w:tcPr>
          <w:p w14:paraId="0AFD6018">
            <w:pPr>
              <w:keepNext w:val="0"/>
              <w:keepLines w:val="0"/>
              <w:suppressLineNumbers w:val="0"/>
              <w:spacing w:before="0" w:beforeAutospacing="0" w:after="0" w:afterAutospacing="0"/>
              <w:ind w:left="0" w:right="0"/>
              <w:jc w:val="center"/>
              <w:rPr>
                <w:rFonts w:hint="default" w:ascii="宋体" w:hAnsi="宋体"/>
                <w:szCs w:val="21"/>
              </w:rPr>
            </w:pPr>
          </w:p>
        </w:tc>
      </w:tr>
      <w:tr w14:paraId="358E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2DB5F0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成立时间</w:t>
            </w:r>
          </w:p>
        </w:tc>
        <w:tc>
          <w:tcPr>
            <w:tcW w:w="2054" w:type="dxa"/>
            <w:gridSpan w:val="2"/>
            <w:vAlign w:val="center"/>
          </w:tcPr>
          <w:p w14:paraId="64558582">
            <w:pPr>
              <w:keepNext w:val="0"/>
              <w:keepLines w:val="0"/>
              <w:suppressLineNumbers w:val="0"/>
              <w:spacing w:before="0" w:beforeAutospacing="0" w:after="0" w:afterAutospacing="0"/>
              <w:ind w:left="0" w:right="0"/>
              <w:jc w:val="center"/>
              <w:rPr>
                <w:rFonts w:hint="default" w:ascii="宋体" w:hAnsi="宋体"/>
                <w:szCs w:val="21"/>
              </w:rPr>
            </w:pPr>
          </w:p>
        </w:tc>
        <w:tc>
          <w:tcPr>
            <w:tcW w:w="4876" w:type="dxa"/>
            <w:gridSpan w:val="6"/>
            <w:vAlign w:val="center"/>
          </w:tcPr>
          <w:p w14:paraId="144E1558">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员工总人数：</w:t>
            </w:r>
          </w:p>
        </w:tc>
      </w:tr>
      <w:tr w14:paraId="3E71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F6E7D4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企业资质等级</w:t>
            </w:r>
          </w:p>
        </w:tc>
        <w:tc>
          <w:tcPr>
            <w:tcW w:w="2054" w:type="dxa"/>
            <w:gridSpan w:val="2"/>
            <w:vAlign w:val="center"/>
          </w:tcPr>
          <w:p w14:paraId="18BEF429">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restart"/>
            <w:vAlign w:val="center"/>
          </w:tcPr>
          <w:p w14:paraId="05BBAFA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其中</w:t>
            </w:r>
          </w:p>
        </w:tc>
        <w:tc>
          <w:tcPr>
            <w:tcW w:w="1558" w:type="dxa"/>
            <w:gridSpan w:val="3"/>
            <w:vAlign w:val="center"/>
          </w:tcPr>
          <w:p w14:paraId="377FFD5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注册建造师</w:t>
            </w:r>
          </w:p>
        </w:tc>
        <w:tc>
          <w:tcPr>
            <w:tcW w:w="2135" w:type="dxa"/>
            <w:gridSpan w:val="2"/>
            <w:vAlign w:val="center"/>
          </w:tcPr>
          <w:p w14:paraId="67D3A3AE">
            <w:pPr>
              <w:keepNext w:val="0"/>
              <w:keepLines w:val="0"/>
              <w:suppressLineNumbers w:val="0"/>
              <w:spacing w:before="0" w:beforeAutospacing="0" w:after="0" w:afterAutospacing="0"/>
              <w:ind w:left="0" w:right="0"/>
              <w:jc w:val="center"/>
              <w:rPr>
                <w:rFonts w:hint="default" w:ascii="宋体" w:hAnsi="宋体"/>
                <w:szCs w:val="21"/>
              </w:rPr>
            </w:pPr>
          </w:p>
        </w:tc>
      </w:tr>
      <w:tr w14:paraId="2162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6875B0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营业执照号</w:t>
            </w:r>
          </w:p>
        </w:tc>
        <w:tc>
          <w:tcPr>
            <w:tcW w:w="2054" w:type="dxa"/>
            <w:gridSpan w:val="2"/>
            <w:vAlign w:val="center"/>
          </w:tcPr>
          <w:p w14:paraId="1D0741EC">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71DC3EAB">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3546E03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高级职称人员</w:t>
            </w:r>
          </w:p>
        </w:tc>
        <w:tc>
          <w:tcPr>
            <w:tcW w:w="2135" w:type="dxa"/>
            <w:gridSpan w:val="2"/>
            <w:vAlign w:val="center"/>
          </w:tcPr>
          <w:p w14:paraId="32DD9FD2">
            <w:pPr>
              <w:keepNext w:val="0"/>
              <w:keepLines w:val="0"/>
              <w:suppressLineNumbers w:val="0"/>
              <w:spacing w:before="0" w:beforeAutospacing="0" w:after="0" w:afterAutospacing="0"/>
              <w:ind w:left="0" w:right="0"/>
              <w:jc w:val="center"/>
              <w:rPr>
                <w:rFonts w:hint="default" w:ascii="宋体" w:hAnsi="宋体"/>
                <w:szCs w:val="21"/>
              </w:rPr>
            </w:pPr>
          </w:p>
        </w:tc>
      </w:tr>
      <w:tr w14:paraId="3CDA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1D2273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注册资金</w:t>
            </w:r>
          </w:p>
        </w:tc>
        <w:tc>
          <w:tcPr>
            <w:tcW w:w="2054" w:type="dxa"/>
            <w:gridSpan w:val="2"/>
            <w:vAlign w:val="center"/>
          </w:tcPr>
          <w:p w14:paraId="486D8D23">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2D6D3703">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1EDAB9D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中级职称人员</w:t>
            </w:r>
          </w:p>
        </w:tc>
        <w:tc>
          <w:tcPr>
            <w:tcW w:w="2135" w:type="dxa"/>
            <w:gridSpan w:val="2"/>
            <w:vAlign w:val="center"/>
          </w:tcPr>
          <w:p w14:paraId="0FEDCB32">
            <w:pPr>
              <w:keepNext w:val="0"/>
              <w:keepLines w:val="0"/>
              <w:suppressLineNumbers w:val="0"/>
              <w:spacing w:before="0" w:beforeAutospacing="0" w:after="0" w:afterAutospacing="0"/>
              <w:ind w:left="0" w:right="0"/>
              <w:jc w:val="center"/>
              <w:rPr>
                <w:rFonts w:hint="default" w:ascii="宋体" w:hAnsi="宋体"/>
                <w:szCs w:val="21"/>
              </w:rPr>
            </w:pPr>
          </w:p>
        </w:tc>
      </w:tr>
      <w:tr w14:paraId="4096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185865C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基本账户</w:t>
            </w:r>
          </w:p>
          <w:p w14:paraId="7BEF3A7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开户银行</w:t>
            </w:r>
          </w:p>
        </w:tc>
        <w:tc>
          <w:tcPr>
            <w:tcW w:w="2054" w:type="dxa"/>
            <w:gridSpan w:val="2"/>
            <w:vAlign w:val="center"/>
          </w:tcPr>
          <w:p w14:paraId="49F9E54A">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249622AD">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0D96D3A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初级职称人员</w:t>
            </w:r>
          </w:p>
        </w:tc>
        <w:tc>
          <w:tcPr>
            <w:tcW w:w="2135" w:type="dxa"/>
            <w:gridSpan w:val="2"/>
            <w:vAlign w:val="center"/>
          </w:tcPr>
          <w:p w14:paraId="77B3FDD5">
            <w:pPr>
              <w:keepNext w:val="0"/>
              <w:keepLines w:val="0"/>
              <w:suppressLineNumbers w:val="0"/>
              <w:spacing w:before="0" w:beforeAutospacing="0" w:after="0" w:afterAutospacing="0"/>
              <w:ind w:left="0" w:right="0"/>
              <w:jc w:val="center"/>
              <w:rPr>
                <w:rFonts w:hint="default" w:ascii="宋体" w:hAnsi="宋体"/>
                <w:szCs w:val="21"/>
              </w:rPr>
            </w:pPr>
          </w:p>
        </w:tc>
      </w:tr>
      <w:tr w14:paraId="50D0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299F72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基本账户</w:t>
            </w:r>
          </w:p>
          <w:p w14:paraId="1A66711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账号</w:t>
            </w:r>
          </w:p>
        </w:tc>
        <w:tc>
          <w:tcPr>
            <w:tcW w:w="2054" w:type="dxa"/>
            <w:gridSpan w:val="2"/>
            <w:vAlign w:val="center"/>
          </w:tcPr>
          <w:p w14:paraId="3CA5DC39">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34BC6C75">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4985B75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  工</w:t>
            </w:r>
          </w:p>
        </w:tc>
        <w:tc>
          <w:tcPr>
            <w:tcW w:w="2135" w:type="dxa"/>
            <w:gridSpan w:val="2"/>
            <w:vAlign w:val="center"/>
          </w:tcPr>
          <w:p w14:paraId="0C1204F9">
            <w:pPr>
              <w:keepNext w:val="0"/>
              <w:keepLines w:val="0"/>
              <w:suppressLineNumbers w:val="0"/>
              <w:spacing w:before="0" w:beforeAutospacing="0" w:after="0" w:afterAutospacing="0"/>
              <w:ind w:left="0" w:right="0"/>
              <w:jc w:val="center"/>
              <w:rPr>
                <w:rFonts w:hint="default" w:ascii="宋体" w:hAnsi="宋体"/>
                <w:szCs w:val="21"/>
              </w:rPr>
            </w:pPr>
          </w:p>
        </w:tc>
      </w:tr>
      <w:tr w14:paraId="5C66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27B2D6B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经营范围</w:t>
            </w:r>
          </w:p>
        </w:tc>
        <w:tc>
          <w:tcPr>
            <w:tcW w:w="6930" w:type="dxa"/>
            <w:gridSpan w:val="8"/>
            <w:vAlign w:val="center"/>
          </w:tcPr>
          <w:p w14:paraId="55E3DC84">
            <w:pPr>
              <w:keepNext w:val="0"/>
              <w:keepLines w:val="0"/>
              <w:suppressLineNumbers w:val="0"/>
              <w:spacing w:before="0" w:beforeAutospacing="0" w:after="0" w:afterAutospacing="0"/>
              <w:ind w:left="0" w:right="0"/>
              <w:jc w:val="center"/>
              <w:rPr>
                <w:rFonts w:hint="default" w:ascii="宋体" w:hAnsi="宋体"/>
                <w:szCs w:val="21"/>
              </w:rPr>
            </w:pPr>
          </w:p>
        </w:tc>
      </w:tr>
      <w:tr w14:paraId="0B50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F4D083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备注</w:t>
            </w:r>
          </w:p>
        </w:tc>
        <w:tc>
          <w:tcPr>
            <w:tcW w:w="6930" w:type="dxa"/>
            <w:gridSpan w:val="8"/>
            <w:vAlign w:val="center"/>
          </w:tcPr>
          <w:p w14:paraId="3B393C4C">
            <w:pPr>
              <w:keepNext w:val="0"/>
              <w:keepLines w:val="0"/>
              <w:suppressLineNumbers w:val="0"/>
              <w:spacing w:before="0" w:beforeAutospacing="0" w:after="0" w:afterAutospacing="0"/>
              <w:ind w:left="0" w:right="0"/>
              <w:jc w:val="center"/>
              <w:rPr>
                <w:rFonts w:hint="default" w:ascii="宋体" w:hAnsi="宋体"/>
                <w:szCs w:val="21"/>
              </w:rPr>
            </w:pPr>
          </w:p>
        </w:tc>
      </w:tr>
    </w:tbl>
    <w:p w14:paraId="0D1E1868">
      <w:pPr>
        <w:spacing w:line="400" w:lineRule="atLeast"/>
        <w:ind w:left="840" w:hanging="840" w:hangingChars="400"/>
        <w:jc w:val="left"/>
        <w:rPr>
          <w:rFonts w:ascii="宋体" w:hAnsi="宋体"/>
          <w:szCs w:val="21"/>
        </w:rPr>
      </w:pPr>
      <w:r>
        <w:rPr>
          <w:rFonts w:hint="eastAsia" w:ascii="宋体" w:hAnsi="宋体"/>
          <w:szCs w:val="21"/>
        </w:rPr>
        <w:t>备注：1</w:t>
      </w:r>
      <w:r>
        <w:rPr>
          <w:rFonts w:ascii="宋体" w:hAnsi="宋体"/>
          <w:szCs w:val="21"/>
        </w:rPr>
        <w:t>.</w:t>
      </w:r>
      <w:r>
        <w:rPr>
          <w:rFonts w:hint="eastAsia" w:ascii="宋体" w:hAnsi="宋体"/>
          <w:szCs w:val="21"/>
        </w:rPr>
        <w:t>本表后应附营业执照、企业资质证书、安全生产许可证、</w:t>
      </w:r>
      <w:r>
        <w:rPr>
          <w:rFonts w:ascii="宋体" w:hAnsi="宋体"/>
          <w:szCs w:val="21"/>
        </w:rPr>
        <w:t>基本账户开户许可证</w:t>
      </w:r>
      <w:r>
        <w:rPr>
          <w:rFonts w:hint="eastAsia" w:ascii="宋体" w:hAnsi="宋体"/>
        </w:rPr>
        <w:t>（基本存款账户信息）</w:t>
      </w:r>
      <w:r>
        <w:rPr>
          <w:rFonts w:hint="eastAsia" w:ascii="宋体" w:hAnsi="宋体"/>
          <w:szCs w:val="21"/>
        </w:rPr>
        <w:t>、</w:t>
      </w:r>
      <w:r>
        <w:rPr>
          <w:rFonts w:ascii="宋体" w:hAnsi="宋体"/>
          <w:szCs w:val="21"/>
        </w:rPr>
        <w:t>质量</w:t>
      </w:r>
      <w:r>
        <w:rPr>
          <w:rFonts w:hint="eastAsia" w:ascii="宋体" w:hAnsi="宋体"/>
          <w:szCs w:val="21"/>
        </w:rPr>
        <w:t>、</w:t>
      </w:r>
      <w:r>
        <w:rPr>
          <w:rFonts w:ascii="宋体" w:hAnsi="宋体"/>
          <w:szCs w:val="21"/>
        </w:rPr>
        <w:t>环境</w:t>
      </w:r>
      <w:r>
        <w:rPr>
          <w:rFonts w:hint="eastAsia" w:ascii="宋体" w:hAnsi="宋体"/>
          <w:szCs w:val="21"/>
        </w:rPr>
        <w:t>、职业健康安全管理体系认证证书等材料</w:t>
      </w:r>
      <w:bookmarkStart w:id="2292" w:name="_Hlk144986927"/>
      <w:r>
        <w:rPr>
          <w:rFonts w:hint="eastAsia" w:ascii="宋体" w:hAnsi="宋体"/>
          <w:szCs w:val="21"/>
        </w:rPr>
        <w:t>。</w:t>
      </w:r>
    </w:p>
    <w:p w14:paraId="7469BF4B">
      <w:pPr>
        <w:spacing w:line="400" w:lineRule="atLeast"/>
        <w:ind w:firstLine="630" w:firstLineChars="300"/>
        <w:jc w:val="left"/>
        <w:rPr>
          <w:rFonts w:hint="eastAsia" w:ascii="宋体" w:hAnsi="宋体"/>
          <w:szCs w:val="21"/>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2.联合体投标的，联合体各成员应分别填写。</w:t>
      </w:r>
      <w:bookmarkEnd w:id="2292"/>
    </w:p>
    <w:p w14:paraId="4810CCD1">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rPr>
      </w:pPr>
      <w:bookmarkStart w:id="2293" w:name="_Toc467365520"/>
      <w:bookmarkStart w:id="2294" w:name="_Toc256000423"/>
      <w:bookmarkStart w:id="2295" w:name="_Toc122603087"/>
      <w:r>
        <w:rPr>
          <w:rFonts w:hint="default"/>
          <w:szCs w:val="24"/>
        </w:rPr>
        <w:t>1-2</w:t>
      </w:r>
      <w:r>
        <w:rPr>
          <w:rFonts w:hint="eastAsia"/>
          <w:szCs w:val="24"/>
          <w:lang w:val="en-US" w:eastAsia="zh-CN"/>
        </w:rPr>
        <w:t xml:space="preserve"> </w:t>
      </w:r>
      <w:r>
        <w:rPr>
          <w:rFonts w:hint="eastAsia"/>
          <w:szCs w:val="24"/>
        </w:rPr>
        <w:t>关联单位情况说明</w:t>
      </w:r>
      <w:bookmarkEnd w:id="2293"/>
      <w:bookmarkEnd w:id="2294"/>
      <w:bookmarkEnd w:id="2295"/>
    </w:p>
    <w:tbl>
      <w:tblPr>
        <w:tblStyle w:val="17"/>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279C65F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E51FA98">
            <w:pPr>
              <w:tabs>
                <w:tab w:val="left" w:pos="0"/>
              </w:tabs>
              <w:snapToGrid w:val="0"/>
              <w:spacing w:line="360" w:lineRule="exact"/>
              <w:rPr>
                <w:szCs w:val="21"/>
              </w:rPr>
            </w:pPr>
          </w:p>
          <w:p w14:paraId="69DEB178">
            <w:pPr>
              <w:ind w:left="945" w:hanging="945" w:hangingChars="450"/>
              <w:rPr>
                <w:rFonts w:ascii="宋体" w:hAnsi="宋体"/>
              </w:rPr>
            </w:pPr>
            <w:r>
              <w:rPr>
                <w:rFonts w:ascii="宋体" w:hAnsi="宋体"/>
              </w:rPr>
              <w:t>单位负责人</w:t>
            </w:r>
            <w:r>
              <w:rPr>
                <w:rFonts w:hint="eastAsia" w:ascii="宋体" w:hAnsi="宋体"/>
              </w:rPr>
              <w:t>与本</w:t>
            </w:r>
            <w:r>
              <w:rPr>
                <w:rFonts w:ascii="宋体" w:hAnsi="宋体"/>
              </w:rPr>
              <w:t>单位负责人为同一人</w:t>
            </w:r>
            <w:r>
              <w:rPr>
                <w:rFonts w:hint="eastAsia" w:ascii="宋体" w:hAnsi="宋体"/>
              </w:rPr>
              <w:t>的单位：</w:t>
            </w:r>
          </w:p>
          <w:p w14:paraId="1D76F562">
            <w:pPr>
              <w:ind w:left="945" w:hanging="945" w:hangingChars="450"/>
              <w:rPr>
                <w:rFonts w:ascii="宋体" w:hAnsi="宋体"/>
              </w:rPr>
            </w:pPr>
          </w:p>
          <w:p w14:paraId="22E17AE9">
            <w:pPr>
              <w:ind w:left="945" w:hanging="945" w:hangingChars="450"/>
              <w:rPr>
                <w:rFonts w:ascii="宋体" w:hAnsi="宋体"/>
              </w:rPr>
            </w:pPr>
          </w:p>
          <w:p w14:paraId="2EAAEACD">
            <w:pPr>
              <w:ind w:left="945" w:hanging="945" w:hangingChars="450"/>
              <w:rPr>
                <w:rFonts w:ascii="宋体" w:hAnsi="宋体"/>
              </w:rPr>
            </w:pPr>
          </w:p>
          <w:p w14:paraId="38DB332A">
            <w:pPr>
              <w:ind w:left="945" w:hanging="945" w:hangingChars="450"/>
              <w:rPr>
                <w:rFonts w:ascii="宋体" w:hAnsi="宋体"/>
              </w:rPr>
            </w:pPr>
          </w:p>
          <w:p w14:paraId="72F9A1B6">
            <w:pPr>
              <w:ind w:left="945" w:hanging="945" w:hangingChars="450"/>
              <w:rPr>
                <w:rFonts w:ascii="宋体" w:hAnsi="宋体"/>
              </w:rPr>
            </w:pPr>
          </w:p>
          <w:p w14:paraId="5E30B396">
            <w:pPr>
              <w:ind w:left="945" w:hanging="945" w:hangingChars="450"/>
              <w:rPr>
                <w:rFonts w:ascii="宋体" w:hAnsi="宋体"/>
              </w:rPr>
            </w:pPr>
          </w:p>
          <w:p w14:paraId="3C60B1BF">
            <w:pPr>
              <w:ind w:left="945" w:hanging="945" w:hangingChars="450"/>
              <w:rPr>
                <w:rFonts w:ascii="宋体" w:hAnsi="宋体"/>
              </w:rPr>
            </w:pPr>
            <w:r>
              <w:rPr>
                <w:rFonts w:hint="eastAsia" w:ascii="宋体" w:hAnsi="宋体"/>
              </w:rPr>
              <w:t>与本</w:t>
            </w:r>
            <w:r>
              <w:rPr>
                <w:rFonts w:ascii="宋体" w:hAnsi="宋体"/>
              </w:rPr>
              <w:t>单位存在控股</w:t>
            </w:r>
            <w:r>
              <w:rPr>
                <w:rFonts w:hint="eastAsia" w:ascii="宋体" w:hAnsi="宋体"/>
              </w:rPr>
              <w:t>与被控股</w:t>
            </w:r>
            <w:r>
              <w:rPr>
                <w:rFonts w:ascii="宋体" w:hAnsi="宋体"/>
              </w:rPr>
              <w:t>关系的单位</w:t>
            </w:r>
            <w:r>
              <w:rPr>
                <w:rFonts w:hint="eastAsia" w:ascii="宋体" w:hAnsi="宋体"/>
              </w:rPr>
              <w:t>：</w:t>
            </w:r>
          </w:p>
          <w:p w14:paraId="4284C208">
            <w:pPr>
              <w:ind w:left="945" w:hanging="945" w:hangingChars="450"/>
              <w:rPr>
                <w:rFonts w:ascii="宋体" w:hAnsi="宋体"/>
              </w:rPr>
            </w:pPr>
          </w:p>
          <w:p w14:paraId="14D08EDF">
            <w:pPr>
              <w:ind w:left="945" w:hanging="945" w:hangingChars="450"/>
              <w:rPr>
                <w:rFonts w:ascii="宋体" w:hAnsi="宋体"/>
              </w:rPr>
            </w:pPr>
          </w:p>
          <w:p w14:paraId="1D6E945D">
            <w:pPr>
              <w:ind w:left="945" w:hanging="945" w:hangingChars="450"/>
              <w:rPr>
                <w:rFonts w:ascii="宋体" w:hAnsi="宋体"/>
              </w:rPr>
            </w:pPr>
          </w:p>
          <w:p w14:paraId="6F10E025">
            <w:pPr>
              <w:ind w:left="945" w:hanging="945" w:hangingChars="450"/>
              <w:rPr>
                <w:rFonts w:ascii="宋体" w:hAnsi="宋体"/>
              </w:rPr>
            </w:pPr>
          </w:p>
          <w:p w14:paraId="089FBF63">
            <w:pPr>
              <w:ind w:left="945" w:hanging="945" w:hangingChars="450"/>
              <w:rPr>
                <w:rFonts w:ascii="宋体" w:hAnsi="宋体"/>
              </w:rPr>
            </w:pPr>
          </w:p>
          <w:p w14:paraId="7696EE9B">
            <w:pPr>
              <w:ind w:left="945" w:hanging="945" w:hangingChars="450"/>
              <w:rPr>
                <w:rFonts w:ascii="宋体" w:hAnsi="宋体"/>
              </w:rPr>
            </w:pPr>
          </w:p>
          <w:p w14:paraId="05BCAABD">
            <w:pPr>
              <w:ind w:left="945" w:hanging="945" w:hangingChars="450"/>
              <w:rPr>
                <w:rFonts w:ascii="宋体" w:hAnsi="宋体"/>
              </w:rPr>
            </w:pPr>
          </w:p>
          <w:p w14:paraId="738AF171">
            <w:pPr>
              <w:ind w:left="945" w:hanging="945" w:hangingChars="450"/>
              <w:rPr>
                <w:rFonts w:ascii="宋体" w:hAnsi="宋体"/>
              </w:rPr>
            </w:pPr>
          </w:p>
          <w:p w14:paraId="7D342BD1">
            <w:pPr>
              <w:ind w:left="945" w:hanging="945" w:hangingChars="450"/>
              <w:rPr>
                <w:rFonts w:ascii="宋体" w:hAnsi="宋体"/>
              </w:rPr>
            </w:pPr>
          </w:p>
          <w:p w14:paraId="34E81F97">
            <w:pPr>
              <w:ind w:left="945" w:hanging="945" w:hangingChars="450"/>
              <w:rPr>
                <w:rFonts w:ascii="宋体" w:hAnsi="宋体"/>
              </w:rPr>
            </w:pPr>
            <w:r>
              <w:rPr>
                <w:rFonts w:hint="eastAsia" w:ascii="宋体" w:hAnsi="宋体"/>
              </w:rPr>
              <w:t>与本</w:t>
            </w:r>
            <w:r>
              <w:rPr>
                <w:rFonts w:ascii="宋体" w:hAnsi="宋体"/>
              </w:rPr>
              <w:t>单位存在管理</w:t>
            </w:r>
            <w:r>
              <w:rPr>
                <w:rFonts w:hint="eastAsia" w:ascii="宋体" w:hAnsi="宋体"/>
              </w:rPr>
              <w:t>与被管理</w:t>
            </w:r>
            <w:r>
              <w:rPr>
                <w:rFonts w:ascii="宋体" w:hAnsi="宋体"/>
              </w:rPr>
              <w:t>关系的单位</w:t>
            </w:r>
            <w:r>
              <w:rPr>
                <w:rFonts w:hint="eastAsia" w:ascii="宋体" w:hAnsi="宋体"/>
              </w:rPr>
              <w:t>：</w:t>
            </w:r>
          </w:p>
          <w:p w14:paraId="70775728">
            <w:pPr>
              <w:snapToGrid w:val="0"/>
              <w:spacing w:line="360" w:lineRule="exact"/>
              <w:rPr>
                <w:szCs w:val="21"/>
              </w:rPr>
            </w:pPr>
          </w:p>
          <w:p w14:paraId="34B06451">
            <w:pPr>
              <w:snapToGrid w:val="0"/>
              <w:spacing w:line="360" w:lineRule="exact"/>
              <w:rPr>
                <w:szCs w:val="21"/>
              </w:rPr>
            </w:pPr>
          </w:p>
          <w:p w14:paraId="2488590F">
            <w:pPr>
              <w:tabs>
                <w:tab w:val="left" w:pos="6039"/>
              </w:tabs>
              <w:snapToGrid w:val="0"/>
              <w:spacing w:line="360" w:lineRule="exact"/>
              <w:rPr>
                <w:szCs w:val="21"/>
              </w:rPr>
            </w:pPr>
          </w:p>
        </w:tc>
      </w:tr>
    </w:tbl>
    <w:p w14:paraId="6EEAC935">
      <w:pPr>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投标人应当如实披露相关关联单位的情况。没有相关关联单位的明确填“无”。</w:t>
      </w:r>
    </w:p>
    <w:p w14:paraId="5404D62A">
      <w:pPr>
        <w:ind w:firstLine="630" w:firstLineChars="300"/>
        <w:sectPr>
          <w:footerReference r:id="rId39" w:type="default"/>
          <w:pgSz w:w="11906" w:h="16838"/>
          <w:pgMar w:top="1440" w:right="1800" w:bottom="1440" w:left="1800" w:header="851" w:footer="992" w:gutter="0"/>
          <w:pgNumType w:fmt="decimal"/>
          <w:cols w:space="425" w:num="1"/>
          <w:docGrid w:type="lines" w:linePitch="312" w:charSpace="0"/>
        </w:sectPr>
      </w:pPr>
      <w:r>
        <w:rPr>
          <w:rFonts w:ascii="宋体" w:hAnsi="宋体"/>
        </w:rPr>
        <w:t>2</w:t>
      </w:r>
      <w:r>
        <w:rPr>
          <w:rFonts w:hint="eastAsia" w:ascii="宋体" w:hAnsi="宋体"/>
        </w:rPr>
        <w:t>.联合体投标的，联合体各成员应分别填写。</w:t>
      </w:r>
    </w:p>
    <w:p w14:paraId="0D040411">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宋体" w:hAnsi="宋体"/>
        </w:rPr>
      </w:pPr>
      <w:bookmarkStart w:id="2296" w:name="_Toc467365521"/>
      <w:bookmarkStart w:id="2297" w:name="_Toc256000424"/>
      <w:bookmarkStart w:id="2298" w:name="_Toc122603088"/>
      <w:r>
        <w:rPr>
          <w:rFonts w:hint="eastAsia"/>
          <w:szCs w:val="24"/>
        </w:rPr>
        <w:t>1-3</w:t>
      </w:r>
      <w:r>
        <w:rPr>
          <w:rFonts w:hint="eastAsia"/>
          <w:szCs w:val="24"/>
          <w:lang w:val="en-US" w:eastAsia="zh-CN"/>
        </w:rPr>
        <w:t xml:space="preserve"> </w:t>
      </w:r>
      <w:r>
        <w:rPr>
          <w:rFonts w:hint="eastAsia"/>
          <w:szCs w:val="24"/>
        </w:rPr>
        <w:t>企业在辽基本信息登记</w:t>
      </w:r>
      <w:bookmarkEnd w:id="2296"/>
      <w:r>
        <w:rPr>
          <w:rFonts w:hint="eastAsia"/>
          <w:szCs w:val="24"/>
        </w:rPr>
        <w:t>单</w:t>
      </w:r>
      <w:bookmarkEnd w:id="2297"/>
      <w:bookmarkEnd w:id="229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47B8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7FFA3A36">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单位名称</w:t>
            </w:r>
          </w:p>
        </w:tc>
        <w:tc>
          <w:tcPr>
            <w:tcW w:w="6839" w:type="dxa"/>
            <w:gridSpan w:val="3"/>
            <w:vAlign w:val="center"/>
          </w:tcPr>
          <w:p w14:paraId="18C60B38">
            <w:pPr>
              <w:keepNext w:val="0"/>
              <w:keepLines w:val="0"/>
              <w:suppressLineNumbers w:val="0"/>
              <w:spacing w:before="0" w:beforeAutospacing="0" w:after="0" w:afterAutospacing="0"/>
              <w:ind w:left="0" w:right="0"/>
              <w:jc w:val="center"/>
              <w:rPr>
                <w:rFonts w:hint="default" w:ascii="宋体" w:hAnsi="宋体"/>
              </w:rPr>
            </w:pPr>
          </w:p>
        </w:tc>
      </w:tr>
      <w:tr w14:paraId="6AD6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6213A288">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法定代表人姓名</w:t>
            </w:r>
          </w:p>
        </w:tc>
        <w:tc>
          <w:tcPr>
            <w:tcW w:w="2279" w:type="dxa"/>
            <w:vAlign w:val="center"/>
          </w:tcPr>
          <w:p w14:paraId="53BEA42B">
            <w:pPr>
              <w:keepNext w:val="0"/>
              <w:keepLines w:val="0"/>
              <w:suppressLineNumbers w:val="0"/>
              <w:spacing w:before="0" w:beforeAutospacing="0" w:after="0" w:afterAutospacing="0"/>
              <w:ind w:left="0" w:right="0"/>
              <w:jc w:val="center"/>
              <w:rPr>
                <w:rFonts w:hint="default" w:ascii="宋体" w:hAnsi="宋体"/>
              </w:rPr>
            </w:pPr>
          </w:p>
        </w:tc>
        <w:tc>
          <w:tcPr>
            <w:tcW w:w="2280" w:type="dxa"/>
            <w:vAlign w:val="center"/>
          </w:tcPr>
          <w:p w14:paraId="316A017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公司所在地</w:t>
            </w:r>
          </w:p>
        </w:tc>
        <w:tc>
          <w:tcPr>
            <w:tcW w:w="2280" w:type="dxa"/>
            <w:vAlign w:val="center"/>
          </w:tcPr>
          <w:p w14:paraId="1569FBA2">
            <w:pPr>
              <w:keepNext w:val="0"/>
              <w:keepLines w:val="0"/>
              <w:suppressLineNumbers w:val="0"/>
              <w:spacing w:before="0" w:beforeAutospacing="0" w:after="0" w:afterAutospacing="0"/>
              <w:ind w:left="0" w:right="0"/>
              <w:jc w:val="center"/>
              <w:rPr>
                <w:rFonts w:hint="default" w:ascii="宋体" w:hAnsi="宋体"/>
              </w:rPr>
            </w:pPr>
          </w:p>
        </w:tc>
      </w:tr>
      <w:tr w14:paraId="2129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785E384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安全生产许可证号</w:t>
            </w:r>
          </w:p>
        </w:tc>
        <w:tc>
          <w:tcPr>
            <w:tcW w:w="6839" w:type="dxa"/>
            <w:gridSpan w:val="3"/>
            <w:vAlign w:val="center"/>
          </w:tcPr>
          <w:p w14:paraId="5F00C47F">
            <w:pPr>
              <w:keepNext w:val="0"/>
              <w:keepLines w:val="0"/>
              <w:suppressLineNumbers w:val="0"/>
              <w:spacing w:before="0" w:beforeAutospacing="0" w:after="0" w:afterAutospacing="0"/>
              <w:ind w:left="0" w:right="0"/>
              <w:jc w:val="center"/>
              <w:rPr>
                <w:rFonts w:hint="default" w:ascii="宋体" w:hAnsi="宋体"/>
              </w:rPr>
            </w:pPr>
          </w:p>
        </w:tc>
      </w:tr>
      <w:tr w14:paraId="40FA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7CE910D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资质证书号</w:t>
            </w:r>
          </w:p>
        </w:tc>
        <w:tc>
          <w:tcPr>
            <w:tcW w:w="6839" w:type="dxa"/>
            <w:gridSpan w:val="3"/>
            <w:vAlign w:val="center"/>
          </w:tcPr>
          <w:p w14:paraId="7801880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资质类别及等级</w:t>
            </w:r>
          </w:p>
        </w:tc>
      </w:tr>
      <w:tr w14:paraId="4059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1E1F795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26C1296C">
            <w:pPr>
              <w:keepNext w:val="0"/>
              <w:keepLines w:val="0"/>
              <w:suppressLineNumbers w:val="0"/>
              <w:spacing w:before="0" w:beforeAutospacing="0" w:after="0" w:afterAutospacing="0"/>
              <w:ind w:left="0" w:right="0"/>
              <w:jc w:val="center"/>
              <w:rPr>
                <w:rFonts w:hint="default" w:ascii="宋体" w:hAnsi="宋体"/>
              </w:rPr>
            </w:pPr>
          </w:p>
        </w:tc>
      </w:tr>
      <w:tr w14:paraId="0A0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59A8439D">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1715F5F7">
            <w:pPr>
              <w:keepNext w:val="0"/>
              <w:keepLines w:val="0"/>
              <w:suppressLineNumbers w:val="0"/>
              <w:spacing w:before="0" w:beforeAutospacing="0" w:after="0" w:afterAutospacing="0"/>
              <w:ind w:left="0" w:right="0"/>
              <w:jc w:val="center"/>
              <w:rPr>
                <w:rFonts w:hint="default" w:ascii="宋体" w:hAnsi="宋体"/>
              </w:rPr>
            </w:pPr>
          </w:p>
        </w:tc>
      </w:tr>
      <w:tr w14:paraId="0CE6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1961C062">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246386C3">
            <w:pPr>
              <w:keepNext w:val="0"/>
              <w:keepLines w:val="0"/>
              <w:suppressLineNumbers w:val="0"/>
              <w:spacing w:before="0" w:beforeAutospacing="0" w:after="0" w:afterAutospacing="0"/>
              <w:ind w:left="0" w:right="0"/>
              <w:jc w:val="center"/>
              <w:rPr>
                <w:rFonts w:hint="default" w:ascii="宋体" w:hAnsi="宋体"/>
              </w:rPr>
            </w:pPr>
          </w:p>
        </w:tc>
      </w:tr>
      <w:tr w14:paraId="345E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30F375C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企业归属地</w:t>
            </w:r>
          </w:p>
        </w:tc>
        <w:tc>
          <w:tcPr>
            <w:tcW w:w="6839" w:type="dxa"/>
            <w:gridSpan w:val="3"/>
            <w:vAlign w:val="center"/>
          </w:tcPr>
          <w:p w14:paraId="0046771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 xml:space="preserve">□省内企业 </w:t>
            </w:r>
            <w:r>
              <w:rPr>
                <w:rFonts w:hint="default" w:ascii="宋体" w:hAnsi="宋体"/>
              </w:rPr>
              <w:t xml:space="preserve">       </w:t>
            </w:r>
            <w:r>
              <w:rPr>
                <w:rFonts w:hint="eastAsia" w:ascii="宋体" w:hAnsi="宋体"/>
              </w:rPr>
              <w:t>□省外企业</w:t>
            </w:r>
          </w:p>
        </w:tc>
      </w:tr>
      <w:tr w14:paraId="22E0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074867F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在辽负责人姓名</w:t>
            </w:r>
          </w:p>
        </w:tc>
        <w:tc>
          <w:tcPr>
            <w:tcW w:w="2279" w:type="dxa"/>
            <w:vAlign w:val="center"/>
          </w:tcPr>
          <w:p w14:paraId="676026E3">
            <w:pPr>
              <w:keepNext w:val="0"/>
              <w:keepLines w:val="0"/>
              <w:suppressLineNumbers w:val="0"/>
              <w:spacing w:before="0" w:beforeAutospacing="0" w:after="0" w:afterAutospacing="0"/>
              <w:ind w:left="0" w:right="0"/>
              <w:jc w:val="center"/>
              <w:rPr>
                <w:rFonts w:hint="default" w:ascii="宋体" w:hAnsi="宋体"/>
              </w:rPr>
            </w:pPr>
          </w:p>
        </w:tc>
        <w:tc>
          <w:tcPr>
            <w:tcW w:w="2280" w:type="dxa"/>
            <w:vAlign w:val="center"/>
          </w:tcPr>
          <w:p w14:paraId="3BBC639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电话</w:t>
            </w:r>
          </w:p>
        </w:tc>
        <w:tc>
          <w:tcPr>
            <w:tcW w:w="2280" w:type="dxa"/>
            <w:vAlign w:val="center"/>
          </w:tcPr>
          <w:p w14:paraId="7B35008A">
            <w:pPr>
              <w:keepNext w:val="0"/>
              <w:keepLines w:val="0"/>
              <w:suppressLineNumbers w:val="0"/>
              <w:spacing w:before="0" w:beforeAutospacing="0" w:after="0" w:afterAutospacing="0"/>
              <w:ind w:left="0" w:right="0"/>
              <w:jc w:val="center"/>
              <w:rPr>
                <w:rFonts w:hint="default" w:ascii="宋体" w:hAnsi="宋体"/>
              </w:rPr>
            </w:pPr>
          </w:p>
        </w:tc>
      </w:tr>
      <w:tr w14:paraId="0643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07284338">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入辽登记有效期</w:t>
            </w:r>
          </w:p>
        </w:tc>
        <w:tc>
          <w:tcPr>
            <w:tcW w:w="6839" w:type="dxa"/>
            <w:gridSpan w:val="3"/>
            <w:vAlign w:val="center"/>
          </w:tcPr>
          <w:p w14:paraId="3B11F86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 xml:space="preserve">年  </w:t>
            </w:r>
            <w:r>
              <w:rPr>
                <w:rFonts w:hint="default" w:ascii="宋体" w:hAnsi="宋体"/>
              </w:rPr>
              <w:t xml:space="preserve"> </w:t>
            </w:r>
            <w:r>
              <w:rPr>
                <w:rFonts w:hint="eastAsia" w:ascii="宋体" w:hAnsi="宋体"/>
              </w:rPr>
              <w:t xml:space="preserve">月 </w:t>
            </w:r>
            <w:r>
              <w:rPr>
                <w:rFonts w:hint="default" w:ascii="宋体" w:hAnsi="宋体"/>
              </w:rPr>
              <w:t xml:space="preserve">   </w:t>
            </w:r>
            <w:r>
              <w:rPr>
                <w:rFonts w:hint="eastAsia" w:ascii="宋体" w:hAnsi="宋体"/>
              </w:rPr>
              <w:t>日</w:t>
            </w:r>
          </w:p>
        </w:tc>
      </w:tr>
    </w:tbl>
    <w:p w14:paraId="02A6F439">
      <w:pPr>
        <w:ind w:left="945" w:hanging="945" w:hangingChars="450"/>
      </w:pPr>
      <w:r>
        <w:rPr>
          <w:rFonts w:hint="eastAsia"/>
        </w:rPr>
        <w:t>备注：联合体投标的，联合体各成员均应附</w:t>
      </w:r>
      <w:r>
        <w:rPr>
          <w:rFonts w:hint="eastAsia"/>
          <w:lang w:val="en-US" w:eastAsia="zh-CN"/>
        </w:rPr>
        <w:t>在辽基本信息登记单</w:t>
      </w:r>
      <w:r>
        <w:rPr>
          <w:rFonts w:hint="eastAsia"/>
        </w:rPr>
        <w:t>。</w:t>
      </w:r>
    </w:p>
    <w:p w14:paraId="723A4EFE">
      <w:pPr>
        <w:sectPr>
          <w:footerReference r:id="rId40" w:type="default"/>
          <w:pgSz w:w="11906" w:h="16838"/>
          <w:pgMar w:top="1440" w:right="1800" w:bottom="1440" w:left="1800" w:header="851" w:footer="992" w:gutter="0"/>
          <w:pgNumType w:fmt="decimal"/>
          <w:cols w:space="425" w:num="1"/>
          <w:docGrid w:type="lines" w:linePitch="312" w:charSpace="0"/>
        </w:sectPr>
      </w:pPr>
    </w:p>
    <w:p w14:paraId="53D74AFC">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2299" w:name="_Toc256000425"/>
      <w:r>
        <w:rPr>
          <w:rFonts w:hint="default"/>
          <w:szCs w:val="24"/>
        </w:rPr>
        <w:t>1-4</w:t>
      </w:r>
      <w:r>
        <w:rPr>
          <w:rFonts w:hint="eastAsia"/>
          <w:szCs w:val="24"/>
          <w:lang w:val="en-US" w:eastAsia="zh-CN"/>
        </w:rPr>
        <w:t xml:space="preserve"> </w:t>
      </w:r>
      <w:r>
        <w:rPr>
          <w:rFonts w:hint="eastAsia" w:ascii="宋体" w:hAnsi="宋体"/>
          <w:szCs w:val="21"/>
        </w:rPr>
        <w:t>项目管理机构主要人员及简历表</w:t>
      </w:r>
      <w:bookmarkEnd w:id="2299"/>
    </w:p>
    <w:p w14:paraId="27EF0F81">
      <w:pPr>
        <w:spacing w:line="400" w:lineRule="atLeast"/>
        <w:ind w:firstLine="630" w:firstLineChars="300"/>
        <w:rPr>
          <w:szCs w:val="21"/>
        </w:rPr>
      </w:pPr>
    </w:p>
    <w:p w14:paraId="73390FC1">
      <w:pPr>
        <w:spacing w:line="400" w:lineRule="atLeast"/>
        <w:ind w:firstLine="630" w:firstLineChars="300"/>
        <w:rPr>
          <w:rFonts w:ascii="宋体" w:hAnsi="宋体"/>
          <w:szCs w:val="21"/>
        </w:rPr>
      </w:pPr>
      <w:r>
        <w:rPr>
          <w:rFonts w:hint="eastAsia" w:ascii="黑体" w:hAnsi="宋体" w:eastAsia="黑体"/>
          <w:szCs w:val="21"/>
        </w:rPr>
        <w:t>说明：</w:t>
      </w:r>
      <w:r>
        <w:rPr>
          <w:rFonts w:hint="eastAsia" w:ascii="宋体" w:hAnsi="宋体"/>
          <w:szCs w:val="21"/>
        </w:rPr>
        <w:t>“项目管理机构主要人员及简历表”同本章六、项目管理机构。</w:t>
      </w:r>
    </w:p>
    <w:p w14:paraId="28A48325">
      <w:pPr>
        <w:sectPr>
          <w:pgSz w:w="11906" w:h="16838"/>
          <w:pgMar w:top="1440" w:right="1800" w:bottom="1440" w:left="1800" w:header="851" w:footer="992" w:gutter="0"/>
          <w:cols w:space="425" w:num="1"/>
          <w:docGrid w:type="lines" w:linePitch="312" w:charSpace="0"/>
        </w:sectPr>
      </w:pPr>
    </w:p>
    <w:p w14:paraId="3D167336">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rPr>
      </w:pPr>
      <w:bookmarkStart w:id="2300" w:name="_Toc256000426"/>
      <w:bookmarkStart w:id="2301" w:name="_Toc122603090"/>
      <w:r>
        <w:rPr>
          <w:rFonts w:hint="default"/>
          <w:szCs w:val="24"/>
        </w:rPr>
        <w:t>1-5</w:t>
      </w:r>
      <w:r>
        <w:rPr>
          <w:rFonts w:hint="eastAsia"/>
          <w:szCs w:val="24"/>
          <w:lang w:val="en-US" w:eastAsia="zh-CN"/>
        </w:rPr>
        <w:t xml:space="preserve"> </w:t>
      </w:r>
      <w:r>
        <w:rPr>
          <w:rFonts w:hint="eastAsia"/>
          <w:szCs w:val="24"/>
        </w:rPr>
        <w:t>拟投入主要施工机械设备情况表</w:t>
      </w:r>
      <w:bookmarkEnd w:id="2300"/>
      <w:bookmarkEnd w:id="2301"/>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36177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B96240A">
            <w:pPr>
              <w:jc w:val="center"/>
              <w:rPr>
                <w:rFonts w:ascii="宋体" w:hAnsi="宋体"/>
                <w:szCs w:val="21"/>
              </w:rPr>
            </w:pPr>
            <w:r>
              <w:rPr>
                <w:rFonts w:hint="eastAsia" w:ascii="宋体" w:hAnsi="宋体"/>
                <w:szCs w:val="21"/>
              </w:rPr>
              <w:t>机械设备名称</w:t>
            </w:r>
          </w:p>
        </w:tc>
        <w:tc>
          <w:tcPr>
            <w:tcW w:w="2031" w:type="dxa"/>
            <w:vAlign w:val="center"/>
          </w:tcPr>
          <w:p w14:paraId="156F2097">
            <w:pPr>
              <w:jc w:val="center"/>
              <w:rPr>
                <w:rFonts w:ascii="宋体" w:hAnsi="宋体"/>
                <w:szCs w:val="21"/>
              </w:rPr>
            </w:pPr>
            <w:r>
              <w:rPr>
                <w:rFonts w:hint="eastAsia" w:ascii="宋体" w:hAnsi="宋体"/>
                <w:szCs w:val="21"/>
              </w:rPr>
              <w:t>型号规格</w:t>
            </w:r>
          </w:p>
        </w:tc>
        <w:tc>
          <w:tcPr>
            <w:tcW w:w="2031" w:type="dxa"/>
            <w:vAlign w:val="center"/>
          </w:tcPr>
          <w:p w14:paraId="221C4906">
            <w:pPr>
              <w:jc w:val="center"/>
              <w:rPr>
                <w:rFonts w:ascii="宋体" w:hAnsi="宋体"/>
                <w:szCs w:val="21"/>
              </w:rPr>
            </w:pPr>
            <w:r>
              <w:rPr>
                <w:rFonts w:hint="eastAsia" w:ascii="宋体" w:hAnsi="宋体"/>
                <w:szCs w:val="21"/>
              </w:rPr>
              <w:t>数  量</w:t>
            </w:r>
          </w:p>
        </w:tc>
        <w:tc>
          <w:tcPr>
            <w:tcW w:w="2031" w:type="dxa"/>
            <w:vAlign w:val="center"/>
          </w:tcPr>
          <w:p w14:paraId="39A3460F">
            <w:pPr>
              <w:jc w:val="center"/>
              <w:rPr>
                <w:rFonts w:ascii="宋体" w:hAnsi="宋体"/>
                <w:szCs w:val="21"/>
              </w:rPr>
            </w:pPr>
            <w:r>
              <w:rPr>
                <w:rFonts w:hint="eastAsia" w:ascii="宋体" w:hAnsi="宋体"/>
                <w:szCs w:val="21"/>
              </w:rPr>
              <w:t>目前状况</w:t>
            </w:r>
          </w:p>
        </w:tc>
        <w:tc>
          <w:tcPr>
            <w:tcW w:w="2031" w:type="dxa"/>
            <w:vAlign w:val="center"/>
          </w:tcPr>
          <w:p w14:paraId="29164D49">
            <w:pPr>
              <w:jc w:val="center"/>
              <w:rPr>
                <w:rFonts w:ascii="宋体" w:hAnsi="宋体"/>
                <w:szCs w:val="21"/>
              </w:rPr>
            </w:pPr>
            <w:r>
              <w:rPr>
                <w:rFonts w:hint="eastAsia" w:ascii="宋体" w:hAnsi="宋体"/>
                <w:szCs w:val="21"/>
              </w:rPr>
              <w:t>来  源</w:t>
            </w:r>
          </w:p>
        </w:tc>
        <w:tc>
          <w:tcPr>
            <w:tcW w:w="2031" w:type="dxa"/>
            <w:vAlign w:val="center"/>
          </w:tcPr>
          <w:p w14:paraId="352D6F9B">
            <w:pPr>
              <w:jc w:val="center"/>
              <w:rPr>
                <w:rFonts w:ascii="宋体" w:hAnsi="宋体"/>
                <w:szCs w:val="21"/>
              </w:rPr>
            </w:pPr>
            <w:r>
              <w:rPr>
                <w:rFonts w:hint="eastAsia" w:ascii="宋体" w:hAnsi="宋体"/>
                <w:szCs w:val="21"/>
              </w:rPr>
              <w:t>现停放地点</w:t>
            </w:r>
          </w:p>
        </w:tc>
        <w:tc>
          <w:tcPr>
            <w:tcW w:w="2032" w:type="dxa"/>
            <w:vAlign w:val="center"/>
          </w:tcPr>
          <w:p w14:paraId="4E9CCADE">
            <w:pPr>
              <w:jc w:val="center"/>
              <w:rPr>
                <w:rFonts w:ascii="宋体" w:hAnsi="宋体"/>
                <w:szCs w:val="21"/>
              </w:rPr>
            </w:pPr>
            <w:r>
              <w:rPr>
                <w:rFonts w:hint="eastAsia" w:ascii="宋体" w:hAnsi="宋体"/>
                <w:szCs w:val="21"/>
              </w:rPr>
              <w:t>备  注</w:t>
            </w:r>
          </w:p>
        </w:tc>
      </w:tr>
      <w:tr w14:paraId="2612B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93D77C2">
            <w:pPr>
              <w:jc w:val="center"/>
              <w:rPr>
                <w:rFonts w:ascii="宋体" w:hAnsi="宋体"/>
                <w:szCs w:val="21"/>
              </w:rPr>
            </w:pPr>
          </w:p>
        </w:tc>
        <w:tc>
          <w:tcPr>
            <w:tcW w:w="2031" w:type="dxa"/>
            <w:vAlign w:val="center"/>
          </w:tcPr>
          <w:p w14:paraId="6B897E77">
            <w:pPr>
              <w:jc w:val="center"/>
              <w:rPr>
                <w:rFonts w:ascii="宋体" w:hAnsi="宋体"/>
                <w:szCs w:val="21"/>
              </w:rPr>
            </w:pPr>
          </w:p>
        </w:tc>
        <w:tc>
          <w:tcPr>
            <w:tcW w:w="2031" w:type="dxa"/>
            <w:vAlign w:val="center"/>
          </w:tcPr>
          <w:p w14:paraId="464C7BF9">
            <w:pPr>
              <w:jc w:val="center"/>
              <w:rPr>
                <w:rFonts w:ascii="宋体" w:hAnsi="宋体"/>
                <w:szCs w:val="21"/>
              </w:rPr>
            </w:pPr>
          </w:p>
        </w:tc>
        <w:tc>
          <w:tcPr>
            <w:tcW w:w="2031" w:type="dxa"/>
            <w:vAlign w:val="center"/>
          </w:tcPr>
          <w:p w14:paraId="7B2FB5A2">
            <w:pPr>
              <w:jc w:val="center"/>
              <w:rPr>
                <w:rFonts w:ascii="宋体" w:hAnsi="宋体"/>
                <w:szCs w:val="21"/>
              </w:rPr>
            </w:pPr>
          </w:p>
        </w:tc>
        <w:tc>
          <w:tcPr>
            <w:tcW w:w="2031" w:type="dxa"/>
            <w:vAlign w:val="center"/>
          </w:tcPr>
          <w:p w14:paraId="6A9D16F9">
            <w:pPr>
              <w:jc w:val="center"/>
              <w:rPr>
                <w:rFonts w:ascii="宋体" w:hAnsi="宋体"/>
                <w:szCs w:val="21"/>
              </w:rPr>
            </w:pPr>
          </w:p>
        </w:tc>
        <w:tc>
          <w:tcPr>
            <w:tcW w:w="2031" w:type="dxa"/>
            <w:vAlign w:val="center"/>
          </w:tcPr>
          <w:p w14:paraId="65205C68">
            <w:pPr>
              <w:jc w:val="center"/>
              <w:rPr>
                <w:rFonts w:ascii="宋体" w:hAnsi="宋体"/>
                <w:szCs w:val="21"/>
              </w:rPr>
            </w:pPr>
          </w:p>
        </w:tc>
        <w:tc>
          <w:tcPr>
            <w:tcW w:w="2032" w:type="dxa"/>
            <w:vAlign w:val="center"/>
          </w:tcPr>
          <w:p w14:paraId="5B9070E6">
            <w:pPr>
              <w:jc w:val="center"/>
              <w:rPr>
                <w:rFonts w:ascii="宋体" w:hAnsi="宋体"/>
                <w:szCs w:val="21"/>
              </w:rPr>
            </w:pPr>
          </w:p>
        </w:tc>
      </w:tr>
      <w:tr w14:paraId="57CA5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536E2AB">
            <w:pPr>
              <w:jc w:val="center"/>
              <w:rPr>
                <w:rFonts w:ascii="宋体" w:hAnsi="宋体"/>
                <w:szCs w:val="21"/>
              </w:rPr>
            </w:pPr>
          </w:p>
        </w:tc>
        <w:tc>
          <w:tcPr>
            <w:tcW w:w="2031" w:type="dxa"/>
            <w:vAlign w:val="center"/>
          </w:tcPr>
          <w:p w14:paraId="188F5632">
            <w:pPr>
              <w:jc w:val="center"/>
              <w:rPr>
                <w:rFonts w:ascii="宋体" w:hAnsi="宋体"/>
                <w:szCs w:val="21"/>
              </w:rPr>
            </w:pPr>
          </w:p>
        </w:tc>
        <w:tc>
          <w:tcPr>
            <w:tcW w:w="2031" w:type="dxa"/>
            <w:vAlign w:val="center"/>
          </w:tcPr>
          <w:p w14:paraId="33503FF9">
            <w:pPr>
              <w:jc w:val="center"/>
              <w:rPr>
                <w:rFonts w:ascii="宋体" w:hAnsi="宋体"/>
                <w:szCs w:val="21"/>
              </w:rPr>
            </w:pPr>
          </w:p>
        </w:tc>
        <w:tc>
          <w:tcPr>
            <w:tcW w:w="2031" w:type="dxa"/>
            <w:vAlign w:val="center"/>
          </w:tcPr>
          <w:p w14:paraId="5AEDC041">
            <w:pPr>
              <w:jc w:val="center"/>
              <w:rPr>
                <w:rFonts w:ascii="宋体" w:hAnsi="宋体"/>
                <w:szCs w:val="21"/>
              </w:rPr>
            </w:pPr>
          </w:p>
        </w:tc>
        <w:tc>
          <w:tcPr>
            <w:tcW w:w="2031" w:type="dxa"/>
            <w:vAlign w:val="center"/>
          </w:tcPr>
          <w:p w14:paraId="4B8EC262">
            <w:pPr>
              <w:jc w:val="center"/>
              <w:rPr>
                <w:rFonts w:ascii="宋体" w:hAnsi="宋体"/>
                <w:szCs w:val="21"/>
              </w:rPr>
            </w:pPr>
          </w:p>
        </w:tc>
        <w:tc>
          <w:tcPr>
            <w:tcW w:w="2031" w:type="dxa"/>
            <w:vAlign w:val="center"/>
          </w:tcPr>
          <w:p w14:paraId="3503AB34">
            <w:pPr>
              <w:jc w:val="center"/>
              <w:rPr>
                <w:rFonts w:ascii="宋体" w:hAnsi="宋体"/>
                <w:szCs w:val="21"/>
              </w:rPr>
            </w:pPr>
          </w:p>
        </w:tc>
        <w:tc>
          <w:tcPr>
            <w:tcW w:w="2032" w:type="dxa"/>
            <w:vAlign w:val="center"/>
          </w:tcPr>
          <w:p w14:paraId="46DC2B35">
            <w:pPr>
              <w:jc w:val="center"/>
              <w:rPr>
                <w:rFonts w:ascii="宋体" w:hAnsi="宋体"/>
                <w:szCs w:val="21"/>
              </w:rPr>
            </w:pPr>
          </w:p>
        </w:tc>
      </w:tr>
      <w:tr w14:paraId="7E318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2E19FB5">
            <w:pPr>
              <w:jc w:val="center"/>
              <w:rPr>
                <w:rFonts w:ascii="宋体" w:hAnsi="宋体"/>
                <w:szCs w:val="21"/>
              </w:rPr>
            </w:pPr>
          </w:p>
        </w:tc>
        <w:tc>
          <w:tcPr>
            <w:tcW w:w="2031" w:type="dxa"/>
            <w:vAlign w:val="center"/>
          </w:tcPr>
          <w:p w14:paraId="294CAFBD">
            <w:pPr>
              <w:jc w:val="center"/>
              <w:rPr>
                <w:rFonts w:ascii="宋体" w:hAnsi="宋体"/>
                <w:szCs w:val="21"/>
              </w:rPr>
            </w:pPr>
          </w:p>
        </w:tc>
        <w:tc>
          <w:tcPr>
            <w:tcW w:w="2031" w:type="dxa"/>
            <w:vAlign w:val="center"/>
          </w:tcPr>
          <w:p w14:paraId="6BC74D4B">
            <w:pPr>
              <w:jc w:val="center"/>
              <w:rPr>
                <w:rFonts w:ascii="宋体" w:hAnsi="宋体"/>
                <w:szCs w:val="21"/>
              </w:rPr>
            </w:pPr>
          </w:p>
        </w:tc>
        <w:tc>
          <w:tcPr>
            <w:tcW w:w="2031" w:type="dxa"/>
            <w:vAlign w:val="center"/>
          </w:tcPr>
          <w:p w14:paraId="65584438">
            <w:pPr>
              <w:jc w:val="center"/>
              <w:rPr>
                <w:rFonts w:ascii="宋体" w:hAnsi="宋体"/>
                <w:szCs w:val="21"/>
              </w:rPr>
            </w:pPr>
          </w:p>
        </w:tc>
        <w:tc>
          <w:tcPr>
            <w:tcW w:w="2031" w:type="dxa"/>
            <w:vAlign w:val="center"/>
          </w:tcPr>
          <w:p w14:paraId="19841AF9">
            <w:pPr>
              <w:jc w:val="center"/>
              <w:rPr>
                <w:rFonts w:ascii="宋体" w:hAnsi="宋体"/>
                <w:szCs w:val="21"/>
              </w:rPr>
            </w:pPr>
          </w:p>
        </w:tc>
        <w:tc>
          <w:tcPr>
            <w:tcW w:w="2031" w:type="dxa"/>
            <w:vAlign w:val="center"/>
          </w:tcPr>
          <w:p w14:paraId="23969F95">
            <w:pPr>
              <w:jc w:val="center"/>
              <w:rPr>
                <w:rFonts w:ascii="宋体" w:hAnsi="宋体"/>
                <w:szCs w:val="21"/>
              </w:rPr>
            </w:pPr>
          </w:p>
        </w:tc>
        <w:tc>
          <w:tcPr>
            <w:tcW w:w="2032" w:type="dxa"/>
            <w:vAlign w:val="center"/>
          </w:tcPr>
          <w:p w14:paraId="24757863">
            <w:pPr>
              <w:jc w:val="center"/>
              <w:rPr>
                <w:rFonts w:ascii="宋体" w:hAnsi="宋体"/>
                <w:szCs w:val="21"/>
              </w:rPr>
            </w:pPr>
          </w:p>
        </w:tc>
      </w:tr>
      <w:tr w14:paraId="77522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32B0726">
            <w:pPr>
              <w:jc w:val="center"/>
              <w:rPr>
                <w:rFonts w:ascii="宋体" w:hAnsi="宋体"/>
                <w:szCs w:val="21"/>
              </w:rPr>
            </w:pPr>
          </w:p>
        </w:tc>
        <w:tc>
          <w:tcPr>
            <w:tcW w:w="2031" w:type="dxa"/>
            <w:vAlign w:val="center"/>
          </w:tcPr>
          <w:p w14:paraId="6C05FD4D">
            <w:pPr>
              <w:jc w:val="center"/>
              <w:rPr>
                <w:rFonts w:ascii="宋体" w:hAnsi="宋体"/>
                <w:szCs w:val="21"/>
              </w:rPr>
            </w:pPr>
          </w:p>
        </w:tc>
        <w:tc>
          <w:tcPr>
            <w:tcW w:w="2031" w:type="dxa"/>
            <w:vAlign w:val="center"/>
          </w:tcPr>
          <w:p w14:paraId="4CF7C405">
            <w:pPr>
              <w:jc w:val="center"/>
              <w:rPr>
                <w:rFonts w:ascii="宋体" w:hAnsi="宋体"/>
                <w:szCs w:val="21"/>
              </w:rPr>
            </w:pPr>
          </w:p>
        </w:tc>
        <w:tc>
          <w:tcPr>
            <w:tcW w:w="2031" w:type="dxa"/>
            <w:vAlign w:val="center"/>
          </w:tcPr>
          <w:p w14:paraId="1ED430CE">
            <w:pPr>
              <w:jc w:val="center"/>
              <w:rPr>
                <w:rFonts w:ascii="宋体" w:hAnsi="宋体"/>
                <w:szCs w:val="21"/>
              </w:rPr>
            </w:pPr>
          </w:p>
        </w:tc>
        <w:tc>
          <w:tcPr>
            <w:tcW w:w="2031" w:type="dxa"/>
            <w:vAlign w:val="center"/>
          </w:tcPr>
          <w:p w14:paraId="438AC4BF">
            <w:pPr>
              <w:jc w:val="center"/>
              <w:rPr>
                <w:rFonts w:ascii="宋体" w:hAnsi="宋体"/>
                <w:szCs w:val="21"/>
              </w:rPr>
            </w:pPr>
          </w:p>
        </w:tc>
        <w:tc>
          <w:tcPr>
            <w:tcW w:w="2031" w:type="dxa"/>
            <w:vAlign w:val="center"/>
          </w:tcPr>
          <w:p w14:paraId="67F76CD5">
            <w:pPr>
              <w:jc w:val="center"/>
              <w:rPr>
                <w:rFonts w:ascii="宋体" w:hAnsi="宋体"/>
                <w:szCs w:val="21"/>
              </w:rPr>
            </w:pPr>
          </w:p>
        </w:tc>
        <w:tc>
          <w:tcPr>
            <w:tcW w:w="2032" w:type="dxa"/>
            <w:vAlign w:val="center"/>
          </w:tcPr>
          <w:p w14:paraId="2E884213">
            <w:pPr>
              <w:jc w:val="center"/>
              <w:rPr>
                <w:rFonts w:ascii="宋体" w:hAnsi="宋体"/>
                <w:szCs w:val="21"/>
              </w:rPr>
            </w:pPr>
          </w:p>
        </w:tc>
      </w:tr>
      <w:tr w14:paraId="6C7AF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5E7C69A9">
            <w:pPr>
              <w:jc w:val="center"/>
              <w:rPr>
                <w:rFonts w:ascii="宋体" w:hAnsi="宋体"/>
                <w:szCs w:val="21"/>
              </w:rPr>
            </w:pPr>
          </w:p>
        </w:tc>
        <w:tc>
          <w:tcPr>
            <w:tcW w:w="2031" w:type="dxa"/>
            <w:vAlign w:val="center"/>
          </w:tcPr>
          <w:p w14:paraId="174F4DF2">
            <w:pPr>
              <w:jc w:val="center"/>
              <w:rPr>
                <w:rFonts w:ascii="宋体" w:hAnsi="宋体"/>
                <w:szCs w:val="21"/>
              </w:rPr>
            </w:pPr>
          </w:p>
        </w:tc>
        <w:tc>
          <w:tcPr>
            <w:tcW w:w="2031" w:type="dxa"/>
            <w:vAlign w:val="center"/>
          </w:tcPr>
          <w:p w14:paraId="21BE02AB">
            <w:pPr>
              <w:jc w:val="center"/>
              <w:rPr>
                <w:rFonts w:ascii="宋体" w:hAnsi="宋体"/>
                <w:szCs w:val="21"/>
              </w:rPr>
            </w:pPr>
          </w:p>
        </w:tc>
        <w:tc>
          <w:tcPr>
            <w:tcW w:w="2031" w:type="dxa"/>
            <w:vAlign w:val="center"/>
          </w:tcPr>
          <w:p w14:paraId="21064D41">
            <w:pPr>
              <w:jc w:val="center"/>
              <w:rPr>
                <w:rFonts w:ascii="宋体" w:hAnsi="宋体"/>
                <w:szCs w:val="21"/>
              </w:rPr>
            </w:pPr>
          </w:p>
        </w:tc>
        <w:tc>
          <w:tcPr>
            <w:tcW w:w="2031" w:type="dxa"/>
            <w:vAlign w:val="center"/>
          </w:tcPr>
          <w:p w14:paraId="768B6E63">
            <w:pPr>
              <w:jc w:val="center"/>
              <w:rPr>
                <w:rFonts w:ascii="宋体" w:hAnsi="宋体"/>
                <w:szCs w:val="21"/>
              </w:rPr>
            </w:pPr>
          </w:p>
        </w:tc>
        <w:tc>
          <w:tcPr>
            <w:tcW w:w="2031" w:type="dxa"/>
            <w:vAlign w:val="center"/>
          </w:tcPr>
          <w:p w14:paraId="44DEC07C">
            <w:pPr>
              <w:jc w:val="center"/>
              <w:rPr>
                <w:rFonts w:ascii="宋体" w:hAnsi="宋体"/>
                <w:szCs w:val="21"/>
              </w:rPr>
            </w:pPr>
          </w:p>
        </w:tc>
        <w:tc>
          <w:tcPr>
            <w:tcW w:w="2032" w:type="dxa"/>
            <w:vAlign w:val="center"/>
          </w:tcPr>
          <w:p w14:paraId="6BE828BE">
            <w:pPr>
              <w:jc w:val="center"/>
              <w:rPr>
                <w:rFonts w:ascii="宋体" w:hAnsi="宋体"/>
                <w:szCs w:val="21"/>
              </w:rPr>
            </w:pPr>
          </w:p>
        </w:tc>
      </w:tr>
      <w:tr w14:paraId="4265B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166AC56">
            <w:pPr>
              <w:jc w:val="center"/>
              <w:rPr>
                <w:rFonts w:ascii="宋体" w:hAnsi="宋体"/>
                <w:szCs w:val="21"/>
              </w:rPr>
            </w:pPr>
          </w:p>
        </w:tc>
        <w:tc>
          <w:tcPr>
            <w:tcW w:w="2031" w:type="dxa"/>
            <w:vAlign w:val="center"/>
          </w:tcPr>
          <w:p w14:paraId="0A92A2DB">
            <w:pPr>
              <w:jc w:val="center"/>
              <w:rPr>
                <w:rFonts w:ascii="宋体" w:hAnsi="宋体"/>
                <w:szCs w:val="21"/>
              </w:rPr>
            </w:pPr>
          </w:p>
        </w:tc>
        <w:tc>
          <w:tcPr>
            <w:tcW w:w="2031" w:type="dxa"/>
            <w:vAlign w:val="center"/>
          </w:tcPr>
          <w:p w14:paraId="1D6DC522">
            <w:pPr>
              <w:jc w:val="center"/>
              <w:rPr>
                <w:rFonts w:ascii="宋体" w:hAnsi="宋体"/>
                <w:szCs w:val="21"/>
              </w:rPr>
            </w:pPr>
          </w:p>
        </w:tc>
        <w:tc>
          <w:tcPr>
            <w:tcW w:w="2031" w:type="dxa"/>
            <w:vAlign w:val="center"/>
          </w:tcPr>
          <w:p w14:paraId="69A3A9E7">
            <w:pPr>
              <w:jc w:val="center"/>
              <w:rPr>
                <w:rFonts w:ascii="宋体" w:hAnsi="宋体"/>
                <w:szCs w:val="21"/>
              </w:rPr>
            </w:pPr>
          </w:p>
        </w:tc>
        <w:tc>
          <w:tcPr>
            <w:tcW w:w="2031" w:type="dxa"/>
            <w:vAlign w:val="center"/>
          </w:tcPr>
          <w:p w14:paraId="076040BC">
            <w:pPr>
              <w:jc w:val="center"/>
              <w:rPr>
                <w:rFonts w:ascii="宋体" w:hAnsi="宋体"/>
                <w:szCs w:val="21"/>
              </w:rPr>
            </w:pPr>
          </w:p>
        </w:tc>
        <w:tc>
          <w:tcPr>
            <w:tcW w:w="2031" w:type="dxa"/>
            <w:vAlign w:val="center"/>
          </w:tcPr>
          <w:p w14:paraId="01D62283">
            <w:pPr>
              <w:jc w:val="center"/>
              <w:rPr>
                <w:rFonts w:ascii="宋体" w:hAnsi="宋体"/>
                <w:szCs w:val="21"/>
              </w:rPr>
            </w:pPr>
          </w:p>
        </w:tc>
        <w:tc>
          <w:tcPr>
            <w:tcW w:w="2032" w:type="dxa"/>
            <w:vAlign w:val="center"/>
          </w:tcPr>
          <w:p w14:paraId="3AEE477A">
            <w:pPr>
              <w:jc w:val="center"/>
              <w:rPr>
                <w:rFonts w:ascii="宋体" w:hAnsi="宋体"/>
                <w:szCs w:val="21"/>
              </w:rPr>
            </w:pPr>
          </w:p>
        </w:tc>
      </w:tr>
      <w:tr w14:paraId="50B9B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D244769">
            <w:pPr>
              <w:jc w:val="center"/>
              <w:rPr>
                <w:rFonts w:ascii="宋体" w:hAnsi="宋体"/>
                <w:szCs w:val="21"/>
              </w:rPr>
            </w:pPr>
          </w:p>
        </w:tc>
        <w:tc>
          <w:tcPr>
            <w:tcW w:w="2031" w:type="dxa"/>
            <w:vAlign w:val="center"/>
          </w:tcPr>
          <w:p w14:paraId="425FC279">
            <w:pPr>
              <w:jc w:val="center"/>
              <w:rPr>
                <w:rFonts w:ascii="宋体" w:hAnsi="宋体"/>
                <w:szCs w:val="21"/>
              </w:rPr>
            </w:pPr>
          </w:p>
        </w:tc>
        <w:tc>
          <w:tcPr>
            <w:tcW w:w="2031" w:type="dxa"/>
            <w:vAlign w:val="center"/>
          </w:tcPr>
          <w:p w14:paraId="7667CF3F">
            <w:pPr>
              <w:jc w:val="center"/>
              <w:rPr>
                <w:rFonts w:ascii="宋体" w:hAnsi="宋体"/>
                <w:szCs w:val="21"/>
              </w:rPr>
            </w:pPr>
          </w:p>
        </w:tc>
        <w:tc>
          <w:tcPr>
            <w:tcW w:w="2031" w:type="dxa"/>
            <w:vAlign w:val="center"/>
          </w:tcPr>
          <w:p w14:paraId="1D850070">
            <w:pPr>
              <w:jc w:val="center"/>
              <w:rPr>
                <w:rFonts w:ascii="宋体" w:hAnsi="宋体"/>
                <w:szCs w:val="21"/>
              </w:rPr>
            </w:pPr>
          </w:p>
        </w:tc>
        <w:tc>
          <w:tcPr>
            <w:tcW w:w="2031" w:type="dxa"/>
            <w:vAlign w:val="center"/>
          </w:tcPr>
          <w:p w14:paraId="109575C1">
            <w:pPr>
              <w:jc w:val="center"/>
              <w:rPr>
                <w:rFonts w:ascii="宋体" w:hAnsi="宋体"/>
                <w:szCs w:val="21"/>
              </w:rPr>
            </w:pPr>
          </w:p>
        </w:tc>
        <w:tc>
          <w:tcPr>
            <w:tcW w:w="2031" w:type="dxa"/>
            <w:vAlign w:val="center"/>
          </w:tcPr>
          <w:p w14:paraId="0B93448D">
            <w:pPr>
              <w:jc w:val="center"/>
              <w:rPr>
                <w:rFonts w:ascii="宋体" w:hAnsi="宋体"/>
                <w:szCs w:val="21"/>
              </w:rPr>
            </w:pPr>
          </w:p>
        </w:tc>
        <w:tc>
          <w:tcPr>
            <w:tcW w:w="2032" w:type="dxa"/>
            <w:vAlign w:val="center"/>
          </w:tcPr>
          <w:p w14:paraId="7890336E">
            <w:pPr>
              <w:jc w:val="center"/>
              <w:rPr>
                <w:rFonts w:ascii="宋体" w:hAnsi="宋体"/>
                <w:szCs w:val="21"/>
              </w:rPr>
            </w:pPr>
          </w:p>
        </w:tc>
      </w:tr>
      <w:tr w14:paraId="5944B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21AFD629">
            <w:pPr>
              <w:jc w:val="center"/>
              <w:rPr>
                <w:rFonts w:ascii="宋体" w:hAnsi="宋体"/>
                <w:szCs w:val="21"/>
              </w:rPr>
            </w:pPr>
          </w:p>
        </w:tc>
        <w:tc>
          <w:tcPr>
            <w:tcW w:w="2031" w:type="dxa"/>
            <w:vAlign w:val="center"/>
          </w:tcPr>
          <w:p w14:paraId="68151A78">
            <w:pPr>
              <w:jc w:val="center"/>
              <w:rPr>
                <w:rFonts w:ascii="宋体" w:hAnsi="宋体"/>
                <w:szCs w:val="21"/>
              </w:rPr>
            </w:pPr>
          </w:p>
        </w:tc>
        <w:tc>
          <w:tcPr>
            <w:tcW w:w="2031" w:type="dxa"/>
            <w:vAlign w:val="center"/>
          </w:tcPr>
          <w:p w14:paraId="02B9838E">
            <w:pPr>
              <w:jc w:val="center"/>
              <w:rPr>
                <w:rFonts w:ascii="宋体" w:hAnsi="宋体"/>
                <w:szCs w:val="21"/>
              </w:rPr>
            </w:pPr>
          </w:p>
        </w:tc>
        <w:tc>
          <w:tcPr>
            <w:tcW w:w="2031" w:type="dxa"/>
            <w:vAlign w:val="center"/>
          </w:tcPr>
          <w:p w14:paraId="48715A18">
            <w:pPr>
              <w:jc w:val="center"/>
              <w:rPr>
                <w:rFonts w:ascii="宋体" w:hAnsi="宋体"/>
                <w:szCs w:val="21"/>
              </w:rPr>
            </w:pPr>
          </w:p>
        </w:tc>
        <w:tc>
          <w:tcPr>
            <w:tcW w:w="2031" w:type="dxa"/>
            <w:vAlign w:val="center"/>
          </w:tcPr>
          <w:p w14:paraId="777FA21E">
            <w:pPr>
              <w:jc w:val="center"/>
              <w:rPr>
                <w:rFonts w:ascii="宋体" w:hAnsi="宋体"/>
                <w:szCs w:val="21"/>
              </w:rPr>
            </w:pPr>
          </w:p>
        </w:tc>
        <w:tc>
          <w:tcPr>
            <w:tcW w:w="2031" w:type="dxa"/>
            <w:vAlign w:val="center"/>
          </w:tcPr>
          <w:p w14:paraId="4CDD115E">
            <w:pPr>
              <w:jc w:val="center"/>
              <w:rPr>
                <w:rFonts w:ascii="宋体" w:hAnsi="宋体"/>
                <w:szCs w:val="21"/>
              </w:rPr>
            </w:pPr>
          </w:p>
        </w:tc>
        <w:tc>
          <w:tcPr>
            <w:tcW w:w="2032" w:type="dxa"/>
            <w:vAlign w:val="center"/>
          </w:tcPr>
          <w:p w14:paraId="217C7D40">
            <w:pPr>
              <w:jc w:val="center"/>
              <w:rPr>
                <w:rFonts w:ascii="宋体" w:hAnsi="宋体"/>
                <w:szCs w:val="21"/>
              </w:rPr>
            </w:pPr>
          </w:p>
        </w:tc>
      </w:tr>
    </w:tbl>
    <w:p w14:paraId="661D30CE">
      <w:p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rPr>
        <w:t>。</w:t>
      </w:r>
    </w:p>
    <w:p w14:paraId="280E98DC">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rPr>
      </w:pPr>
      <w:bookmarkStart w:id="2302" w:name="_Toc122603091"/>
      <w:bookmarkStart w:id="2303" w:name="_Toc256000427"/>
      <w:r>
        <w:rPr>
          <w:rFonts w:hint="eastAsia"/>
          <w:szCs w:val="24"/>
          <w:lang w:eastAsia="zh-CN"/>
        </w:rPr>
        <w:t>（</w:t>
      </w:r>
      <w:r>
        <w:rPr>
          <w:rFonts w:hint="default"/>
          <w:szCs w:val="24"/>
        </w:rPr>
        <w:t>二</w:t>
      </w:r>
      <w:r>
        <w:rPr>
          <w:rFonts w:hint="eastAsia"/>
          <w:szCs w:val="24"/>
          <w:lang w:eastAsia="zh-CN"/>
        </w:rPr>
        <w:t>）</w:t>
      </w:r>
      <w:r>
        <w:rPr>
          <w:rFonts w:hint="eastAsia"/>
          <w:szCs w:val="24"/>
        </w:rPr>
        <w:t>近年财务状况</w:t>
      </w:r>
      <w:bookmarkEnd w:id="2302"/>
      <w:r>
        <w:rPr>
          <w:rFonts w:hint="eastAsia"/>
          <w:szCs w:val="24"/>
        </w:rPr>
        <w:t>表</w:t>
      </w:r>
      <w:bookmarkEnd w:id="2303"/>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32E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5630E10">
            <w:pPr>
              <w:jc w:val="center"/>
              <w:rPr>
                <w:rFonts w:ascii="宋体" w:hAnsi="宋体"/>
                <w:b/>
                <w:bCs/>
                <w:szCs w:val="21"/>
              </w:rPr>
            </w:pPr>
            <w:r>
              <w:rPr>
                <w:rFonts w:hint="eastAsia" w:ascii="宋体" w:hAnsi="宋体"/>
                <w:b/>
                <w:bCs/>
                <w:szCs w:val="21"/>
              </w:rPr>
              <w:t>名称</w:t>
            </w:r>
          </w:p>
        </w:tc>
        <w:tc>
          <w:tcPr>
            <w:tcW w:w="815" w:type="dxa"/>
            <w:vAlign w:val="center"/>
          </w:tcPr>
          <w:p w14:paraId="40A7F222">
            <w:pPr>
              <w:jc w:val="center"/>
              <w:rPr>
                <w:rFonts w:ascii="宋体" w:hAnsi="宋体"/>
                <w:b/>
                <w:bCs/>
                <w:szCs w:val="21"/>
              </w:rPr>
            </w:pPr>
            <w:r>
              <w:rPr>
                <w:rFonts w:hint="eastAsia" w:ascii="宋体" w:hAnsi="宋体"/>
                <w:b/>
                <w:bCs/>
                <w:szCs w:val="21"/>
              </w:rPr>
              <w:t>单位</w:t>
            </w:r>
          </w:p>
        </w:tc>
        <w:tc>
          <w:tcPr>
            <w:tcW w:w="1539" w:type="dxa"/>
            <w:vAlign w:val="center"/>
          </w:tcPr>
          <w:p w14:paraId="7FB8726C">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67C6118A">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0B0C0571">
            <w:pPr>
              <w:jc w:val="center"/>
              <w:rPr>
                <w:rFonts w:ascii="宋体" w:hAnsi="宋体"/>
                <w:b/>
                <w:bCs/>
                <w:szCs w:val="21"/>
              </w:rPr>
            </w:pPr>
            <w:r>
              <w:rPr>
                <w:rFonts w:hint="eastAsia" w:ascii="宋体" w:hAnsi="宋体"/>
                <w:b/>
                <w:bCs/>
                <w:szCs w:val="21"/>
                <w:u w:val="single"/>
              </w:rPr>
              <w:t>　　　</w:t>
            </w:r>
            <w:r>
              <w:rPr>
                <w:rFonts w:hint="eastAsia" w:ascii="宋体" w:hAnsi="宋体"/>
                <w:b/>
                <w:bCs/>
                <w:szCs w:val="21"/>
              </w:rPr>
              <w:t>年</w:t>
            </w:r>
          </w:p>
        </w:tc>
        <w:tc>
          <w:tcPr>
            <w:tcW w:w="1539" w:type="dxa"/>
            <w:vAlign w:val="center"/>
          </w:tcPr>
          <w:p w14:paraId="28D17542">
            <w:pPr>
              <w:jc w:val="center"/>
              <w:rPr>
                <w:rFonts w:ascii="宋体" w:hAnsi="宋体"/>
                <w:b/>
                <w:bCs/>
                <w:szCs w:val="21"/>
              </w:rPr>
            </w:pPr>
            <w:r>
              <w:rPr>
                <w:rFonts w:hint="eastAsia" w:ascii="宋体" w:hAnsi="宋体"/>
                <w:b/>
                <w:bCs/>
                <w:szCs w:val="21"/>
              </w:rPr>
              <w:t>近年平均值　</w:t>
            </w:r>
          </w:p>
        </w:tc>
      </w:tr>
      <w:tr w14:paraId="1BF2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9676CD1">
            <w:pPr>
              <w:rPr>
                <w:rFonts w:ascii="宋体" w:hAnsi="宋体"/>
                <w:szCs w:val="21"/>
              </w:rPr>
            </w:pPr>
            <w:r>
              <w:rPr>
                <w:rFonts w:hint="eastAsia" w:ascii="宋体" w:hAnsi="宋体"/>
                <w:szCs w:val="21"/>
              </w:rPr>
              <w:t>一．注册资金</w:t>
            </w:r>
          </w:p>
        </w:tc>
        <w:tc>
          <w:tcPr>
            <w:tcW w:w="815" w:type="dxa"/>
            <w:vAlign w:val="center"/>
          </w:tcPr>
          <w:p w14:paraId="1A3B006A">
            <w:pPr>
              <w:jc w:val="center"/>
              <w:rPr>
                <w:rFonts w:ascii="宋体" w:hAnsi="宋体"/>
                <w:szCs w:val="21"/>
              </w:rPr>
            </w:pPr>
            <w:r>
              <w:rPr>
                <w:rFonts w:hint="eastAsia" w:ascii="宋体" w:hAnsi="宋体"/>
                <w:szCs w:val="21"/>
              </w:rPr>
              <w:t>元</w:t>
            </w:r>
          </w:p>
        </w:tc>
        <w:tc>
          <w:tcPr>
            <w:tcW w:w="1539" w:type="dxa"/>
            <w:vAlign w:val="center"/>
          </w:tcPr>
          <w:p w14:paraId="4AEFF397">
            <w:pPr>
              <w:jc w:val="center"/>
              <w:rPr>
                <w:rFonts w:ascii="宋体" w:hAnsi="宋体"/>
                <w:szCs w:val="21"/>
              </w:rPr>
            </w:pPr>
          </w:p>
        </w:tc>
        <w:tc>
          <w:tcPr>
            <w:tcW w:w="1539" w:type="dxa"/>
            <w:vAlign w:val="center"/>
          </w:tcPr>
          <w:p w14:paraId="154AA6F9">
            <w:pPr>
              <w:jc w:val="center"/>
              <w:rPr>
                <w:rFonts w:ascii="宋体" w:hAnsi="宋体"/>
                <w:szCs w:val="21"/>
              </w:rPr>
            </w:pPr>
          </w:p>
        </w:tc>
        <w:tc>
          <w:tcPr>
            <w:tcW w:w="1539" w:type="dxa"/>
            <w:vAlign w:val="center"/>
          </w:tcPr>
          <w:p w14:paraId="6196F17C">
            <w:pPr>
              <w:jc w:val="center"/>
              <w:rPr>
                <w:rFonts w:ascii="宋体" w:hAnsi="宋体"/>
                <w:szCs w:val="21"/>
              </w:rPr>
            </w:pPr>
          </w:p>
        </w:tc>
        <w:tc>
          <w:tcPr>
            <w:tcW w:w="1539" w:type="dxa"/>
            <w:vAlign w:val="center"/>
          </w:tcPr>
          <w:p w14:paraId="1178DB29">
            <w:pPr>
              <w:jc w:val="center"/>
              <w:rPr>
                <w:rFonts w:ascii="宋体" w:hAnsi="宋体"/>
                <w:szCs w:val="21"/>
              </w:rPr>
            </w:pPr>
            <w:r>
              <w:rPr>
                <w:rFonts w:hint="eastAsia" w:ascii="宋体" w:hAnsi="宋体"/>
                <w:szCs w:val="21"/>
              </w:rPr>
              <w:t>-</w:t>
            </w:r>
          </w:p>
        </w:tc>
      </w:tr>
      <w:tr w14:paraId="6473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B77A4EA">
            <w:pPr>
              <w:rPr>
                <w:rFonts w:ascii="宋体" w:hAnsi="宋体"/>
                <w:szCs w:val="21"/>
              </w:rPr>
            </w:pPr>
            <w:r>
              <w:rPr>
                <w:rFonts w:hint="eastAsia" w:ascii="宋体" w:hAnsi="宋体"/>
                <w:szCs w:val="21"/>
              </w:rPr>
              <w:t>二．净资产</w:t>
            </w:r>
          </w:p>
        </w:tc>
        <w:tc>
          <w:tcPr>
            <w:tcW w:w="815" w:type="dxa"/>
            <w:vAlign w:val="center"/>
          </w:tcPr>
          <w:p w14:paraId="66CBCABA">
            <w:pPr>
              <w:jc w:val="center"/>
              <w:rPr>
                <w:rFonts w:ascii="宋体" w:hAnsi="宋体"/>
                <w:szCs w:val="21"/>
              </w:rPr>
            </w:pPr>
            <w:r>
              <w:rPr>
                <w:rFonts w:hint="eastAsia" w:ascii="宋体" w:hAnsi="宋体"/>
                <w:szCs w:val="21"/>
              </w:rPr>
              <w:t>元</w:t>
            </w:r>
          </w:p>
        </w:tc>
        <w:tc>
          <w:tcPr>
            <w:tcW w:w="1539" w:type="dxa"/>
            <w:vAlign w:val="center"/>
          </w:tcPr>
          <w:p w14:paraId="5480DA0E">
            <w:pPr>
              <w:jc w:val="center"/>
              <w:rPr>
                <w:rFonts w:ascii="宋体" w:hAnsi="宋体"/>
                <w:szCs w:val="21"/>
              </w:rPr>
            </w:pPr>
          </w:p>
        </w:tc>
        <w:tc>
          <w:tcPr>
            <w:tcW w:w="1539" w:type="dxa"/>
            <w:vAlign w:val="center"/>
          </w:tcPr>
          <w:p w14:paraId="048E3290">
            <w:pPr>
              <w:jc w:val="center"/>
              <w:rPr>
                <w:rFonts w:ascii="宋体" w:hAnsi="宋体"/>
                <w:szCs w:val="21"/>
              </w:rPr>
            </w:pPr>
          </w:p>
        </w:tc>
        <w:tc>
          <w:tcPr>
            <w:tcW w:w="1539" w:type="dxa"/>
            <w:vAlign w:val="center"/>
          </w:tcPr>
          <w:p w14:paraId="2036BC1A">
            <w:pPr>
              <w:jc w:val="center"/>
              <w:rPr>
                <w:rFonts w:ascii="宋体" w:hAnsi="宋体"/>
                <w:szCs w:val="21"/>
              </w:rPr>
            </w:pPr>
          </w:p>
        </w:tc>
        <w:tc>
          <w:tcPr>
            <w:tcW w:w="1539" w:type="dxa"/>
            <w:vAlign w:val="center"/>
          </w:tcPr>
          <w:p w14:paraId="7455E2A8">
            <w:pPr>
              <w:jc w:val="center"/>
              <w:rPr>
                <w:rFonts w:ascii="宋体" w:hAnsi="宋体"/>
                <w:szCs w:val="21"/>
              </w:rPr>
            </w:pPr>
            <w:r>
              <w:rPr>
                <w:rFonts w:hint="eastAsia" w:ascii="宋体" w:hAnsi="宋体"/>
                <w:szCs w:val="21"/>
              </w:rPr>
              <w:t>-</w:t>
            </w:r>
          </w:p>
        </w:tc>
      </w:tr>
      <w:tr w14:paraId="75C3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03F99AF">
            <w:pPr>
              <w:rPr>
                <w:rFonts w:ascii="宋体" w:hAnsi="宋体"/>
                <w:szCs w:val="21"/>
              </w:rPr>
            </w:pPr>
            <w:r>
              <w:rPr>
                <w:rFonts w:hint="eastAsia" w:ascii="宋体" w:hAnsi="宋体"/>
                <w:szCs w:val="21"/>
              </w:rPr>
              <w:t>三．总资产</w:t>
            </w:r>
          </w:p>
        </w:tc>
        <w:tc>
          <w:tcPr>
            <w:tcW w:w="815" w:type="dxa"/>
            <w:vAlign w:val="center"/>
          </w:tcPr>
          <w:p w14:paraId="1208CE17">
            <w:pPr>
              <w:jc w:val="center"/>
              <w:rPr>
                <w:rFonts w:ascii="宋体" w:hAnsi="宋体"/>
                <w:szCs w:val="21"/>
              </w:rPr>
            </w:pPr>
            <w:r>
              <w:rPr>
                <w:rFonts w:hint="eastAsia" w:ascii="宋体" w:hAnsi="宋体"/>
                <w:szCs w:val="21"/>
              </w:rPr>
              <w:t>元</w:t>
            </w:r>
          </w:p>
        </w:tc>
        <w:tc>
          <w:tcPr>
            <w:tcW w:w="1539" w:type="dxa"/>
            <w:vAlign w:val="center"/>
          </w:tcPr>
          <w:p w14:paraId="7655FBF8">
            <w:pPr>
              <w:jc w:val="center"/>
              <w:rPr>
                <w:rFonts w:ascii="宋体" w:hAnsi="宋体"/>
                <w:szCs w:val="21"/>
              </w:rPr>
            </w:pPr>
          </w:p>
        </w:tc>
        <w:tc>
          <w:tcPr>
            <w:tcW w:w="1539" w:type="dxa"/>
            <w:vAlign w:val="center"/>
          </w:tcPr>
          <w:p w14:paraId="7A356391">
            <w:pPr>
              <w:jc w:val="center"/>
              <w:rPr>
                <w:rFonts w:ascii="宋体" w:hAnsi="宋体"/>
                <w:szCs w:val="21"/>
              </w:rPr>
            </w:pPr>
          </w:p>
        </w:tc>
        <w:tc>
          <w:tcPr>
            <w:tcW w:w="1539" w:type="dxa"/>
            <w:vAlign w:val="center"/>
          </w:tcPr>
          <w:p w14:paraId="56786C64">
            <w:pPr>
              <w:jc w:val="center"/>
              <w:rPr>
                <w:rFonts w:ascii="宋体" w:hAnsi="宋体"/>
                <w:szCs w:val="21"/>
              </w:rPr>
            </w:pPr>
          </w:p>
        </w:tc>
        <w:tc>
          <w:tcPr>
            <w:tcW w:w="1539" w:type="dxa"/>
            <w:vAlign w:val="center"/>
          </w:tcPr>
          <w:p w14:paraId="39C97671">
            <w:pPr>
              <w:jc w:val="center"/>
              <w:rPr>
                <w:rFonts w:ascii="宋体" w:hAnsi="宋体"/>
                <w:szCs w:val="21"/>
              </w:rPr>
            </w:pPr>
          </w:p>
        </w:tc>
      </w:tr>
      <w:tr w14:paraId="618E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2F4CB5E">
            <w:pPr>
              <w:rPr>
                <w:rFonts w:ascii="宋体" w:hAnsi="宋体"/>
                <w:szCs w:val="21"/>
              </w:rPr>
            </w:pPr>
            <w:r>
              <w:rPr>
                <w:rFonts w:hint="eastAsia" w:ascii="宋体" w:hAnsi="宋体"/>
                <w:szCs w:val="21"/>
              </w:rPr>
              <w:t>四．固定资产</w:t>
            </w:r>
          </w:p>
        </w:tc>
        <w:tc>
          <w:tcPr>
            <w:tcW w:w="815" w:type="dxa"/>
            <w:vAlign w:val="center"/>
          </w:tcPr>
          <w:p w14:paraId="79DA5744">
            <w:pPr>
              <w:jc w:val="center"/>
              <w:rPr>
                <w:rFonts w:ascii="宋体" w:hAnsi="宋体"/>
                <w:szCs w:val="21"/>
              </w:rPr>
            </w:pPr>
            <w:r>
              <w:rPr>
                <w:rFonts w:hint="eastAsia" w:ascii="宋体" w:hAnsi="宋体"/>
                <w:szCs w:val="21"/>
              </w:rPr>
              <w:t>元</w:t>
            </w:r>
          </w:p>
        </w:tc>
        <w:tc>
          <w:tcPr>
            <w:tcW w:w="1539" w:type="dxa"/>
            <w:vAlign w:val="center"/>
          </w:tcPr>
          <w:p w14:paraId="576FFC33">
            <w:pPr>
              <w:jc w:val="center"/>
              <w:rPr>
                <w:rFonts w:ascii="宋体" w:hAnsi="宋体"/>
                <w:szCs w:val="21"/>
              </w:rPr>
            </w:pPr>
          </w:p>
        </w:tc>
        <w:tc>
          <w:tcPr>
            <w:tcW w:w="1539" w:type="dxa"/>
            <w:vAlign w:val="center"/>
          </w:tcPr>
          <w:p w14:paraId="5DC3747A">
            <w:pPr>
              <w:jc w:val="center"/>
              <w:rPr>
                <w:rFonts w:ascii="宋体" w:hAnsi="宋体"/>
                <w:szCs w:val="21"/>
              </w:rPr>
            </w:pPr>
          </w:p>
        </w:tc>
        <w:tc>
          <w:tcPr>
            <w:tcW w:w="1539" w:type="dxa"/>
            <w:vAlign w:val="center"/>
          </w:tcPr>
          <w:p w14:paraId="565F7C90">
            <w:pPr>
              <w:jc w:val="center"/>
              <w:rPr>
                <w:rFonts w:ascii="宋体" w:hAnsi="宋体"/>
                <w:szCs w:val="21"/>
              </w:rPr>
            </w:pPr>
          </w:p>
        </w:tc>
        <w:tc>
          <w:tcPr>
            <w:tcW w:w="1539" w:type="dxa"/>
            <w:vAlign w:val="center"/>
          </w:tcPr>
          <w:p w14:paraId="7870E484">
            <w:pPr>
              <w:jc w:val="center"/>
              <w:rPr>
                <w:rFonts w:ascii="宋体" w:hAnsi="宋体"/>
                <w:szCs w:val="21"/>
              </w:rPr>
            </w:pPr>
            <w:r>
              <w:rPr>
                <w:rFonts w:hint="eastAsia" w:ascii="宋体" w:hAnsi="宋体"/>
                <w:szCs w:val="21"/>
              </w:rPr>
              <w:t>-</w:t>
            </w:r>
          </w:p>
        </w:tc>
      </w:tr>
      <w:tr w14:paraId="3E0F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5DC9A98">
            <w:pPr>
              <w:rPr>
                <w:rFonts w:ascii="宋体" w:hAnsi="宋体"/>
                <w:szCs w:val="21"/>
              </w:rPr>
            </w:pPr>
            <w:r>
              <w:rPr>
                <w:rFonts w:hint="eastAsia" w:ascii="宋体" w:hAnsi="宋体"/>
                <w:szCs w:val="21"/>
              </w:rPr>
              <w:t>五．流动资产</w:t>
            </w:r>
          </w:p>
        </w:tc>
        <w:tc>
          <w:tcPr>
            <w:tcW w:w="815" w:type="dxa"/>
            <w:vAlign w:val="center"/>
          </w:tcPr>
          <w:p w14:paraId="068B97E5">
            <w:pPr>
              <w:jc w:val="center"/>
              <w:rPr>
                <w:rFonts w:ascii="宋体" w:hAnsi="宋体"/>
                <w:szCs w:val="21"/>
              </w:rPr>
            </w:pPr>
            <w:r>
              <w:rPr>
                <w:rFonts w:hint="eastAsia" w:ascii="宋体" w:hAnsi="宋体"/>
                <w:szCs w:val="21"/>
              </w:rPr>
              <w:t>元</w:t>
            </w:r>
          </w:p>
        </w:tc>
        <w:tc>
          <w:tcPr>
            <w:tcW w:w="1539" w:type="dxa"/>
            <w:vAlign w:val="center"/>
          </w:tcPr>
          <w:p w14:paraId="4F79FFAF">
            <w:pPr>
              <w:jc w:val="center"/>
              <w:rPr>
                <w:rFonts w:ascii="宋体" w:hAnsi="宋体"/>
                <w:szCs w:val="21"/>
              </w:rPr>
            </w:pPr>
          </w:p>
        </w:tc>
        <w:tc>
          <w:tcPr>
            <w:tcW w:w="1539" w:type="dxa"/>
            <w:vAlign w:val="center"/>
          </w:tcPr>
          <w:p w14:paraId="212B4CDD">
            <w:pPr>
              <w:jc w:val="center"/>
              <w:rPr>
                <w:rFonts w:ascii="宋体" w:hAnsi="宋体"/>
                <w:szCs w:val="21"/>
              </w:rPr>
            </w:pPr>
          </w:p>
        </w:tc>
        <w:tc>
          <w:tcPr>
            <w:tcW w:w="1539" w:type="dxa"/>
            <w:vAlign w:val="center"/>
          </w:tcPr>
          <w:p w14:paraId="406B9452">
            <w:pPr>
              <w:jc w:val="center"/>
              <w:rPr>
                <w:rFonts w:ascii="宋体" w:hAnsi="宋体"/>
                <w:szCs w:val="21"/>
              </w:rPr>
            </w:pPr>
          </w:p>
        </w:tc>
        <w:tc>
          <w:tcPr>
            <w:tcW w:w="1539" w:type="dxa"/>
            <w:vAlign w:val="center"/>
          </w:tcPr>
          <w:p w14:paraId="39B31AC1">
            <w:pPr>
              <w:jc w:val="center"/>
              <w:rPr>
                <w:rFonts w:ascii="宋体" w:hAnsi="宋体"/>
                <w:szCs w:val="21"/>
              </w:rPr>
            </w:pPr>
          </w:p>
        </w:tc>
      </w:tr>
      <w:tr w14:paraId="5B32F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E2E7414">
            <w:pPr>
              <w:rPr>
                <w:rFonts w:ascii="宋体" w:hAnsi="宋体"/>
                <w:szCs w:val="21"/>
              </w:rPr>
            </w:pPr>
            <w:r>
              <w:rPr>
                <w:rFonts w:hint="eastAsia" w:ascii="宋体" w:hAnsi="宋体"/>
                <w:szCs w:val="21"/>
              </w:rPr>
              <w:t>六．流动负债</w:t>
            </w:r>
          </w:p>
        </w:tc>
        <w:tc>
          <w:tcPr>
            <w:tcW w:w="815" w:type="dxa"/>
            <w:vAlign w:val="center"/>
          </w:tcPr>
          <w:p w14:paraId="646DA44C">
            <w:pPr>
              <w:jc w:val="center"/>
              <w:rPr>
                <w:rFonts w:ascii="宋体" w:hAnsi="宋体"/>
                <w:szCs w:val="21"/>
              </w:rPr>
            </w:pPr>
            <w:r>
              <w:rPr>
                <w:rFonts w:hint="eastAsia" w:ascii="宋体" w:hAnsi="宋体"/>
                <w:szCs w:val="21"/>
              </w:rPr>
              <w:t>元</w:t>
            </w:r>
          </w:p>
        </w:tc>
        <w:tc>
          <w:tcPr>
            <w:tcW w:w="1539" w:type="dxa"/>
            <w:vAlign w:val="center"/>
          </w:tcPr>
          <w:p w14:paraId="06310D70">
            <w:pPr>
              <w:jc w:val="center"/>
              <w:rPr>
                <w:rFonts w:ascii="宋体" w:hAnsi="宋体"/>
                <w:szCs w:val="21"/>
              </w:rPr>
            </w:pPr>
          </w:p>
        </w:tc>
        <w:tc>
          <w:tcPr>
            <w:tcW w:w="1539" w:type="dxa"/>
            <w:vAlign w:val="center"/>
          </w:tcPr>
          <w:p w14:paraId="6C8D892B">
            <w:pPr>
              <w:jc w:val="center"/>
              <w:rPr>
                <w:rFonts w:ascii="宋体" w:hAnsi="宋体"/>
                <w:szCs w:val="21"/>
              </w:rPr>
            </w:pPr>
          </w:p>
        </w:tc>
        <w:tc>
          <w:tcPr>
            <w:tcW w:w="1539" w:type="dxa"/>
            <w:vAlign w:val="center"/>
          </w:tcPr>
          <w:p w14:paraId="7CB709B1">
            <w:pPr>
              <w:jc w:val="center"/>
              <w:rPr>
                <w:rFonts w:ascii="宋体" w:hAnsi="宋体"/>
                <w:szCs w:val="21"/>
              </w:rPr>
            </w:pPr>
          </w:p>
        </w:tc>
        <w:tc>
          <w:tcPr>
            <w:tcW w:w="1539" w:type="dxa"/>
            <w:vAlign w:val="center"/>
          </w:tcPr>
          <w:p w14:paraId="46851F83">
            <w:pPr>
              <w:jc w:val="center"/>
              <w:rPr>
                <w:rFonts w:ascii="宋体" w:hAnsi="宋体"/>
                <w:szCs w:val="21"/>
              </w:rPr>
            </w:pPr>
          </w:p>
        </w:tc>
      </w:tr>
      <w:tr w14:paraId="4F289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084DBF9">
            <w:pPr>
              <w:rPr>
                <w:rFonts w:ascii="宋体" w:hAnsi="宋体"/>
                <w:szCs w:val="21"/>
              </w:rPr>
            </w:pPr>
            <w:r>
              <w:rPr>
                <w:rFonts w:hint="eastAsia" w:ascii="宋体" w:hAnsi="宋体"/>
                <w:szCs w:val="21"/>
              </w:rPr>
              <w:t>七．负债合计</w:t>
            </w:r>
          </w:p>
        </w:tc>
        <w:tc>
          <w:tcPr>
            <w:tcW w:w="815" w:type="dxa"/>
            <w:vAlign w:val="center"/>
          </w:tcPr>
          <w:p w14:paraId="14AF909B">
            <w:pPr>
              <w:jc w:val="center"/>
              <w:rPr>
                <w:rFonts w:ascii="宋体" w:hAnsi="宋体"/>
                <w:szCs w:val="21"/>
              </w:rPr>
            </w:pPr>
            <w:r>
              <w:rPr>
                <w:rFonts w:hint="eastAsia" w:ascii="宋体" w:hAnsi="宋体"/>
                <w:szCs w:val="21"/>
              </w:rPr>
              <w:t>元</w:t>
            </w:r>
          </w:p>
        </w:tc>
        <w:tc>
          <w:tcPr>
            <w:tcW w:w="1539" w:type="dxa"/>
            <w:vAlign w:val="center"/>
          </w:tcPr>
          <w:p w14:paraId="4012F1E4">
            <w:pPr>
              <w:jc w:val="center"/>
              <w:rPr>
                <w:rFonts w:ascii="宋体" w:hAnsi="宋体"/>
                <w:szCs w:val="21"/>
              </w:rPr>
            </w:pPr>
          </w:p>
        </w:tc>
        <w:tc>
          <w:tcPr>
            <w:tcW w:w="1539" w:type="dxa"/>
            <w:vAlign w:val="center"/>
          </w:tcPr>
          <w:p w14:paraId="7D579A96">
            <w:pPr>
              <w:jc w:val="center"/>
              <w:rPr>
                <w:rFonts w:ascii="宋体" w:hAnsi="宋体"/>
                <w:szCs w:val="21"/>
              </w:rPr>
            </w:pPr>
          </w:p>
        </w:tc>
        <w:tc>
          <w:tcPr>
            <w:tcW w:w="1539" w:type="dxa"/>
            <w:vAlign w:val="center"/>
          </w:tcPr>
          <w:p w14:paraId="4F012262">
            <w:pPr>
              <w:jc w:val="center"/>
              <w:rPr>
                <w:rFonts w:ascii="宋体" w:hAnsi="宋体"/>
                <w:szCs w:val="21"/>
              </w:rPr>
            </w:pPr>
          </w:p>
        </w:tc>
        <w:tc>
          <w:tcPr>
            <w:tcW w:w="1539" w:type="dxa"/>
            <w:vAlign w:val="center"/>
          </w:tcPr>
          <w:p w14:paraId="641A351D">
            <w:pPr>
              <w:jc w:val="center"/>
              <w:rPr>
                <w:rFonts w:ascii="宋体" w:hAnsi="宋体"/>
                <w:szCs w:val="21"/>
              </w:rPr>
            </w:pPr>
          </w:p>
        </w:tc>
      </w:tr>
      <w:tr w14:paraId="6CA77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54314E1">
            <w:pPr>
              <w:rPr>
                <w:rFonts w:ascii="宋体" w:hAnsi="宋体"/>
                <w:szCs w:val="21"/>
              </w:rPr>
            </w:pPr>
            <w:r>
              <w:rPr>
                <w:rFonts w:hint="eastAsia" w:ascii="宋体" w:hAnsi="宋体"/>
                <w:szCs w:val="21"/>
              </w:rPr>
              <w:t>八．营业收入</w:t>
            </w:r>
          </w:p>
        </w:tc>
        <w:tc>
          <w:tcPr>
            <w:tcW w:w="815" w:type="dxa"/>
            <w:vAlign w:val="center"/>
          </w:tcPr>
          <w:p w14:paraId="560841B0">
            <w:pPr>
              <w:jc w:val="center"/>
              <w:rPr>
                <w:rFonts w:ascii="宋体" w:hAnsi="宋体"/>
                <w:szCs w:val="21"/>
              </w:rPr>
            </w:pPr>
            <w:r>
              <w:rPr>
                <w:rFonts w:hint="eastAsia" w:ascii="宋体" w:hAnsi="宋体"/>
                <w:szCs w:val="21"/>
              </w:rPr>
              <w:t>元</w:t>
            </w:r>
          </w:p>
        </w:tc>
        <w:tc>
          <w:tcPr>
            <w:tcW w:w="1539" w:type="dxa"/>
            <w:vAlign w:val="center"/>
          </w:tcPr>
          <w:p w14:paraId="652BDB6F">
            <w:pPr>
              <w:jc w:val="center"/>
              <w:rPr>
                <w:rFonts w:ascii="宋体" w:hAnsi="宋体"/>
                <w:szCs w:val="21"/>
              </w:rPr>
            </w:pPr>
          </w:p>
        </w:tc>
        <w:tc>
          <w:tcPr>
            <w:tcW w:w="1539" w:type="dxa"/>
            <w:vAlign w:val="center"/>
          </w:tcPr>
          <w:p w14:paraId="33FEC984">
            <w:pPr>
              <w:jc w:val="center"/>
              <w:rPr>
                <w:rFonts w:ascii="宋体" w:hAnsi="宋体"/>
                <w:szCs w:val="21"/>
              </w:rPr>
            </w:pPr>
          </w:p>
        </w:tc>
        <w:tc>
          <w:tcPr>
            <w:tcW w:w="1539" w:type="dxa"/>
            <w:vAlign w:val="center"/>
          </w:tcPr>
          <w:p w14:paraId="677BD5DD">
            <w:pPr>
              <w:jc w:val="center"/>
              <w:rPr>
                <w:rFonts w:ascii="宋体" w:hAnsi="宋体"/>
                <w:szCs w:val="21"/>
              </w:rPr>
            </w:pPr>
          </w:p>
        </w:tc>
        <w:tc>
          <w:tcPr>
            <w:tcW w:w="1539" w:type="dxa"/>
            <w:vAlign w:val="center"/>
          </w:tcPr>
          <w:p w14:paraId="01D398E1">
            <w:pPr>
              <w:jc w:val="center"/>
              <w:rPr>
                <w:rFonts w:ascii="宋体" w:hAnsi="宋体"/>
                <w:szCs w:val="21"/>
              </w:rPr>
            </w:pPr>
          </w:p>
        </w:tc>
      </w:tr>
      <w:tr w14:paraId="6462A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A9C6874">
            <w:pPr>
              <w:rPr>
                <w:rFonts w:ascii="宋体" w:hAnsi="宋体"/>
                <w:szCs w:val="21"/>
              </w:rPr>
            </w:pPr>
            <w:r>
              <w:rPr>
                <w:rFonts w:hint="eastAsia" w:ascii="宋体" w:hAnsi="宋体"/>
                <w:szCs w:val="21"/>
              </w:rPr>
              <w:t>九．净利润</w:t>
            </w:r>
          </w:p>
        </w:tc>
        <w:tc>
          <w:tcPr>
            <w:tcW w:w="815" w:type="dxa"/>
            <w:vAlign w:val="center"/>
          </w:tcPr>
          <w:p w14:paraId="585CCDC3">
            <w:pPr>
              <w:jc w:val="center"/>
              <w:rPr>
                <w:rFonts w:ascii="宋体" w:hAnsi="宋体"/>
                <w:szCs w:val="21"/>
              </w:rPr>
            </w:pPr>
            <w:r>
              <w:rPr>
                <w:rFonts w:hint="eastAsia" w:ascii="宋体" w:hAnsi="宋体"/>
                <w:szCs w:val="21"/>
              </w:rPr>
              <w:t>元</w:t>
            </w:r>
          </w:p>
        </w:tc>
        <w:tc>
          <w:tcPr>
            <w:tcW w:w="1539" w:type="dxa"/>
            <w:vAlign w:val="center"/>
          </w:tcPr>
          <w:p w14:paraId="04BBDBFE">
            <w:pPr>
              <w:jc w:val="center"/>
              <w:rPr>
                <w:rFonts w:ascii="宋体" w:hAnsi="宋体"/>
                <w:szCs w:val="21"/>
              </w:rPr>
            </w:pPr>
          </w:p>
        </w:tc>
        <w:tc>
          <w:tcPr>
            <w:tcW w:w="1539" w:type="dxa"/>
            <w:vAlign w:val="center"/>
          </w:tcPr>
          <w:p w14:paraId="4299B12F">
            <w:pPr>
              <w:jc w:val="center"/>
              <w:rPr>
                <w:rFonts w:ascii="宋体" w:hAnsi="宋体"/>
                <w:szCs w:val="21"/>
              </w:rPr>
            </w:pPr>
          </w:p>
        </w:tc>
        <w:tc>
          <w:tcPr>
            <w:tcW w:w="1539" w:type="dxa"/>
            <w:vAlign w:val="center"/>
          </w:tcPr>
          <w:p w14:paraId="05234802">
            <w:pPr>
              <w:jc w:val="center"/>
              <w:rPr>
                <w:rFonts w:ascii="宋体" w:hAnsi="宋体"/>
                <w:szCs w:val="21"/>
              </w:rPr>
            </w:pPr>
          </w:p>
        </w:tc>
        <w:tc>
          <w:tcPr>
            <w:tcW w:w="1539" w:type="dxa"/>
            <w:vAlign w:val="center"/>
          </w:tcPr>
          <w:p w14:paraId="0CB366E6">
            <w:pPr>
              <w:jc w:val="center"/>
              <w:rPr>
                <w:rFonts w:ascii="宋体" w:hAnsi="宋体"/>
                <w:szCs w:val="21"/>
              </w:rPr>
            </w:pPr>
            <w:r>
              <w:rPr>
                <w:rFonts w:hint="eastAsia" w:ascii="宋体" w:hAnsi="宋体"/>
                <w:szCs w:val="21"/>
              </w:rPr>
              <w:t>-</w:t>
            </w:r>
          </w:p>
        </w:tc>
      </w:tr>
      <w:tr w14:paraId="73DED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3DB2B5">
            <w:pPr>
              <w:rPr>
                <w:rFonts w:ascii="宋体" w:hAnsi="宋体"/>
                <w:szCs w:val="21"/>
              </w:rPr>
            </w:pPr>
            <w:r>
              <w:rPr>
                <w:rFonts w:hint="eastAsia" w:ascii="宋体" w:hAnsi="宋体"/>
                <w:szCs w:val="21"/>
              </w:rPr>
              <w:t>十．现金流量净额</w:t>
            </w:r>
          </w:p>
        </w:tc>
        <w:tc>
          <w:tcPr>
            <w:tcW w:w="815" w:type="dxa"/>
            <w:vAlign w:val="center"/>
          </w:tcPr>
          <w:p w14:paraId="6BAA109A">
            <w:pPr>
              <w:jc w:val="center"/>
              <w:rPr>
                <w:rFonts w:ascii="宋体" w:hAnsi="宋体"/>
                <w:szCs w:val="21"/>
              </w:rPr>
            </w:pPr>
            <w:r>
              <w:rPr>
                <w:rFonts w:hint="eastAsia" w:ascii="宋体" w:hAnsi="宋体"/>
                <w:szCs w:val="21"/>
              </w:rPr>
              <w:t>元</w:t>
            </w:r>
          </w:p>
        </w:tc>
        <w:tc>
          <w:tcPr>
            <w:tcW w:w="1539" w:type="dxa"/>
            <w:vAlign w:val="center"/>
          </w:tcPr>
          <w:p w14:paraId="0AECFD8A">
            <w:pPr>
              <w:jc w:val="center"/>
              <w:rPr>
                <w:rFonts w:ascii="宋体" w:hAnsi="宋体"/>
                <w:szCs w:val="21"/>
              </w:rPr>
            </w:pPr>
          </w:p>
        </w:tc>
        <w:tc>
          <w:tcPr>
            <w:tcW w:w="1539" w:type="dxa"/>
            <w:vAlign w:val="center"/>
          </w:tcPr>
          <w:p w14:paraId="6158BEBD">
            <w:pPr>
              <w:jc w:val="center"/>
              <w:rPr>
                <w:rFonts w:ascii="宋体" w:hAnsi="宋体"/>
                <w:szCs w:val="21"/>
              </w:rPr>
            </w:pPr>
          </w:p>
        </w:tc>
        <w:tc>
          <w:tcPr>
            <w:tcW w:w="1539" w:type="dxa"/>
            <w:vAlign w:val="center"/>
          </w:tcPr>
          <w:p w14:paraId="71FE40F1">
            <w:pPr>
              <w:jc w:val="center"/>
              <w:rPr>
                <w:rFonts w:ascii="宋体" w:hAnsi="宋体"/>
                <w:szCs w:val="21"/>
              </w:rPr>
            </w:pPr>
          </w:p>
        </w:tc>
        <w:tc>
          <w:tcPr>
            <w:tcW w:w="1539" w:type="dxa"/>
            <w:vAlign w:val="center"/>
          </w:tcPr>
          <w:p w14:paraId="070D53BE">
            <w:pPr>
              <w:jc w:val="center"/>
              <w:rPr>
                <w:rFonts w:ascii="宋体" w:hAnsi="宋体"/>
                <w:szCs w:val="21"/>
              </w:rPr>
            </w:pPr>
            <w:r>
              <w:rPr>
                <w:rFonts w:hint="eastAsia" w:ascii="宋体" w:hAnsi="宋体"/>
                <w:szCs w:val="21"/>
              </w:rPr>
              <w:t>-</w:t>
            </w:r>
          </w:p>
        </w:tc>
      </w:tr>
      <w:tr w14:paraId="6371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BAFADDA">
            <w:pPr>
              <w:rPr>
                <w:rFonts w:ascii="宋体" w:hAnsi="宋体"/>
                <w:szCs w:val="21"/>
              </w:rPr>
            </w:pPr>
            <w:r>
              <w:rPr>
                <w:rFonts w:hint="eastAsia" w:ascii="宋体" w:hAnsi="宋体"/>
                <w:szCs w:val="21"/>
              </w:rPr>
              <w:t>十一．主要财务指标</w:t>
            </w:r>
          </w:p>
        </w:tc>
        <w:tc>
          <w:tcPr>
            <w:tcW w:w="815" w:type="dxa"/>
            <w:vAlign w:val="center"/>
          </w:tcPr>
          <w:p w14:paraId="202224DC">
            <w:pPr>
              <w:jc w:val="center"/>
              <w:rPr>
                <w:rFonts w:ascii="宋体" w:hAnsi="宋体"/>
                <w:szCs w:val="21"/>
              </w:rPr>
            </w:pPr>
          </w:p>
        </w:tc>
        <w:tc>
          <w:tcPr>
            <w:tcW w:w="1539" w:type="dxa"/>
            <w:vAlign w:val="center"/>
          </w:tcPr>
          <w:p w14:paraId="63DA652B">
            <w:pPr>
              <w:jc w:val="center"/>
              <w:rPr>
                <w:rFonts w:ascii="宋体" w:hAnsi="宋体"/>
                <w:szCs w:val="21"/>
              </w:rPr>
            </w:pPr>
          </w:p>
        </w:tc>
        <w:tc>
          <w:tcPr>
            <w:tcW w:w="1539" w:type="dxa"/>
            <w:vAlign w:val="center"/>
          </w:tcPr>
          <w:p w14:paraId="52938AF4">
            <w:pPr>
              <w:jc w:val="center"/>
              <w:rPr>
                <w:rFonts w:ascii="宋体" w:hAnsi="宋体"/>
                <w:szCs w:val="21"/>
              </w:rPr>
            </w:pPr>
          </w:p>
        </w:tc>
        <w:tc>
          <w:tcPr>
            <w:tcW w:w="1539" w:type="dxa"/>
            <w:vAlign w:val="center"/>
          </w:tcPr>
          <w:p w14:paraId="5AD84626">
            <w:pPr>
              <w:jc w:val="center"/>
              <w:rPr>
                <w:rFonts w:ascii="宋体" w:hAnsi="宋体"/>
                <w:szCs w:val="21"/>
              </w:rPr>
            </w:pPr>
          </w:p>
        </w:tc>
        <w:tc>
          <w:tcPr>
            <w:tcW w:w="1539" w:type="dxa"/>
            <w:vAlign w:val="center"/>
          </w:tcPr>
          <w:p w14:paraId="3A5BB991">
            <w:pPr>
              <w:jc w:val="center"/>
              <w:rPr>
                <w:rFonts w:ascii="宋体" w:hAnsi="宋体"/>
                <w:szCs w:val="21"/>
              </w:rPr>
            </w:pPr>
            <w:r>
              <w:rPr>
                <w:rFonts w:hint="eastAsia" w:ascii="宋体" w:hAnsi="宋体"/>
                <w:szCs w:val="21"/>
              </w:rPr>
              <w:t>-</w:t>
            </w:r>
          </w:p>
        </w:tc>
      </w:tr>
      <w:tr w14:paraId="2A4F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D7B7B4">
            <w:pPr>
              <w:rPr>
                <w:rFonts w:ascii="宋体" w:hAnsi="宋体"/>
                <w:szCs w:val="21"/>
              </w:rPr>
            </w:pPr>
            <w:r>
              <w:rPr>
                <w:rFonts w:hint="eastAsia" w:ascii="宋体" w:hAnsi="宋体"/>
                <w:szCs w:val="21"/>
              </w:rPr>
              <w:t>1．净资产收益率</w:t>
            </w:r>
          </w:p>
        </w:tc>
        <w:tc>
          <w:tcPr>
            <w:tcW w:w="815" w:type="dxa"/>
          </w:tcPr>
          <w:p w14:paraId="433EC4F1">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0A9D1D84">
            <w:pPr>
              <w:jc w:val="center"/>
              <w:rPr>
                <w:rFonts w:ascii="宋体" w:hAnsi="宋体"/>
                <w:szCs w:val="21"/>
              </w:rPr>
            </w:pPr>
          </w:p>
        </w:tc>
        <w:tc>
          <w:tcPr>
            <w:tcW w:w="1539" w:type="dxa"/>
            <w:vAlign w:val="center"/>
          </w:tcPr>
          <w:p w14:paraId="7FC71E54">
            <w:pPr>
              <w:jc w:val="center"/>
              <w:rPr>
                <w:rFonts w:ascii="宋体" w:hAnsi="宋体"/>
                <w:szCs w:val="21"/>
              </w:rPr>
            </w:pPr>
          </w:p>
        </w:tc>
        <w:tc>
          <w:tcPr>
            <w:tcW w:w="1539" w:type="dxa"/>
            <w:vAlign w:val="center"/>
          </w:tcPr>
          <w:p w14:paraId="1333CEB7">
            <w:pPr>
              <w:jc w:val="center"/>
              <w:rPr>
                <w:rFonts w:ascii="宋体" w:hAnsi="宋体"/>
                <w:szCs w:val="21"/>
              </w:rPr>
            </w:pPr>
          </w:p>
        </w:tc>
        <w:tc>
          <w:tcPr>
            <w:tcW w:w="1539" w:type="dxa"/>
            <w:vAlign w:val="center"/>
          </w:tcPr>
          <w:p w14:paraId="2F52B47E">
            <w:pPr>
              <w:jc w:val="center"/>
              <w:rPr>
                <w:rFonts w:ascii="宋体" w:hAnsi="宋体"/>
                <w:szCs w:val="21"/>
              </w:rPr>
            </w:pPr>
          </w:p>
        </w:tc>
      </w:tr>
      <w:tr w14:paraId="75D8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D9A26A0">
            <w:pPr>
              <w:rPr>
                <w:rFonts w:ascii="宋体" w:hAnsi="宋体"/>
                <w:szCs w:val="21"/>
              </w:rPr>
            </w:pPr>
            <w:r>
              <w:rPr>
                <w:rFonts w:hint="eastAsia" w:ascii="宋体" w:hAnsi="宋体"/>
                <w:szCs w:val="21"/>
              </w:rPr>
              <w:t>2．总资产报酬率</w:t>
            </w:r>
          </w:p>
        </w:tc>
        <w:tc>
          <w:tcPr>
            <w:tcW w:w="815" w:type="dxa"/>
          </w:tcPr>
          <w:p w14:paraId="31A7A61C">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1D66DA4F">
            <w:pPr>
              <w:jc w:val="center"/>
              <w:rPr>
                <w:rFonts w:ascii="宋体" w:hAnsi="宋体"/>
                <w:szCs w:val="21"/>
              </w:rPr>
            </w:pPr>
          </w:p>
        </w:tc>
        <w:tc>
          <w:tcPr>
            <w:tcW w:w="1539" w:type="dxa"/>
            <w:vAlign w:val="center"/>
          </w:tcPr>
          <w:p w14:paraId="72829EAE">
            <w:pPr>
              <w:jc w:val="center"/>
              <w:rPr>
                <w:rFonts w:ascii="宋体" w:hAnsi="宋体"/>
                <w:szCs w:val="21"/>
              </w:rPr>
            </w:pPr>
          </w:p>
        </w:tc>
        <w:tc>
          <w:tcPr>
            <w:tcW w:w="1539" w:type="dxa"/>
            <w:vAlign w:val="center"/>
          </w:tcPr>
          <w:p w14:paraId="35AD95F2">
            <w:pPr>
              <w:jc w:val="center"/>
              <w:rPr>
                <w:rFonts w:ascii="宋体" w:hAnsi="宋体"/>
                <w:szCs w:val="21"/>
              </w:rPr>
            </w:pPr>
          </w:p>
        </w:tc>
        <w:tc>
          <w:tcPr>
            <w:tcW w:w="1539" w:type="dxa"/>
            <w:vAlign w:val="center"/>
          </w:tcPr>
          <w:p w14:paraId="37B6DB30">
            <w:pPr>
              <w:jc w:val="center"/>
              <w:rPr>
                <w:rFonts w:ascii="宋体" w:hAnsi="宋体"/>
                <w:szCs w:val="21"/>
              </w:rPr>
            </w:pPr>
          </w:p>
        </w:tc>
      </w:tr>
      <w:tr w14:paraId="01FBD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FF6C7E0">
            <w:pPr>
              <w:rPr>
                <w:rFonts w:ascii="宋体" w:hAnsi="宋体"/>
                <w:szCs w:val="21"/>
              </w:rPr>
            </w:pPr>
            <w:r>
              <w:rPr>
                <w:rFonts w:hint="eastAsia" w:ascii="宋体" w:hAnsi="宋体"/>
                <w:szCs w:val="21"/>
              </w:rPr>
              <w:t>3．主营业务利润率</w:t>
            </w:r>
          </w:p>
        </w:tc>
        <w:tc>
          <w:tcPr>
            <w:tcW w:w="815" w:type="dxa"/>
          </w:tcPr>
          <w:p w14:paraId="17E1038D">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6BE8C778">
            <w:pPr>
              <w:jc w:val="center"/>
              <w:rPr>
                <w:rFonts w:ascii="宋体" w:hAnsi="宋体"/>
                <w:szCs w:val="21"/>
              </w:rPr>
            </w:pPr>
          </w:p>
        </w:tc>
        <w:tc>
          <w:tcPr>
            <w:tcW w:w="1539" w:type="dxa"/>
            <w:vAlign w:val="center"/>
          </w:tcPr>
          <w:p w14:paraId="1C52A28F">
            <w:pPr>
              <w:jc w:val="center"/>
              <w:rPr>
                <w:rFonts w:ascii="宋体" w:hAnsi="宋体"/>
                <w:szCs w:val="21"/>
              </w:rPr>
            </w:pPr>
          </w:p>
        </w:tc>
        <w:tc>
          <w:tcPr>
            <w:tcW w:w="1539" w:type="dxa"/>
            <w:vAlign w:val="center"/>
          </w:tcPr>
          <w:p w14:paraId="60C90CCE">
            <w:pPr>
              <w:jc w:val="center"/>
              <w:rPr>
                <w:rFonts w:ascii="宋体" w:hAnsi="宋体"/>
                <w:szCs w:val="21"/>
              </w:rPr>
            </w:pPr>
          </w:p>
        </w:tc>
        <w:tc>
          <w:tcPr>
            <w:tcW w:w="1539" w:type="dxa"/>
            <w:vAlign w:val="center"/>
          </w:tcPr>
          <w:p w14:paraId="73C8BEBE">
            <w:pPr>
              <w:jc w:val="center"/>
              <w:rPr>
                <w:rFonts w:ascii="宋体" w:hAnsi="宋体"/>
                <w:szCs w:val="21"/>
              </w:rPr>
            </w:pPr>
            <w:r>
              <w:rPr>
                <w:rFonts w:hint="eastAsia" w:ascii="宋体" w:hAnsi="宋体"/>
                <w:szCs w:val="21"/>
              </w:rPr>
              <w:t>-</w:t>
            </w:r>
          </w:p>
        </w:tc>
      </w:tr>
      <w:tr w14:paraId="43D7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C1B48CD">
            <w:pPr>
              <w:rPr>
                <w:rFonts w:ascii="宋体" w:hAnsi="宋体"/>
                <w:szCs w:val="21"/>
              </w:rPr>
            </w:pPr>
            <w:r>
              <w:rPr>
                <w:rFonts w:hint="eastAsia" w:ascii="宋体" w:hAnsi="宋体"/>
                <w:szCs w:val="21"/>
              </w:rPr>
              <w:t>4．资产负债率</w:t>
            </w:r>
          </w:p>
        </w:tc>
        <w:tc>
          <w:tcPr>
            <w:tcW w:w="815" w:type="dxa"/>
          </w:tcPr>
          <w:p w14:paraId="641D5AF8">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533A27BE">
            <w:pPr>
              <w:jc w:val="center"/>
              <w:rPr>
                <w:rFonts w:ascii="宋体" w:hAnsi="宋体"/>
                <w:szCs w:val="21"/>
              </w:rPr>
            </w:pPr>
          </w:p>
        </w:tc>
        <w:tc>
          <w:tcPr>
            <w:tcW w:w="1539" w:type="dxa"/>
            <w:vAlign w:val="center"/>
          </w:tcPr>
          <w:p w14:paraId="2FEEAF49">
            <w:pPr>
              <w:jc w:val="center"/>
              <w:rPr>
                <w:rFonts w:ascii="宋体" w:hAnsi="宋体"/>
                <w:szCs w:val="21"/>
              </w:rPr>
            </w:pPr>
          </w:p>
        </w:tc>
        <w:tc>
          <w:tcPr>
            <w:tcW w:w="1539" w:type="dxa"/>
            <w:vAlign w:val="center"/>
          </w:tcPr>
          <w:p w14:paraId="542A45E8">
            <w:pPr>
              <w:jc w:val="center"/>
              <w:rPr>
                <w:rFonts w:ascii="宋体" w:hAnsi="宋体"/>
                <w:szCs w:val="21"/>
              </w:rPr>
            </w:pPr>
          </w:p>
        </w:tc>
        <w:tc>
          <w:tcPr>
            <w:tcW w:w="1539" w:type="dxa"/>
            <w:vAlign w:val="center"/>
          </w:tcPr>
          <w:p w14:paraId="6EB26639">
            <w:pPr>
              <w:jc w:val="center"/>
              <w:rPr>
                <w:rFonts w:ascii="宋体" w:hAnsi="宋体"/>
                <w:szCs w:val="21"/>
              </w:rPr>
            </w:pPr>
          </w:p>
        </w:tc>
      </w:tr>
      <w:tr w14:paraId="11E5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214F0B">
            <w:pPr>
              <w:rPr>
                <w:rFonts w:ascii="宋体" w:hAnsi="宋体"/>
                <w:szCs w:val="21"/>
              </w:rPr>
            </w:pPr>
            <w:r>
              <w:rPr>
                <w:rFonts w:hint="eastAsia" w:ascii="宋体" w:hAnsi="宋体"/>
                <w:szCs w:val="21"/>
              </w:rPr>
              <w:t>5．流动比率</w:t>
            </w:r>
          </w:p>
        </w:tc>
        <w:tc>
          <w:tcPr>
            <w:tcW w:w="815" w:type="dxa"/>
          </w:tcPr>
          <w:p w14:paraId="7B390A00">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376DA37B">
            <w:pPr>
              <w:jc w:val="center"/>
              <w:rPr>
                <w:rFonts w:ascii="宋体" w:hAnsi="宋体"/>
                <w:szCs w:val="21"/>
              </w:rPr>
            </w:pPr>
          </w:p>
        </w:tc>
        <w:tc>
          <w:tcPr>
            <w:tcW w:w="1539" w:type="dxa"/>
            <w:vAlign w:val="center"/>
          </w:tcPr>
          <w:p w14:paraId="113BBE22">
            <w:pPr>
              <w:jc w:val="center"/>
              <w:rPr>
                <w:rFonts w:ascii="宋体" w:hAnsi="宋体"/>
                <w:szCs w:val="21"/>
              </w:rPr>
            </w:pPr>
          </w:p>
        </w:tc>
        <w:tc>
          <w:tcPr>
            <w:tcW w:w="1539" w:type="dxa"/>
            <w:vAlign w:val="center"/>
          </w:tcPr>
          <w:p w14:paraId="3BEDBC4E">
            <w:pPr>
              <w:jc w:val="center"/>
              <w:rPr>
                <w:rFonts w:ascii="宋体" w:hAnsi="宋体"/>
                <w:szCs w:val="21"/>
              </w:rPr>
            </w:pPr>
          </w:p>
        </w:tc>
        <w:tc>
          <w:tcPr>
            <w:tcW w:w="1539" w:type="dxa"/>
            <w:vAlign w:val="center"/>
          </w:tcPr>
          <w:p w14:paraId="2F6BA67E">
            <w:pPr>
              <w:jc w:val="center"/>
              <w:rPr>
                <w:rFonts w:ascii="宋体" w:hAnsi="宋体"/>
                <w:szCs w:val="21"/>
              </w:rPr>
            </w:pPr>
          </w:p>
        </w:tc>
      </w:tr>
      <w:tr w14:paraId="5A85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9BBCBC2">
            <w:pPr>
              <w:rPr>
                <w:rFonts w:ascii="宋体" w:hAnsi="宋体"/>
                <w:szCs w:val="21"/>
              </w:rPr>
            </w:pPr>
            <w:r>
              <w:rPr>
                <w:rFonts w:hint="eastAsia" w:ascii="宋体" w:hAnsi="宋体"/>
                <w:szCs w:val="21"/>
              </w:rPr>
              <w:t>6．速动比率</w:t>
            </w:r>
          </w:p>
        </w:tc>
        <w:tc>
          <w:tcPr>
            <w:tcW w:w="815" w:type="dxa"/>
          </w:tcPr>
          <w:p w14:paraId="678DB4F3">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3CB0AE70">
            <w:pPr>
              <w:jc w:val="center"/>
              <w:rPr>
                <w:rFonts w:ascii="宋体" w:hAnsi="宋体"/>
                <w:szCs w:val="21"/>
              </w:rPr>
            </w:pPr>
          </w:p>
        </w:tc>
        <w:tc>
          <w:tcPr>
            <w:tcW w:w="1539" w:type="dxa"/>
            <w:vAlign w:val="center"/>
          </w:tcPr>
          <w:p w14:paraId="6238829F">
            <w:pPr>
              <w:jc w:val="center"/>
              <w:rPr>
                <w:rFonts w:ascii="宋体" w:hAnsi="宋体"/>
                <w:szCs w:val="21"/>
              </w:rPr>
            </w:pPr>
          </w:p>
        </w:tc>
        <w:tc>
          <w:tcPr>
            <w:tcW w:w="1539" w:type="dxa"/>
            <w:vAlign w:val="center"/>
          </w:tcPr>
          <w:p w14:paraId="6EE7DD8C">
            <w:pPr>
              <w:jc w:val="center"/>
              <w:rPr>
                <w:rFonts w:ascii="宋体" w:hAnsi="宋体"/>
                <w:szCs w:val="21"/>
              </w:rPr>
            </w:pPr>
          </w:p>
        </w:tc>
        <w:tc>
          <w:tcPr>
            <w:tcW w:w="1539" w:type="dxa"/>
            <w:vAlign w:val="center"/>
          </w:tcPr>
          <w:p w14:paraId="7289D9A3">
            <w:pPr>
              <w:jc w:val="center"/>
              <w:rPr>
                <w:rFonts w:ascii="宋体" w:hAnsi="宋体"/>
                <w:szCs w:val="21"/>
              </w:rPr>
            </w:pPr>
          </w:p>
        </w:tc>
      </w:tr>
    </w:tbl>
    <w:p w14:paraId="70E47B47">
      <w:pPr>
        <w:autoSpaceDE w:val="0"/>
        <w:autoSpaceDN w:val="0"/>
        <w:adjustRightInd w:val="0"/>
        <w:snapToGrid w:val="0"/>
        <w:spacing w:line="325" w:lineRule="exact"/>
        <w:ind w:left="945" w:hanging="945" w:hangingChars="450"/>
        <w:rPr>
          <w:rFonts w:ascii="宋体" w:cs="宋体"/>
          <w:kern w:val="0"/>
          <w:szCs w:val="21"/>
        </w:rPr>
      </w:pPr>
      <w:r>
        <w:rPr>
          <w:rFonts w:hint="eastAsia" w:ascii="黑体" w:hAnsi="宋体" w:eastAsia="黑体"/>
          <w:szCs w:val="21"/>
        </w:rPr>
        <w:t>备注：</w:t>
      </w:r>
      <w:r>
        <w:rPr>
          <w:rFonts w:ascii="宋体" w:cs="宋体"/>
          <w:kern w:val="0"/>
          <w:szCs w:val="21"/>
        </w:rPr>
        <w:t>1</w:t>
      </w:r>
      <w:r>
        <w:rPr>
          <w:rFonts w:hint="eastAsia" w:ascii="宋体" w:hAnsi="宋体"/>
          <w:szCs w:val="21"/>
        </w:rPr>
        <w:t>.</w:t>
      </w:r>
      <w:r>
        <w:rPr>
          <w:rFonts w:hint="eastAsia" w:ascii="宋体" w:cs="宋体"/>
          <w:kern w:val="0"/>
          <w:szCs w:val="21"/>
        </w:rPr>
        <w:t>本表后应附近年经会计师事务所或审计机构审计的财务会计报表。</w:t>
      </w:r>
    </w:p>
    <w:p w14:paraId="0EABB727">
      <w:pPr>
        <w:autoSpaceDE w:val="0"/>
        <w:autoSpaceDN w:val="0"/>
        <w:adjustRightInd w:val="0"/>
        <w:snapToGrid w:val="0"/>
        <w:spacing w:line="325" w:lineRule="exact"/>
        <w:ind w:left="945" w:hanging="945" w:hangingChars="450"/>
        <w:rPr>
          <w:rFonts w:ascii="宋体" w:cs="宋体"/>
          <w:kern w:val="0"/>
          <w:szCs w:val="21"/>
        </w:r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2</w:t>
      </w:r>
      <w:r>
        <w:rPr>
          <w:rFonts w:hint="eastAsia" w:ascii="宋体" w:hAnsi="宋体"/>
          <w:szCs w:val="21"/>
        </w:rPr>
        <w:t>.</w:t>
      </w:r>
      <w:r>
        <w:rPr>
          <w:rFonts w:hint="eastAsia" w:ascii="宋体" w:cs="宋体"/>
          <w:kern w:val="0"/>
          <w:szCs w:val="21"/>
        </w:rPr>
        <w:t>本表所列数据必须与本表各附件中的数据相一致。</w:t>
      </w:r>
      <w:r>
        <w:rPr>
          <w:rFonts w:hint="eastAsia" w:ascii="宋体" w:hAnsi="宋体"/>
          <w:szCs w:val="21"/>
        </w:rPr>
        <w:t>如果有不一致之处，以不利于投标人的数据为准。</w:t>
      </w:r>
    </w:p>
    <w:p w14:paraId="5845B22E">
      <w:pPr>
        <w:sectPr>
          <w:footerReference r:id="rId42"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3</w:t>
      </w:r>
      <w:r>
        <w:rPr>
          <w:rFonts w:hint="eastAsia" w:ascii="宋体" w:hAnsi="宋体"/>
          <w:szCs w:val="21"/>
        </w:rPr>
        <w:t>.</w:t>
      </w:r>
      <w:r>
        <w:rPr>
          <w:rFonts w:hint="eastAsia" w:ascii="宋体" w:cs="宋体"/>
          <w:kern w:val="0"/>
          <w:szCs w:val="21"/>
        </w:rPr>
        <w:t>联合体</w:t>
      </w:r>
      <w:r>
        <w:rPr>
          <w:rFonts w:hint="eastAsia"/>
          <w:szCs w:val="21"/>
        </w:rPr>
        <w:t>投标</w:t>
      </w:r>
      <w:r>
        <w:rPr>
          <w:rFonts w:hint="eastAsia" w:ascii="宋体" w:cs="宋体"/>
          <w:kern w:val="0"/>
          <w:szCs w:val="21"/>
        </w:rPr>
        <w:t>的，联合体各成员应分别填写。</w:t>
      </w:r>
    </w:p>
    <w:p w14:paraId="7ECCC207">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rPr>
      </w:pPr>
      <w:bookmarkStart w:id="2304" w:name="_Toc256000428"/>
      <w:bookmarkStart w:id="2305" w:name="_Toc122603092"/>
      <w:r>
        <w:rPr>
          <w:rFonts w:hint="eastAsia"/>
          <w:szCs w:val="24"/>
          <w:lang w:eastAsia="zh-CN"/>
        </w:rPr>
        <w:t>（</w:t>
      </w:r>
      <w:r>
        <w:rPr>
          <w:rFonts w:hint="default"/>
          <w:szCs w:val="24"/>
        </w:rPr>
        <w:t>三</w:t>
      </w:r>
      <w:r>
        <w:rPr>
          <w:rFonts w:hint="eastAsia"/>
          <w:szCs w:val="24"/>
          <w:lang w:eastAsia="zh-CN"/>
        </w:rPr>
        <w:t>）</w:t>
      </w:r>
      <w:r>
        <w:rPr>
          <w:rFonts w:hint="eastAsia"/>
          <w:szCs w:val="24"/>
        </w:rPr>
        <w:t>近年完成的类似项目情况</w:t>
      </w:r>
      <w:bookmarkEnd w:id="2304"/>
      <w:bookmarkEnd w:id="2305"/>
    </w:p>
    <w:p w14:paraId="6DDAD11A">
      <w:pPr>
        <w:numPr>
          <w:ilvl w:val="0"/>
          <w:numId w:val="0"/>
        </w:numPr>
        <w:bidi w:val="0"/>
        <w:spacing w:before="156" w:beforeLines="50" w:after="156" w:afterLines="50"/>
        <w:ind w:left="0" w:leftChars="0"/>
        <w:jc w:val="center"/>
        <w:rPr>
          <w:rFonts w:hint="eastAsia" w:ascii="黑体" w:hAnsi="黑体" w:eastAsia="黑体" w:cs="黑体"/>
          <w:sz w:val="24"/>
          <w:szCs w:val="24"/>
        </w:rPr>
      </w:pPr>
      <w:bookmarkStart w:id="2306" w:name="_Toc122603093"/>
      <w:r>
        <w:rPr>
          <w:rFonts w:hint="eastAsia" w:ascii="黑体" w:hAnsi="黑体" w:eastAsia="黑体" w:cs="黑体"/>
          <w:sz w:val="24"/>
          <w:szCs w:val="24"/>
        </w:rPr>
        <w:t>近年完成的类似项目汇总表</w:t>
      </w:r>
      <w:bookmarkEnd w:id="2306"/>
    </w:p>
    <w:tbl>
      <w:tblPr>
        <w:tblStyle w:val="1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FD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1670231D">
            <w:pPr>
              <w:topLinePunct/>
              <w:spacing w:line="400" w:lineRule="atLeast"/>
              <w:jc w:val="center"/>
              <w:rPr>
                <w:rFonts w:hint="eastAsia"/>
                <w:szCs w:val="21"/>
              </w:rPr>
            </w:pPr>
            <w:r>
              <w:rPr>
                <w:rFonts w:hint="eastAsia"/>
                <w:szCs w:val="21"/>
              </w:rPr>
              <w:t>序号</w:t>
            </w:r>
          </w:p>
        </w:tc>
        <w:tc>
          <w:tcPr>
            <w:tcW w:w="1846" w:type="dxa"/>
            <w:noWrap w:val="0"/>
            <w:vAlign w:val="center"/>
          </w:tcPr>
          <w:p w14:paraId="151A449B">
            <w:pPr>
              <w:topLinePunct/>
              <w:spacing w:line="400" w:lineRule="atLeast"/>
              <w:jc w:val="center"/>
              <w:rPr>
                <w:rFonts w:hint="eastAsia"/>
                <w:szCs w:val="21"/>
              </w:rPr>
            </w:pPr>
            <w:r>
              <w:rPr>
                <w:rFonts w:hint="eastAsia"/>
                <w:szCs w:val="21"/>
              </w:rPr>
              <w:t>项目名称</w:t>
            </w:r>
          </w:p>
        </w:tc>
        <w:tc>
          <w:tcPr>
            <w:tcW w:w="1394" w:type="dxa"/>
            <w:noWrap w:val="0"/>
            <w:vAlign w:val="center"/>
          </w:tcPr>
          <w:p w14:paraId="3C44E5E2">
            <w:pPr>
              <w:topLinePunct/>
              <w:spacing w:line="400" w:lineRule="atLeast"/>
              <w:jc w:val="center"/>
              <w:rPr>
                <w:rFonts w:hint="eastAsia"/>
                <w:szCs w:val="21"/>
              </w:rPr>
            </w:pPr>
            <w:r>
              <w:rPr>
                <w:rFonts w:hint="eastAsia" w:ascii="宋体" w:hAnsi="宋体"/>
                <w:szCs w:val="21"/>
              </w:rPr>
              <w:t>发包人名称</w:t>
            </w:r>
          </w:p>
        </w:tc>
        <w:tc>
          <w:tcPr>
            <w:tcW w:w="1080" w:type="dxa"/>
            <w:noWrap w:val="0"/>
            <w:vAlign w:val="center"/>
          </w:tcPr>
          <w:p w14:paraId="5CABBA5A">
            <w:pPr>
              <w:topLinePunct/>
              <w:spacing w:line="400" w:lineRule="atLeast"/>
              <w:jc w:val="center"/>
              <w:rPr>
                <w:rFonts w:hint="eastAsia"/>
                <w:szCs w:val="21"/>
              </w:rPr>
            </w:pPr>
            <w:r>
              <w:rPr>
                <w:rFonts w:hint="eastAsia"/>
                <w:szCs w:val="21"/>
              </w:rPr>
              <w:t>工程规模</w:t>
            </w:r>
          </w:p>
        </w:tc>
        <w:tc>
          <w:tcPr>
            <w:tcW w:w="1112" w:type="dxa"/>
            <w:noWrap w:val="0"/>
            <w:vAlign w:val="center"/>
          </w:tcPr>
          <w:p w14:paraId="075E99C4">
            <w:pPr>
              <w:topLinePunct/>
              <w:spacing w:line="400" w:lineRule="atLeast"/>
              <w:jc w:val="center"/>
              <w:rPr>
                <w:rFonts w:hint="eastAsia"/>
                <w:szCs w:val="21"/>
              </w:rPr>
            </w:pPr>
            <w:r>
              <w:rPr>
                <w:rFonts w:hint="eastAsia" w:ascii="宋体" w:hAnsi="宋体"/>
                <w:szCs w:val="21"/>
              </w:rPr>
              <w:t>合同价格</w:t>
            </w:r>
            <w:r>
              <w:rPr>
                <w:rFonts w:hint="eastAsia"/>
                <w:szCs w:val="21"/>
              </w:rPr>
              <w:t>（元）</w:t>
            </w:r>
          </w:p>
        </w:tc>
        <w:tc>
          <w:tcPr>
            <w:tcW w:w="1778" w:type="dxa"/>
            <w:noWrap w:val="0"/>
            <w:vAlign w:val="center"/>
          </w:tcPr>
          <w:p w14:paraId="63AFE274">
            <w:pPr>
              <w:topLinePunct/>
              <w:spacing w:line="400" w:lineRule="atLeast"/>
              <w:jc w:val="center"/>
              <w:rPr>
                <w:rFonts w:hint="eastAsia"/>
                <w:szCs w:val="21"/>
              </w:rPr>
            </w:pPr>
            <w:r>
              <w:rPr>
                <w:rFonts w:hint="eastAsia" w:ascii="宋体" w:hAnsi="宋体"/>
                <w:szCs w:val="21"/>
              </w:rPr>
              <w:t>开、竣工日期</w:t>
            </w:r>
          </w:p>
        </w:tc>
        <w:tc>
          <w:tcPr>
            <w:tcW w:w="1080" w:type="dxa"/>
            <w:noWrap w:val="0"/>
            <w:vAlign w:val="center"/>
          </w:tcPr>
          <w:p w14:paraId="37B99D86">
            <w:pPr>
              <w:topLinePunct/>
              <w:spacing w:line="400" w:lineRule="atLeast"/>
              <w:jc w:val="center"/>
              <w:rPr>
                <w:rFonts w:hint="eastAsia"/>
                <w:szCs w:val="21"/>
              </w:rPr>
            </w:pPr>
            <w:r>
              <w:rPr>
                <w:rFonts w:hint="eastAsia" w:ascii="宋体" w:hAnsi="宋体"/>
                <w:szCs w:val="21"/>
              </w:rPr>
              <w:t>项目经理</w:t>
            </w:r>
          </w:p>
        </w:tc>
      </w:tr>
      <w:tr w14:paraId="0909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4ED0A6F">
            <w:pPr>
              <w:topLinePunct/>
              <w:spacing w:line="400" w:lineRule="atLeast"/>
              <w:jc w:val="center"/>
              <w:rPr>
                <w:rFonts w:hint="eastAsia"/>
                <w:szCs w:val="21"/>
              </w:rPr>
            </w:pPr>
          </w:p>
        </w:tc>
        <w:tc>
          <w:tcPr>
            <w:tcW w:w="1846" w:type="dxa"/>
            <w:noWrap w:val="0"/>
            <w:vAlign w:val="top"/>
          </w:tcPr>
          <w:p w14:paraId="38D707F2">
            <w:pPr>
              <w:topLinePunct/>
              <w:spacing w:line="400" w:lineRule="atLeast"/>
              <w:jc w:val="center"/>
              <w:rPr>
                <w:rFonts w:hint="eastAsia"/>
                <w:szCs w:val="21"/>
              </w:rPr>
            </w:pPr>
          </w:p>
        </w:tc>
        <w:tc>
          <w:tcPr>
            <w:tcW w:w="1394" w:type="dxa"/>
            <w:noWrap w:val="0"/>
            <w:vAlign w:val="top"/>
          </w:tcPr>
          <w:p w14:paraId="6AB499FB">
            <w:pPr>
              <w:topLinePunct/>
              <w:spacing w:line="400" w:lineRule="atLeast"/>
              <w:jc w:val="center"/>
              <w:rPr>
                <w:rFonts w:hint="eastAsia"/>
                <w:szCs w:val="21"/>
              </w:rPr>
            </w:pPr>
          </w:p>
        </w:tc>
        <w:tc>
          <w:tcPr>
            <w:tcW w:w="1080" w:type="dxa"/>
            <w:noWrap w:val="0"/>
            <w:vAlign w:val="top"/>
          </w:tcPr>
          <w:p w14:paraId="1943D802">
            <w:pPr>
              <w:topLinePunct/>
              <w:spacing w:line="400" w:lineRule="atLeast"/>
              <w:jc w:val="center"/>
              <w:rPr>
                <w:rFonts w:hint="eastAsia"/>
                <w:szCs w:val="21"/>
              </w:rPr>
            </w:pPr>
          </w:p>
        </w:tc>
        <w:tc>
          <w:tcPr>
            <w:tcW w:w="1112" w:type="dxa"/>
            <w:noWrap w:val="0"/>
            <w:vAlign w:val="top"/>
          </w:tcPr>
          <w:p w14:paraId="4854DAD0">
            <w:pPr>
              <w:topLinePunct/>
              <w:spacing w:line="400" w:lineRule="atLeast"/>
              <w:jc w:val="center"/>
              <w:rPr>
                <w:rFonts w:hint="eastAsia"/>
                <w:szCs w:val="21"/>
              </w:rPr>
            </w:pPr>
          </w:p>
        </w:tc>
        <w:tc>
          <w:tcPr>
            <w:tcW w:w="1778" w:type="dxa"/>
            <w:noWrap w:val="0"/>
            <w:vAlign w:val="top"/>
          </w:tcPr>
          <w:p w14:paraId="154B8D59">
            <w:pPr>
              <w:topLinePunct/>
              <w:spacing w:line="400" w:lineRule="atLeast"/>
              <w:jc w:val="center"/>
              <w:rPr>
                <w:rFonts w:hint="eastAsia"/>
                <w:szCs w:val="21"/>
              </w:rPr>
            </w:pPr>
          </w:p>
        </w:tc>
        <w:tc>
          <w:tcPr>
            <w:tcW w:w="1080" w:type="dxa"/>
            <w:noWrap w:val="0"/>
            <w:vAlign w:val="top"/>
          </w:tcPr>
          <w:p w14:paraId="770A5764">
            <w:pPr>
              <w:topLinePunct/>
              <w:spacing w:line="400" w:lineRule="atLeast"/>
              <w:jc w:val="center"/>
              <w:rPr>
                <w:rFonts w:hint="eastAsia"/>
                <w:szCs w:val="21"/>
              </w:rPr>
            </w:pPr>
          </w:p>
        </w:tc>
      </w:tr>
      <w:tr w14:paraId="5E1A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6493F7B">
            <w:pPr>
              <w:topLinePunct/>
              <w:spacing w:line="400" w:lineRule="atLeast"/>
              <w:jc w:val="center"/>
              <w:rPr>
                <w:rFonts w:hint="eastAsia"/>
                <w:szCs w:val="21"/>
              </w:rPr>
            </w:pPr>
          </w:p>
        </w:tc>
        <w:tc>
          <w:tcPr>
            <w:tcW w:w="1846" w:type="dxa"/>
            <w:noWrap w:val="0"/>
            <w:vAlign w:val="top"/>
          </w:tcPr>
          <w:p w14:paraId="21CC913A">
            <w:pPr>
              <w:topLinePunct/>
              <w:spacing w:line="400" w:lineRule="atLeast"/>
              <w:jc w:val="center"/>
              <w:rPr>
                <w:rFonts w:hint="eastAsia"/>
                <w:szCs w:val="21"/>
              </w:rPr>
            </w:pPr>
          </w:p>
        </w:tc>
        <w:tc>
          <w:tcPr>
            <w:tcW w:w="1394" w:type="dxa"/>
            <w:noWrap w:val="0"/>
            <w:vAlign w:val="top"/>
          </w:tcPr>
          <w:p w14:paraId="2152A885">
            <w:pPr>
              <w:topLinePunct/>
              <w:spacing w:line="400" w:lineRule="atLeast"/>
              <w:jc w:val="center"/>
              <w:rPr>
                <w:rFonts w:hint="eastAsia"/>
                <w:szCs w:val="21"/>
              </w:rPr>
            </w:pPr>
          </w:p>
        </w:tc>
        <w:tc>
          <w:tcPr>
            <w:tcW w:w="1080" w:type="dxa"/>
            <w:noWrap w:val="0"/>
            <w:vAlign w:val="top"/>
          </w:tcPr>
          <w:p w14:paraId="3EAFA88C">
            <w:pPr>
              <w:topLinePunct/>
              <w:spacing w:line="400" w:lineRule="atLeast"/>
              <w:jc w:val="center"/>
              <w:rPr>
                <w:rFonts w:hint="eastAsia"/>
                <w:szCs w:val="21"/>
              </w:rPr>
            </w:pPr>
          </w:p>
        </w:tc>
        <w:tc>
          <w:tcPr>
            <w:tcW w:w="1112" w:type="dxa"/>
            <w:noWrap w:val="0"/>
            <w:vAlign w:val="top"/>
          </w:tcPr>
          <w:p w14:paraId="55D3F2F3">
            <w:pPr>
              <w:topLinePunct/>
              <w:spacing w:line="400" w:lineRule="atLeast"/>
              <w:jc w:val="center"/>
              <w:rPr>
                <w:rFonts w:hint="eastAsia"/>
                <w:szCs w:val="21"/>
              </w:rPr>
            </w:pPr>
          </w:p>
        </w:tc>
        <w:tc>
          <w:tcPr>
            <w:tcW w:w="1778" w:type="dxa"/>
            <w:noWrap w:val="0"/>
            <w:vAlign w:val="top"/>
          </w:tcPr>
          <w:p w14:paraId="56ED624D">
            <w:pPr>
              <w:topLinePunct/>
              <w:spacing w:line="400" w:lineRule="atLeast"/>
              <w:jc w:val="center"/>
              <w:rPr>
                <w:rFonts w:hint="eastAsia"/>
                <w:szCs w:val="21"/>
              </w:rPr>
            </w:pPr>
          </w:p>
        </w:tc>
        <w:tc>
          <w:tcPr>
            <w:tcW w:w="1080" w:type="dxa"/>
            <w:noWrap w:val="0"/>
            <w:vAlign w:val="top"/>
          </w:tcPr>
          <w:p w14:paraId="43F4409A">
            <w:pPr>
              <w:topLinePunct/>
              <w:spacing w:line="400" w:lineRule="atLeast"/>
              <w:jc w:val="center"/>
              <w:rPr>
                <w:rFonts w:hint="eastAsia"/>
                <w:szCs w:val="21"/>
              </w:rPr>
            </w:pPr>
          </w:p>
        </w:tc>
      </w:tr>
      <w:tr w14:paraId="2E92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E78635E">
            <w:pPr>
              <w:topLinePunct/>
              <w:spacing w:line="400" w:lineRule="atLeast"/>
              <w:jc w:val="center"/>
              <w:rPr>
                <w:rFonts w:hint="eastAsia"/>
                <w:szCs w:val="21"/>
              </w:rPr>
            </w:pPr>
          </w:p>
        </w:tc>
        <w:tc>
          <w:tcPr>
            <w:tcW w:w="1846" w:type="dxa"/>
            <w:noWrap w:val="0"/>
            <w:vAlign w:val="top"/>
          </w:tcPr>
          <w:p w14:paraId="7082C8AA">
            <w:pPr>
              <w:topLinePunct/>
              <w:spacing w:line="400" w:lineRule="atLeast"/>
              <w:jc w:val="center"/>
              <w:rPr>
                <w:rFonts w:hint="eastAsia"/>
                <w:szCs w:val="21"/>
              </w:rPr>
            </w:pPr>
          </w:p>
        </w:tc>
        <w:tc>
          <w:tcPr>
            <w:tcW w:w="1394" w:type="dxa"/>
            <w:noWrap w:val="0"/>
            <w:vAlign w:val="top"/>
          </w:tcPr>
          <w:p w14:paraId="13BA2DD1">
            <w:pPr>
              <w:topLinePunct/>
              <w:spacing w:line="400" w:lineRule="atLeast"/>
              <w:jc w:val="center"/>
              <w:rPr>
                <w:rFonts w:hint="eastAsia"/>
                <w:szCs w:val="21"/>
              </w:rPr>
            </w:pPr>
          </w:p>
        </w:tc>
        <w:tc>
          <w:tcPr>
            <w:tcW w:w="1080" w:type="dxa"/>
            <w:noWrap w:val="0"/>
            <w:vAlign w:val="top"/>
          </w:tcPr>
          <w:p w14:paraId="6079EA09">
            <w:pPr>
              <w:topLinePunct/>
              <w:spacing w:line="400" w:lineRule="atLeast"/>
              <w:jc w:val="center"/>
              <w:rPr>
                <w:rFonts w:hint="eastAsia"/>
                <w:szCs w:val="21"/>
              </w:rPr>
            </w:pPr>
          </w:p>
        </w:tc>
        <w:tc>
          <w:tcPr>
            <w:tcW w:w="1112" w:type="dxa"/>
            <w:noWrap w:val="0"/>
            <w:vAlign w:val="top"/>
          </w:tcPr>
          <w:p w14:paraId="60C3D8BE">
            <w:pPr>
              <w:topLinePunct/>
              <w:spacing w:line="400" w:lineRule="atLeast"/>
              <w:jc w:val="center"/>
              <w:rPr>
                <w:rFonts w:hint="eastAsia"/>
                <w:szCs w:val="21"/>
              </w:rPr>
            </w:pPr>
          </w:p>
        </w:tc>
        <w:tc>
          <w:tcPr>
            <w:tcW w:w="1778" w:type="dxa"/>
            <w:noWrap w:val="0"/>
            <w:vAlign w:val="top"/>
          </w:tcPr>
          <w:p w14:paraId="003EF8A4">
            <w:pPr>
              <w:topLinePunct/>
              <w:spacing w:line="400" w:lineRule="atLeast"/>
              <w:jc w:val="center"/>
              <w:rPr>
                <w:rFonts w:hint="eastAsia"/>
                <w:szCs w:val="21"/>
              </w:rPr>
            </w:pPr>
          </w:p>
        </w:tc>
        <w:tc>
          <w:tcPr>
            <w:tcW w:w="1080" w:type="dxa"/>
            <w:noWrap w:val="0"/>
            <w:vAlign w:val="top"/>
          </w:tcPr>
          <w:p w14:paraId="158CA8DA">
            <w:pPr>
              <w:topLinePunct/>
              <w:spacing w:line="400" w:lineRule="atLeast"/>
              <w:jc w:val="center"/>
              <w:rPr>
                <w:rFonts w:hint="eastAsia"/>
                <w:szCs w:val="21"/>
              </w:rPr>
            </w:pPr>
          </w:p>
        </w:tc>
      </w:tr>
      <w:tr w14:paraId="7694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6110BAD">
            <w:pPr>
              <w:topLinePunct/>
              <w:spacing w:line="400" w:lineRule="atLeast"/>
              <w:jc w:val="center"/>
              <w:rPr>
                <w:rFonts w:hint="eastAsia"/>
                <w:szCs w:val="21"/>
              </w:rPr>
            </w:pPr>
          </w:p>
        </w:tc>
        <w:tc>
          <w:tcPr>
            <w:tcW w:w="1846" w:type="dxa"/>
            <w:noWrap w:val="0"/>
            <w:vAlign w:val="top"/>
          </w:tcPr>
          <w:p w14:paraId="3AC18F93">
            <w:pPr>
              <w:topLinePunct/>
              <w:spacing w:line="400" w:lineRule="atLeast"/>
              <w:jc w:val="center"/>
              <w:rPr>
                <w:rFonts w:hint="eastAsia"/>
                <w:szCs w:val="21"/>
              </w:rPr>
            </w:pPr>
          </w:p>
        </w:tc>
        <w:tc>
          <w:tcPr>
            <w:tcW w:w="1394" w:type="dxa"/>
            <w:noWrap w:val="0"/>
            <w:vAlign w:val="top"/>
          </w:tcPr>
          <w:p w14:paraId="1A9EAF0B">
            <w:pPr>
              <w:topLinePunct/>
              <w:spacing w:line="400" w:lineRule="atLeast"/>
              <w:jc w:val="center"/>
              <w:rPr>
                <w:rFonts w:hint="eastAsia"/>
                <w:szCs w:val="21"/>
              </w:rPr>
            </w:pPr>
          </w:p>
        </w:tc>
        <w:tc>
          <w:tcPr>
            <w:tcW w:w="1080" w:type="dxa"/>
            <w:noWrap w:val="0"/>
            <w:vAlign w:val="top"/>
          </w:tcPr>
          <w:p w14:paraId="30ED2DE0">
            <w:pPr>
              <w:topLinePunct/>
              <w:spacing w:line="400" w:lineRule="atLeast"/>
              <w:jc w:val="center"/>
              <w:rPr>
                <w:rFonts w:hint="eastAsia"/>
                <w:szCs w:val="21"/>
              </w:rPr>
            </w:pPr>
          </w:p>
        </w:tc>
        <w:tc>
          <w:tcPr>
            <w:tcW w:w="1112" w:type="dxa"/>
            <w:noWrap w:val="0"/>
            <w:vAlign w:val="top"/>
          </w:tcPr>
          <w:p w14:paraId="2C750171">
            <w:pPr>
              <w:topLinePunct/>
              <w:spacing w:line="400" w:lineRule="atLeast"/>
              <w:jc w:val="center"/>
              <w:rPr>
                <w:rFonts w:hint="eastAsia"/>
                <w:szCs w:val="21"/>
              </w:rPr>
            </w:pPr>
          </w:p>
        </w:tc>
        <w:tc>
          <w:tcPr>
            <w:tcW w:w="1778" w:type="dxa"/>
            <w:noWrap w:val="0"/>
            <w:vAlign w:val="top"/>
          </w:tcPr>
          <w:p w14:paraId="77E8D27F">
            <w:pPr>
              <w:topLinePunct/>
              <w:spacing w:line="400" w:lineRule="atLeast"/>
              <w:jc w:val="center"/>
              <w:rPr>
                <w:rFonts w:hint="eastAsia"/>
                <w:szCs w:val="21"/>
              </w:rPr>
            </w:pPr>
          </w:p>
        </w:tc>
        <w:tc>
          <w:tcPr>
            <w:tcW w:w="1080" w:type="dxa"/>
            <w:noWrap w:val="0"/>
            <w:vAlign w:val="top"/>
          </w:tcPr>
          <w:p w14:paraId="38EC6629">
            <w:pPr>
              <w:topLinePunct/>
              <w:spacing w:line="400" w:lineRule="atLeast"/>
              <w:jc w:val="center"/>
              <w:rPr>
                <w:rFonts w:hint="eastAsia"/>
                <w:szCs w:val="21"/>
              </w:rPr>
            </w:pPr>
          </w:p>
        </w:tc>
      </w:tr>
      <w:tr w14:paraId="16B1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5F1FD3C">
            <w:pPr>
              <w:topLinePunct/>
              <w:spacing w:line="400" w:lineRule="atLeast"/>
              <w:jc w:val="center"/>
              <w:rPr>
                <w:rFonts w:hint="eastAsia"/>
                <w:szCs w:val="21"/>
              </w:rPr>
            </w:pPr>
          </w:p>
        </w:tc>
        <w:tc>
          <w:tcPr>
            <w:tcW w:w="1846" w:type="dxa"/>
            <w:noWrap w:val="0"/>
            <w:vAlign w:val="top"/>
          </w:tcPr>
          <w:p w14:paraId="142119C5">
            <w:pPr>
              <w:topLinePunct/>
              <w:spacing w:line="400" w:lineRule="atLeast"/>
              <w:jc w:val="center"/>
              <w:rPr>
                <w:rFonts w:hint="eastAsia"/>
                <w:szCs w:val="21"/>
              </w:rPr>
            </w:pPr>
          </w:p>
        </w:tc>
        <w:tc>
          <w:tcPr>
            <w:tcW w:w="1394" w:type="dxa"/>
            <w:noWrap w:val="0"/>
            <w:vAlign w:val="top"/>
          </w:tcPr>
          <w:p w14:paraId="036BECA9">
            <w:pPr>
              <w:topLinePunct/>
              <w:spacing w:line="400" w:lineRule="atLeast"/>
              <w:jc w:val="center"/>
              <w:rPr>
                <w:rFonts w:hint="eastAsia"/>
                <w:szCs w:val="21"/>
              </w:rPr>
            </w:pPr>
          </w:p>
        </w:tc>
        <w:tc>
          <w:tcPr>
            <w:tcW w:w="1080" w:type="dxa"/>
            <w:noWrap w:val="0"/>
            <w:vAlign w:val="top"/>
          </w:tcPr>
          <w:p w14:paraId="79A0B1F7">
            <w:pPr>
              <w:topLinePunct/>
              <w:spacing w:line="400" w:lineRule="atLeast"/>
              <w:jc w:val="center"/>
              <w:rPr>
                <w:rFonts w:hint="eastAsia"/>
                <w:szCs w:val="21"/>
              </w:rPr>
            </w:pPr>
          </w:p>
        </w:tc>
        <w:tc>
          <w:tcPr>
            <w:tcW w:w="1112" w:type="dxa"/>
            <w:noWrap w:val="0"/>
            <w:vAlign w:val="top"/>
          </w:tcPr>
          <w:p w14:paraId="3BAE52DD">
            <w:pPr>
              <w:topLinePunct/>
              <w:spacing w:line="400" w:lineRule="atLeast"/>
              <w:jc w:val="center"/>
              <w:rPr>
                <w:rFonts w:hint="eastAsia"/>
                <w:szCs w:val="21"/>
              </w:rPr>
            </w:pPr>
          </w:p>
        </w:tc>
        <w:tc>
          <w:tcPr>
            <w:tcW w:w="1778" w:type="dxa"/>
            <w:noWrap w:val="0"/>
            <w:vAlign w:val="top"/>
          </w:tcPr>
          <w:p w14:paraId="7E25F523">
            <w:pPr>
              <w:topLinePunct/>
              <w:spacing w:line="400" w:lineRule="atLeast"/>
              <w:jc w:val="center"/>
              <w:rPr>
                <w:rFonts w:hint="eastAsia"/>
                <w:szCs w:val="21"/>
              </w:rPr>
            </w:pPr>
          </w:p>
        </w:tc>
        <w:tc>
          <w:tcPr>
            <w:tcW w:w="1080" w:type="dxa"/>
            <w:noWrap w:val="0"/>
            <w:vAlign w:val="top"/>
          </w:tcPr>
          <w:p w14:paraId="51328219">
            <w:pPr>
              <w:topLinePunct/>
              <w:spacing w:line="400" w:lineRule="atLeast"/>
              <w:jc w:val="center"/>
              <w:rPr>
                <w:rFonts w:hint="eastAsia"/>
                <w:szCs w:val="21"/>
              </w:rPr>
            </w:pPr>
          </w:p>
        </w:tc>
      </w:tr>
      <w:tr w14:paraId="03F9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noWrap w:val="0"/>
            <w:vAlign w:val="top"/>
          </w:tcPr>
          <w:p w14:paraId="135C58EB">
            <w:pPr>
              <w:topLinePunct/>
              <w:spacing w:line="400" w:lineRule="atLeast"/>
              <w:jc w:val="center"/>
              <w:rPr>
                <w:rFonts w:hint="eastAsia"/>
                <w:szCs w:val="21"/>
              </w:rPr>
            </w:pPr>
          </w:p>
        </w:tc>
        <w:tc>
          <w:tcPr>
            <w:tcW w:w="1846" w:type="dxa"/>
            <w:noWrap w:val="0"/>
            <w:vAlign w:val="top"/>
          </w:tcPr>
          <w:p w14:paraId="7A21EA9A">
            <w:pPr>
              <w:topLinePunct/>
              <w:spacing w:line="400" w:lineRule="atLeast"/>
              <w:jc w:val="center"/>
              <w:rPr>
                <w:rFonts w:hint="eastAsia"/>
                <w:szCs w:val="21"/>
              </w:rPr>
            </w:pPr>
          </w:p>
        </w:tc>
        <w:tc>
          <w:tcPr>
            <w:tcW w:w="1394" w:type="dxa"/>
            <w:noWrap w:val="0"/>
            <w:vAlign w:val="top"/>
          </w:tcPr>
          <w:p w14:paraId="3B23486A">
            <w:pPr>
              <w:topLinePunct/>
              <w:spacing w:line="400" w:lineRule="atLeast"/>
              <w:jc w:val="center"/>
              <w:rPr>
                <w:rFonts w:hint="eastAsia"/>
                <w:szCs w:val="21"/>
              </w:rPr>
            </w:pPr>
          </w:p>
        </w:tc>
        <w:tc>
          <w:tcPr>
            <w:tcW w:w="1080" w:type="dxa"/>
            <w:noWrap w:val="0"/>
            <w:vAlign w:val="top"/>
          </w:tcPr>
          <w:p w14:paraId="27C0D3BD">
            <w:pPr>
              <w:topLinePunct/>
              <w:spacing w:line="400" w:lineRule="atLeast"/>
              <w:jc w:val="center"/>
              <w:rPr>
                <w:rFonts w:hint="eastAsia"/>
                <w:szCs w:val="21"/>
              </w:rPr>
            </w:pPr>
          </w:p>
        </w:tc>
        <w:tc>
          <w:tcPr>
            <w:tcW w:w="1112" w:type="dxa"/>
            <w:noWrap w:val="0"/>
            <w:vAlign w:val="top"/>
          </w:tcPr>
          <w:p w14:paraId="6FAC1F58">
            <w:pPr>
              <w:topLinePunct/>
              <w:spacing w:line="400" w:lineRule="atLeast"/>
              <w:jc w:val="center"/>
              <w:rPr>
                <w:rFonts w:hint="eastAsia"/>
                <w:szCs w:val="21"/>
              </w:rPr>
            </w:pPr>
          </w:p>
        </w:tc>
        <w:tc>
          <w:tcPr>
            <w:tcW w:w="1778" w:type="dxa"/>
            <w:noWrap w:val="0"/>
            <w:vAlign w:val="top"/>
          </w:tcPr>
          <w:p w14:paraId="02777B45">
            <w:pPr>
              <w:topLinePunct/>
              <w:spacing w:line="400" w:lineRule="atLeast"/>
              <w:jc w:val="center"/>
              <w:rPr>
                <w:rFonts w:hint="eastAsia"/>
                <w:szCs w:val="21"/>
              </w:rPr>
            </w:pPr>
          </w:p>
        </w:tc>
        <w:tc>
          <w:tcPr>
            <w:tcW w:w="1080" w:type="dxa"/>
            <w:noWrap w:val="0"/>
            <w:vAlign w:val="top"/>
          </w:tcPr>
          <w:p w14:paraId="041C2A06">
            <w:pPr>
              <w:topLinePunct/>
              <w:spacing w:line="400" w:lineRule="atLeast"/>
              <w:jc w:val="center"/>
              <w:rPr>
                <w:rFonts w:hint="eastAsia"/>
                <w:szCs w:val="21"/>
              </w:rPr>
            </w:pPr>
          </w:p>
        </w:tc>
      </w:tr>
      <w:tr w14:paraId="7A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99FC4E0">
            <w:pPr>
              <w:topLinePunct/>
              <w:spacing w:line="400" w:lineRule="atLeast"/>
              <w:jc w:val="center"/>
              <w:rPr>
                <w:rFonts w:hint="eastAsia"/>
                <w:szCs w:val="21"/>
              </w:rPr>
            </w:pPr>
          </w:p>
        </w:tc>
        <w:tc>
          <w:tcPr>
            <w:tcW w:w="1846" w:type="dxa"/>
            <w:noWrap w:val="0"/>
            <w:vAlign w:val="top"/>
          </w:tcPr>
          <w:p w14:paraId="2E0253D5">
            <w:pPr>
              <w:topLinePunct/>
              <w:spacing w:line="400" w:lineRule="atLeast"/>
              <w:jc w:val="center"/>
              <w:rPr>
                <w:rFonts w:hint="eastAsia"/>
                <w:szCs w:val="21"/>
              </w:rPr>
            </w:pPr>
          </w:p>
        </w:tc>
        <w:tc>
          <w:tcPr>
            <w:tcW w:w="1394" w:type="dxa"/>
            <w:noWrap w:val="0"/>
            <w:vAlign w:val="top"/>
          </w:tcPr>
          <w:p w14:paraId="340A846B">
            <w:pPr>
              <w:topLinePunct/>
              <w:spacing w:line="400" w:lineRule="atLeast"/>
              <w:jc w:val="center"/>
              <w:rPr>
                <w:rFonts w:hint="eastAsia"/>
                <w:szCs w:val="21"/>
              </w:rPr>
            </w:pPr>
          </w:p>
        </w:tc>
        <w:tc>
          <w:tcPr>
            <w:tcW w:w="1080" w:type="dxa"/>
            <w:noWrap w:val="0"/>
            <w:vAlign w:val="top"/>
          </w:tcPr>
          <w:p w14:paraId="2939AFC2">
            <w:pPr>
              <w:topLinePunct/>
              <w:spacing w:line="400" w:lineRule="atLeast"/>
              <w:jc w:val="center"/>
              <w:rPr>
                <w:rFonts w:hint="eastAsia"/>
                <w:szCs w:val="21"/>
              </w:rPr>
            </w:pPr>
          </w:p>
        </w:tc>
        <w:tc>
          <w:tcPr>
            <w:tcW w:w="1112" w:type="dxa"/>
            <w:noWrap w:val="0"/>
            <w:vAlign w:val="top"/>
          </w:tcPr>
          <w:p w14:paraId="1A49723F">
            <w:pPr>
              <w:topLinePunct/>
              <w:spacing w:line="400" w:lineRule="atLeast"/>
              <w:jc w:val="center"/>
              <w:rPr>
                <w:rFonts w:hint="eastAsia"/>
                <w:szCs w:val="21"/>
              </w:rPr>
            </w:pPr>
          </w:p>
        </w:tc>
        <w:tc>
          <w:tcPr>
            <w:tcW w:w="1778" w:type="dxa"/>
            <w:noWrap w:val="0"/>
            <w:vAlign w:val="top"/>
          </w:tcPr>
          <w:p w14:paraId="717737D3">
            <w:pPr>
              <w:topLinePunct/>
              <w:spacing w:line="400" w:lineRule="atLeast"/>
              <w:jc w:val="center"/>
              <w:rPr>
                <w:rFonts w:hint="eastAsia"/>
                <w:szCs w:val="21"/>
              </w:rPr>
            </w:pPr>
          </w:p>
        </w:tc>
        <w:tc>
          <w:tcPr>
            <w:tcW w:w="1080" w:type="dxa"/>
            <w:noWrap w:val="0"/>
            <w:vAlign w:val="top"/>
          </w:tcPr>
          <w:p w14:paraId="4FF064C7">
            <w:pPr>
              <w:topLinePunct/>
              <w:spacing w:line="400" w:lineRule="atLeast"/>
              <w:jc w:val="center"/>
              <w:rPr>
                <w:rFonts w:hint="eastAsia"/>
                <w:szCs w:val="21"/>
              </w:rPr>
            </w:pPr>
          </w:p>
        </w:tc>
      </w:tr>
      <w:tr w14:paraId="0B24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4FC7217">
            <w:pPr>
              <w:topLinePunct/>
              <w:spacing w:line="400" w:lineRule="atLeast"/>
              <w:jc w:val="center"/>
              <w:rPr>
                <w:rFonts w:hint="eastAsia"/>
                <w:szCs w:val="21"/>
              </w:rPr>
            </w:pPr>
          </w:p>
        </w:tc>
        <w:tc>
          <w:tcPr>
            <w:tcW w:w="1846" w:type="dxa"/>
            <w:noWrap w:val="0"/>
            <w:vAlign w:val="top"/>
          </w:tcPr>
          <w:p w14:paraId="197749B9">
            <w:pPr>
              <w:topLinePunct/>
              <w:spacing w:line="400" w:lineRule="atLeast"/>
              <w:jc w:val="center"/>
              <w:rPr>
                <w:rFonts w:hint="eastAsia"/>
                <w:szCs w:val="21"/>
              </w:rPr>
            </w:pPr>
          </w:p>
        </w:tc>
        <w:tc>
          <w:tcPr>
            <w:tcW w:w="1394" w:type="dxa"/>
            <w:noWrap w:val="0"/>
            <w:vAlign w:val="top"/>
          </w:tcPr>
          <w:p w14:paraId="2E54C5EF">
            <w:pPr>
              <w:topLinePunct/>
              <w:spacing w:line="400" w:lineRule="atLeast"/>
              <w:jc w:val="center"/>
              <w:rPr>
                <w:rFonts w:hint="eastAsia"/>
                <w:szCs w:val="21"/>
              </w:rPr>
            </w:pPr>
          </w:p>
        </w:tc>
        <w:tc>
          <w:tcPr>
            <w:tcW w:w="1080" w:type="dxa"/>
            <w:noWrap w:val="0"/>
            <w:vAlign w:val="top"/>
          </w:tcPr>
          <w:p w14:paraId="6B789005">
            <w:pPr>
              <w:topLinePunct/>
              <w:spacing w:line="400" w:lineRule="atLeast"/>
              <w:jc w:val="center"/>
              <w:rPr>
                <w:rFonts w:hint="eastAsia"/>
                <w:szCs w:val="21"/>
              </w:rPr>
            </w:pPr>
          </w:p>
        </w:tc>
        <w:tc>
          <w:tcPr>
            <w:tcW w:w="1112" w:type="dxa"/>
            <w:noWrap w:val="0"/>
            <w:vAlign w:val="top"/>
          </w:tcPr>
          <w:p w14:paraId="57D36A15">
            <w:pPr>
              <w:topLinePunct/>
              <w:spacing w:line="400" w:lineRule="atLeast"/>
              <w:jc w:val="center"/>
              <w:rPr>
                <w:rFonts w:hint="eastAsia"/>
                <w:szCs w:val="21"/>
              </w:rPr>
            </w:pPr>
          </w:p>
        </w:tc>
        <w:tc>
          <w:tcPr>
            <w:tcW w:w="1778" w:type="dxa"/>
            <w:noWrap w:val="0"/>
            <w:vAlign w:val="top"/>
          </w:tcPr>
          <w:p w14:paraId="6AE0E57F">
            <w:pPr>
              <w:topLinePunct/>
              <w:spacing w:line="400" w:lineRule="atLeast"/>
              <w:jc w:val="center"/>
              <w:rPr>
                <w:rFonts w:hint="eastAsia"/>
                <w:szCs w:val="21"/>
              </w:rPr>
            </w:pPr>
          </w:p>
        </w:tc>
        <w:tc>
          <w:tcPr>
            <w:tcW w:w="1080" w:type="dxa"/>
            <w:noWrap w:val="0"/>
            <w:vAlign w:val="top"/>
          </w:tcPr>
          <w:p w14:paraId="1311B948">
            <w:pPr>
              <w:topLinePunct/>
              <w:spacing w:line="400" w:lineRule="atLeast"/>
              <w:jc w:val="center"/>
              <w:rPr>
                <w:rFonts w:hint="eastAsia"/>
                <w:szCs w:val="21"/>
              </w:rPr>
            </w:pPr>
          </w:p>
        </w:tc>
      </w:tr>
      <w:tr w14:paraId="1935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3B53608">
            <w:pPr>
              <w:topLinePunct/>
              <w:spacing w:line="400" w:lineRule="atLeast"/>
              <w:jc w:val="center"/>
              <w:rPr>
                <w:rFonts w:hint="eastAsia"/>
                <w:szCs w:val="21"/>
              </w:rPr>
            </w:pPr>
          </w:p>
        </w:tc>
        <w:tc>
          <w:tcPr>
            <w:tcW w:w="1846" w:type="dxa"/>
            <w:noWrap w:val="0"/>
            <w:vAlign w:val="top"/>
          </w:tcPr>
          <w:p w14:paraId="3EC86FEB">
            <w:pPr>
              <w:topLinePunct/>
              <w:spacing w:line="400" w:lineRule="atLeast"/>
              <w:jc w:val="center"/>
              <w:rPr>
                <w:rFonts w:hint="eastAsia"/>
                <w:szCs w:val="21"/>
              </w:rPr>
            </w:pPr>
          </w:p>
        </w:tc>
        <w:tc>
          <w:tcPr>
            <w:tcW w:w="1394" w:type="dxa"/>
            <w:noWrap w:val="0"/>
            <w:vAlign w:val="top"/>
          </w:tcPr>
          <w:p w14:paraId="088BEF3A">
            <w:pPr>
              <w:topLinePunct/>
              <w:spacing w:line="400" w:lineRule="atLeast"/>
              <w:jc w:val="center"/>
              <w:rPr>
                <w:rFonts w:hint="eastAsia"/>
                <w:szCs w:val="21"/>
              </w:rPr>
            </w:pPr>
          </w:p>
        </w:tc>
        <w:tc>
          <w:tcPr>
            <w:tcW w:w="1080" w:type="dxa"/>
            <w:noWrap w:val="0"/>
            <w:vAlign w:val="top"/>
          </w:tcPr>
          <w:p w14:paraId="0796D6C7">
            <w:pPr>
              <w:topLinePunct/>
              <w:spacing w:line="400" w:lineRule="atLeast"/>
              <w:jc w:val="center"/>
              <w:rPr>
                <w:rFonts w:hint="eastAsia"/>
                <w:szCs w:val="21"/>
              </w:rPr>
            </w:pPr>
          </w:p>
        </w:tc>
        <w:tc>
          <w:tcPr>
            <w:tcW w:w="1112" w:type="dxa"/>
            <w:noWrap w:val="0"/>
            <w:vAlign w:val="top"/>
          </w:tcPr>
          <w:p w14:paraId="19AA5484">
            <w:pPr>
              <w:topLinePunct/>
              <w:spacing w:line="400" w:lineRule="atLeast"/>
              <w:jc w:val="center"/>
              <w:rPr>
                <w:rFonts w:hint="eastAsia"/>
                <w:szCs w:val="21"/>
              </w:rPr>
            </w:pPr>
          </w:p>
        </w:tc>
        <w:tc>
          <w:tcPr>
            <w:tcW w:w="1778" w:type="dxa"/>
            <w:noWrap w:val="0"/>
            <w:vAlign w:val="top"/>
          </w:tcPr>
          <w:p w14:paraId="21B6A830">
            <w:pPr>
              <w:topLinePunct/>
              <w:spacing w:line="400" w:lineRule="atLeast"/>
              <w:jc w:val="center"/>
              <w:rPr>
                <w:rFonts w:hint="eastAsia"/>
                <w:szCs w:val="21"/>
              </w:rPr>
            </w:pPr>
          </w:p>
        </w:tc>
        <w:tc>
          <w:tcPr>
            <w:tcW w:w="1080" w:type="dxa"/>
            <w:noWrap w:val="0"/>
            <w:vAlign w:val="top"/>
          </w:tcPr>
          <w:p w14:paraId="25B449B8">
            <w:pPr>
              <w:topLinePunct/>
              <w:spacing w:line="400" w:lineRule="atLeast"/>
              <w:jc w:val="center"/>
              <w:rPr>
                <w:rFonts w:hint="eastAsia"/>
                <w:szCs w:val="21"/>
              </w:rPr>
            </w:pPr>
          </w:p>
        </w:tc>
      </w:tr>
      <w:tr w14:paraId="73EB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08D172A">
            <w:pPr>
              <w:topLinePunct/>
              <w:spacing w:line="400" w:lineRule="atLeast"/>
              <w:jc w:val="center"/>
              <w:rPr>
                <w:rFonts w:hint="eastAsia"/>
                <w:szCs w:val="21"/>
              </w:rPr>
            </w:pPr>
          </w:p>
        </w:tc>
        <w:tc>
          <w:tcPr>
            <w:tcW w:w="1846" w:type="dxa"/>
            <w:noWrap w:val="0"/>
            <w:vAlign w:val="top"/>
          </w:tcPr>
          <w:p w14:paraId="5FBD10D2">
            <w:pPr>
              <w:topLinePunct/>
              <w:spacing w:line="400" w:lineRule="atLeast"/>
              <w:jc w:val="center"/>
              <w:rPr>
                <w:rFonts w:hint="eastAsia"/>
                <w:szCs w:val="21"/>
              </w:rPr>
            </w:pPr>
          </w:p>
        </w:tc>
        <w:tc>
          <w:tcPr>
            <w:tcW w:w="1394" w:type="dxa"/>
            <w:noWrap w:val="0"/>
            <w:vAlign w:val="top"/>
          </w:tcPr>
          <w:p w14:paraId="6B571CD2">
            <w:pPr>
              <w:topLinePunct/>
              <w:spacing w:line="400" w:lineRule="atLeast"/>
              <w:jc w:val="center"/>
              <w:rPr>
                <w:rFonts w:hint="eastAsia"/>
                <w:szCs w:val="21"/>
              </w:rPr>
            </w:pPr>
          </w:p>
        </w:tc>
        <w:tc>
          <w:tcPr>
            <w:tcW w:w="1080" w:type="dxa"/>
            <w:noWrap w:val="0"/>
            <w:vAlign w:val="top"/>
          </w:tcPr>
          <w:p w14:paraId="574ABBEE">
            <w:pPr>
              <w:topLinePunct/>
              <w:spacing w:line="400" w:lineRule="atLeast"/>
              <w:jc w:val="center"/>
              <w:rPr>
                <w:rFonts w:hint="eastAsia"/>
                <w:szCs w:val="21"/>
              </w:rPr>
            </w:pPr>
          </w:p>
        </w:tc>
        <w:tc>
          <w:tcPr>
            <w:tcW w:w="1112" w:type="dxa"/>
            <w:noWrap w:val="0"/>
            <w:vAlign w:val="top"/>
          </w:tcPr>
          <w:p w14:paraId="2AD051F3">
            <w:pPr>
              <w:topLinePunct/>
              <w:spacing w:line="400" w:lineRule="atLeast"/>
              <w:jc w:val="center"/>
              <w:rPr>
                <w:rFonts w:hint="eastAsia"/>
                <w:szCs w:val="21"/>
              </w:rPr>
            </w:pPr>
          </w:p>
        </w:tc>
        <w:tc>
          <w:tcPr>
            <w:tcW w:w="1778" w:type="dxa"/>
            <w:noWrap w:val="0"/>
            <w:vAlign w:val="top"/>
          </w:tcPr>
          <w:p w14:paraId="728276F9">
            <w:pPr>
              <w:topLinePunct/>
              <w:spacing w:line="400" w:lineRule="atLeast"/>
              <w:jc w:val="center"/>
              <w:rPr>
                <w:rFonts w:hint="eastAsia"/>
                <w:szCs w:val="21"/>
              </w:rPr>
            </w:pPr>
          </w:p>
        </w:tc>
        <w:tc>
          <w:tcPr>
            <w:tcW w:w="1080" w:type="dxa"/>
            <w:noWrap w:val="0"/>
            <w:vAlign w:val="top"/>
          </w:tcPr>
          <w:p w14:paraId="242BC3EE">
            <w:pPr>
              <w:topLinePunct/>
              <w:spacing w:line="400" w:lineRule="atLeast"/>
              <w:jc w:val="center"/>
              <w:rPr>
                <w:rFonts w:hint="eastAsia"/>
                <w:szCs w:val="21"/>
              </w:rPr>
            </w:pPr>
          </w:p>
        </w:tc>
      </w:tr>
      <w:tr w14:paraId="7A5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0C7A27B">
            <w:pPr>
              <w:topLinePunct/>
              <w:spacing w:line="400" w:lineRule="atLeast"/>
              <w:jc w:val="center"/>
              <w:rPr>
                <w:rFonts w:hint="eastAsia"/>
                <w:szCs w:val="21"/>
              </w:rPr>
            </w:pPr>
          </w:p>
        </w:tc>
        <w:tc>
          <w:tcPr>
            <w:tcW w:w="1846" w:type="dxa"/>
            <w:noWrap w:val="0"/>
            <w:vAlign w:val="top"/>
          </w:tcPr>
          <w:p w14:paraId="00337F9E">
            <w:pPr>
              <w:topLinePunct/>
              <w:spacing w:line="400" w:lineRule="atLeast"/>
              <w:jc w:val="center"/>
              <w:rPr>
                <w:rFonts w:hint="eastAsia"/>
                <w:szCs w:val="21"/>
              </w:rPr>
            </w:pPr>
          </w:p>
        </w:tc>
        <w:tc>
          <w:tcPr>
            <w:tcW w:w="1394" w:type="dxa"/>
            <w:noWrap w:val="0"/>
            <w:vAlign w:val="top"/>
          </w:tcPr>
          <w:p w14:paraId="1EE89B11">
            <w:pPr>
              <w:topLinePunct/>
              <w:spacing w:line="400" w:lineRule="atLeast"/>
              <w:jc w:val="center"/>
              <w:rPr>
                <w:rFonts w:hint="eastAsia"/>
                <w:szCs w:val="21"/>
              </w:rPr>
            </w:pPr>
          </w:p>
        </w:tc>
        <w:tc>
          <w:tcPr>
            <w:tcW w:w="1080" w:type="dxa"/>
            <w:noWrap w:val="0"/>
            <w:vAlign w:val="top"/>
          </w:tcPr>
          <w:p w14:paraId="298C217A">
            <w:pPr>
              <w:topLinePunct/>
              <w:spacing w:line="400" w:lineRule="atLeast"/>
              <w:jc w:val="center"/>
              <w:rPr>
                <w:rFonts w:hint="eastAsia"/>
                <w:szCs w:val="21"/>
              </w:rPr>
            </w:pPr>
          </w:p>
        </w:tc>
        <w:tc>
          <w:tcPr>
            <w:tcW w:w="1112" w:type="dxa"/>
            <w:noWrap w:val="0"/>
            <w:vAlign w:val="top"/>
          </w:tcPr>
          <w:p w14:paraId="068B57FF">
            <w:pPr>
              <w:topLinePunct/>
              <w:spacing w:line="400" w:lineRule="atLeast"/>
              <w:jc w:val="center"/>
              <w:rPr>
                <w:rFonts w:hint="eastAsia"/>
                <w:szCs w:val="21"/>
              </w:rPr>
            </w:pPr>
          </w:p>
        </w:tc>
        <w:tc>
          <w:tcPr>
            <w:tcW w:w="1778" w:type="dxa"/>
            <w:noWrap w:val="0"/>
            <w:vAlign w:val="top"/>
          </w:tcPr>
          <w:p w14:paraId="36A32514">
            <w:pPr>
              <w:topLinePunct/>
              <w:spacing w:line="400" w:lineRule="atLeast"/>
              <w:jc w:val="center"/>
              <w:rPr>
                <w:rFonts w:hint="eastAsia"/>
                <w:szCs w:val="21"/>
              </w:rPr>
            </w:pPr>
          </w:p>
        </w:tc>
        <w:tc>
          <w:tcPr>
            <w:tcW w:w="1080" w:type="dxa"/>
            <w:noWrap w:val="0"/>
            <w:vAlign w:val="top"/>
          </w:tcPr>
          <w:p w14:paraId="2534ACBB">
            <w:pPr>
              <w:topLinePunct/>
              <w:spacing w:line="400" w:lineRule="atLeast"/>
              <w:jc w:val="center"/>
              <w:rPr>
                <w:rFonts w:hint="eastAsia"/>
                <w:szCs w:val="21"/>
              </w:rPr>
            </w:pPr>
          </w:p>
        </w:tc>
      </w:tr>
      <w:tr w14:paraId="5835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DAB94E6">
            <w:pPr>
              <w:topLinePunct/>
              <w:spacing w:line="400" w:lineRule="atLeast"/>
              <w:jc w:val="center"/>
              <w:rPr>
                <w:rFonts w:hint="eastAsia"/>
                <w:szCs w:val="21"/>
              </w:rPr>
            </w:pPr>
          </w:p>
        </w:tc>
        <w:tc>
          <w:tcPr>
            <w:tcW w:w="1846" w:type="dxa"/>
            <w:noWrap w:val="0"/>
            <w:vAlign w:val="top"/>
          </w:tcPr>
          <w:p w14:paraId="31ECDF4C">
            <w:pPr>
              <w:topLinePunct/>
              <w:spacing w:line="400" w:lineRule="atLeast"/>
              <w:jc w:val="center"/>
              <w:rPr>
                <w:rFonts w:hint="eastAsia"/>
                <w:szCs w:val="21"/>
              </w:rPr>
            </w:pPr>
          </w:p>
        </w:tc>
        <w:tc>
          <w:tcPr>
            <w:tcW w:w="1394" w:type="dxa"/>
            <w:noWrap w:val="0"/>
            <w:vAlign w:val="top"/>
          </w:tcPr>
          <w:p w14:paraId="3C9695E5">
            <w:pPr>
              <w:topLinePunct/>
              <w:spacing w:line="400" w:lineRule="atLeast"/>
              <w:jc w:val="center"/>
              <w:rPr>
                <w:rFonts w:hint="eastAsia"/>
                <w:szCs w:val="21"/>
              </w:rPr>
            </w:pPr>
          </w:p>
        </w:tc>
        <w:tc>
          <w:tcPr>
            <w:tcW w:w="1080" w:type="dxa"/>
            <w:noWrap w:val="0"/>
            <w:vAlign w:val="top"/>
          </w:tcPr>
          <w:p w14:paraId="3E487EDA">
            <w:pPr>
              <w:topLinePunct/>
              <w:spacing w:line="400" w:lineRule="atLeast"/>
              <w:jc w:val="center"/>
              <w:rPr>
                <w:rFonts w:hint="eastAsia"/>
                <w:szCs w:val="21"/>
              </w:rPr>
            </w:pPr>
          </w:p>
        </w:tc>
        <w:tc>
          <w:tcPr>
            <w:tcW w:w="1112" w:type="dxa"/>
            <w:noWrap w:val="0"/>
            <w:vAlign w:val="top"/>
          </w:tcPr>
          <w:p w14:paraId="40513534">
            <w:pPr>
              <w:topLinePunct/>
              <w:spacing w:line="400" w:lineRule="atLeast"/>
              <w:jc w:val="center"/>
              <w:rPr>
                <w:rFonts w:hint="eastAsia"/>
                <w:szCs w:val="21"/>
              </w:rPr>
            </w:pPr>
          </w:p>
        </w:tc>
        <w:tc>
          <w:tcPr>
            <w:tcW w:w="1778" w:type="dxa"/>
            <w:noWrap w:val="0"/>
            <w:vAlign w:val="top"/>
          </w:tcPr>
          <w:p w14:paraId="651DE354">
            <w:pPr>
              <w:topLinePunct/>
              <w:spacing w:line="400" w:lineRule="atLeast"/>
              <w:jc w:val="center"/>
              <w:rPr>
                <w:rFonts w:hint="eastAsia"/>
                <w:szCs w:val="21"/>
              </w:rPr>
            </w:pPr>
          </w:p>
        </w:tc>
        <w:tc>
          <w:tcPr>
            <w:tcW w:w="1080" w:type="dxa"/>
            <w:noWrap w:val="0"/>
            <w:vAlign w:val="top"/>
          </w:tcPr>
          <w:p w14:paraId="0ECED1B2">
            <w:pPr>
              <w:topLinePunct/>
              <w:spacing w:line="400" w:lineRule="atLeast"/>
              <w:jc w:val="center"/>
              <w:rPr>
                <w:rFonts w:hint="eastAsia"/>
                <w:szCs w:val="21"/>
              </w:rPr>
            </w:pPr>
          </w:p>
        </w:tc>
      </w:tr>
      <w:tr w14:paraId="7826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82CE740">
            <w:pPr>
              <w:topLinePunct/>
              <w:spacing w:line="400" w:lineRule="atLeast"/>
              <w:jc w:val="center"/>
              <w:rPr>
                <w:rFonts w:hint="eastAsia"/>
                <w:szCs w:val="21"/>
              </w:rPr>
            </w:pPr>
          </w:p>
        </w:tc>
        <w:tc>
          <w:tcPr>
            <w:tcW w:w="1846" w:type="dxa"/>
            <w:noWrap w:val="0"/>
            <w:vAlign w:val="top"/>
          </w:tcPr>
          <w:p w14:paraId="3FC0BF94">
            <w:pPr>
              <w:topLinePunct/>
              <w:spacing w:line="400" w:lineRule="atLeast"/>
              <w:jc w:val="center"/>
              <w:rPr>
                <w:rFonts w:hint="eastAsia"/>
                <w:szCs w:val="21"/>
              </w:rPr>
            </w:pPr>
          </w:p>
        </w:tc>
        <w:tc>
          <w:tcPr>
            <w:tcW w:w="1394" w:type="dxa"/>
            <w:noWrap w:val="0"/>
            <w:vAlign w:val="top"/>
          </w:tcPr>
          <w:p w14:paraId="711322AB">
            <w:pPr>
              <w:topLinePunct/>
              <w:spacing w:line="400" w:lineRule="atLeast"/>
              <w:jc w:val="center"/>
              <w:rPr>
                <w:rFonts w:hint="eastAsia"/>
                <w:szCs w:val="21"/>
              </w:rPr>
            </w:pPr>
          </w:p>
        </w:tc>
        <w:tc>
          <w:tcPr>
            <w:tcW w:w="1080" w:type="dxa"/>
            <w:noWrap w:val="0"/>
            <w:vAlign w:val="top"/>
          </w:tcPr>
          <w:p w14:paraId="5C2AE108">
            <w:pPr>
              <w:topLinePunct/>
              <w:spacing w:line="400" w:lineRule="atLeast"/>
              <w:jc w:val="center"/>
              <w:rPr>
                <w:rFonts w:hint="eastAsia"/>
                <w:szCs w:val="21"/>
              </w:rPr>
            </w:pPr>
          </w:p>
        </w:tc>
        <w:tc>
          <w:tcPr>
            <w:tcW w:w="1112" w:type="dxa"/>
            <w:noWrap w:val="0"/>
            <w:vAlign w:val="top"/>
          </w:tcPr>
          <w:p w14:paraId="7EABC8F6">
            <w:pPr>
              <w:topLinePunct/>
              <w:spacing w:line="400" w:lineRule="atLeast"/>
              <w:jc w:val="center"/>
              <w:rPr>
                <w:rFonts w:hint="eastAsia"/>
                <w:szCs w:val="21"/>
              </w:rPr>
            </w:pPr>
          </w:p>
        </w:tc>
        <w:tc>
          <w:tcPr>
            <w:tcW w:w="1778" w:type="dxa"/>
            <w:noWrap w:val="0"/>
            <w:vAlign w:val="top"/>
          </w:tcPr>
          <w:p w14:paraId="2994C0D6">
            <w:pPr>
              <w:topLinePunct/>
              <w:spacing w:line="400" w:lineRule="atLeast"/>
              <w:jc w:val="center"/>
              <w:rPr>
                <w:rFonts w:hint="eastAsia"/>
                <w:szCs w:val="21"/>
              </w:rPr>
            </w:pPr>
          </w:p>
        </w:tc>
        <w:tc>
          <w:tcPr>
            <w:tcW w:w="1080" w:type="dxa"/>
            <w:noWrap w:val="0"/>
            <w:vAlign w:val="top"/>
          </w:tcPr>
          <w:p w14:paraId="6580C7DB">
            <w:pPr>
              <w:topLinePunct/>
              <w:spacing w:line="400" w:lineRule="atLeast"/>
              <w:jc w:val="center"/>
              <w:rPr>
                <w:rFonts w:hint="eastAsia"/>
                <w:szCs w:val="21"/>
              </w:rPr>
            </w:pPr>
          </w:p>
        </w:tc>
      </w:tr>
      <w:tr w14:paraId="5E29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16DE5CB">
            <w:pPr>
              <w:topLinePunct/>
              <w:spacing w:line="400" w:lineRule="atLeast"/>
              <w:jc w:val="center"/>
              <w:rPr>
                <w:rFonts w:hint="eastAsia"/>
                <w:szCs w:val="21"/>
              </w:rPr>
            </w:pPr>
          </w:p>
        </w:tc>
        <w:tc>
          <w:tcPr>
            <w:tcW w:w="1846" w:type="dxa"/>
            <w:noWrap w:val="0"/>
            <w:vAlign w:val="top"/>
          </w:tcPr>
          <w:p w14:paraId="778F1CD2">
            <w:pPr>
              <w:topLinePunct/>
              <w:spacing w:line="400" w:lineRule="atLeast"/>
              <w:jc w:val="center"/>
              <w:rPr>
                <w:rFonts w:hint="eastAsia"/>
                <w:szCs w:val="21"/>
              </w:rPr>
            </w:pPr>
          </w:p>
        </w:tc>
        <w:tc>
          <w:tcPr>
            <w:tcW w:w="1394" w:type="dxa"/>
            <w:noWrap w:val="0"/>
            <w:vAlign w:val="top"/>
          </w:tcPr>
          <w:p w14:paraId="13DE8743">
            <w:pPr>
              <w:topLinePunct/>
              <w:spacing w:line="400" w:lineRule="atLeast"/>
              <w:jc w:val="center"/>
              <w:rPr>
                <w:rFonts w:hint="eastAsia"/>
                <w:szCs w:val="21"/>
              </w:rPr>
            </w:pPr>
          </w:p>
        </w:tc>
        <w:tc>
          <w:tcPr>
            <w:tcW w:w="1080" w:type="dxa"/>
            <w:noWrap w:val="0"/>
            <w:vAlign w:val="top"/>
          </w:tcPr>
          <w:p w14:paraId="6828EA9F">
            <w:pPr>
              <w:topLinePunct/>
              <w:spacing w:line="400" w:lineRule="atLeast"/>
              <w:jc w:val="center"/>
              <w:rPr>
                <w:rFonts w:hint="eastAsia"/>
                <w:szCs w:val="21"/>
              </w:rPr>
            </w:pPr>
          </w:p>
        </w:tc>
        <w:tc>
          <w:tcPr>
            <w:tcW w:w="1112" w:type="dxa"/>
            <w:noWrap w:val="0"/>
            <w:vAlign w:val="top"/>
          </w:tcPr>
          <w:p w14:paraId="56837464">
            <w:pPr>
              <w:topLinePunct/>
              <w:spacing w:line="400" w:lineRule="atLeast"/>
              <w:jc w:val="center"/>
              <w:rPr>
                <w:rFonts w:hint="eastAsia"/>
                <w:szCs w:val="21"/>
              </w:rPr>
            </w:pPr>
          </w:p>
        </w:tc>
        <w:tc>
          <w:tcPr>
            <w:tcW w:w="1778" w:type="dxa"/>
            <w:noWrap w:val="0"/>
            <w:vAlign w:val="top"/>
          </w:tcPr>
          <w:p w14:paraId="7E963BB0">
            <w:pPr>
              <w:topLinePunct/>
              <w:spacing w:line="400" w:lineRule="atLeast"/>
              <w:jc w:val="center"/>
              <w:rPr>
                <w:rFonts w:hint="eastAsia"/>
                <w:szCs w:val="21"/>
              </w:rPr>
            </w:pPr>
          </w:p>
        </w:tc>
        <w:tc>
          <w:tcPr>
            <w:tcW w:w="1080" w:type="dxa"/>
            <w:noWrap w:val="0"/>
            <w:vAlign w:val="top"/>
          </w:tcPr>
          <w:p w14:paraId="10D6CB89">
            <w:pPr>
              <w:topLinePunct/>
              <w:spacing w:line="400" w:lineRule="atLeast"/>
              <w:jc w:val="center"/>
              <w:rPr>
                <w:rFonts w:hint="eastAsia"/>
                <w:szCs w:val="21"/>
              </w:rPr>
            </w:pPr>
          </w:p>
        </w:tc>
      </w:tr>
      <w:tr w14:paraId="2313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E3E7027">
            <w:pPr>
              <w:topLinePunct/>
              <w:spacing w:line="400" w:lineRule="atLeast"/>
              <w:jc w:val="center"/>
              <w:rPr>
                <w:rFonts w:hint="eastAsia"/>
                <w:szCs w:val="21"/>
              </w:rPr>
            </w:pPr>
          </w:p>
        </w:tc>
        <w:tc>
          <w:tcPr>
            <w:tcW w:w="1846" w:type="dxa"/>
            <w:noWrap w:val="0"/>
            <w:vAlign w:val="top"/>
          </w:tcPr>
          <w:p w14:paraId="278C4324">
            <w:pPr>
              <w:topLinePunct/>
              <w:spacing w:line="400" w:lineRule="atLeast"/>
              <w:jc w:val="center"/>
              <w:rPr>
                <w:rFonts w:hint="eastAsia"/>
                <w:szCs w:val="21"/>
              </w:rPr>
            </w:pPr>
          </w:p>
        </w:tc>
        <w:tc>
          <w:tcPr>
            <w:tcW w:w="1394" w:type="dxa"/>
            <w:noWrap w:val="0"/>
            <w:vAlign w:val="top"/>
          </w:tcPr>
          <w:p w14:paraId="436F2679">
            <w:pPr>
              <w:topLinePunct/>
              <w:spacing w:line="400" w:lineRule="atLeast"/>
              <w:jc w:val="center"/>
              <w:rPr>
                <w:rFonts w:hint="eastAsia"/>
                <w:szCs w:val="21"/>
              </w:rPr>
            </w:pPr>
          </w:p>
        </w:tc>
        <w:tc>
          <w:tcPr>
            <w:tcW w:w="1080" w:type="dxa"/>
            <w:noWrap w:val="0"/>
            <w:vAlign w:val="top"/>
          </w:tcPr>
          <w:p w14:paraId="4E0AC879">
            <w:pPr>
              <w:topLinePunct/>
              <w:spacing w:line="400" w:lineRule="atLeast"/>
              <w:jc w:val="center"/>
              <w:rPr>
                <w:rFonts w:hint="eastAsia"/>
                <w:szCs w:val="21"/>
              </w:rPr>
            </w:pPr>
          </w:p>
        </w:tc>
        <w:tc>
          <w:tcPr>
            <w:tcW w:w="1112" w:type="dxa"/>
            <w:noWrap w:val="0"/>
            <w:vAlign w:val="top"/>
          </w:tcPr>
          <w:p w14:paraId="6C3EF2B3">
            <w:pPr>
              <w:topLinePunct/>
              <w:spacing w:line="400" w:lineRule="atLeast"/>
              <w:jc w:val="center"/>
              <w:rPr>
                <w:rFonts w:hint="eastAsia"/>
                <w:szCs w:val="21"/>
              </w:rPr>
            </w:pPr>
          </w:p>
        </w:tc>
        <w:tc>
          <w:tcPr>
            <w:tcW w:w="1778" w:type="dxa"/>
            <w:noWrap w:val="0"/>
            <w:vAlign w:val="top"/>
          </w:tcPr>
          <w:p w14:paraId="34977849">
            <w:pPr>
              <w:topLinePunct/>
              <w:spacing w:line="400" w:lineRule="atLeast"/>
              <w:jc w:val="center"/>
              <w:rPr>
                <w:rFonts w:hint="eastAsia"/>
                <w:szCs w:val="21"/>
              </w:rPr>
            </w:pPr>
          </w:p>
        </w:tc>
        <w:tc>
          <w:tcPr>
            <w:tcW w:w="1080" w:type="dxa"/>
            <w:noWrap w:val="0"/>
            <w:vAlign w:val="top"/>
          </w:tcPr>
          <w:p w14:paraId="209D5CE8">
            <w:pPr>
              <w:topLinePunct/>
              <w:spacing w:line="400" w:lineRule="atLeast"/>
              <w:jc w:val="center"/>
              <w:rPr>
                <w:rFonts w:hint="eastAsia"/>
                <w:szCs w:val="21"/>
              </w:rPr>
            </w:pPr>
          </w:p>
        </w:tc>
      </w:tr>
      <w:tr w14:paraId="1146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BFE4E34">
            <w:pPr>
              <w:topLinePunct/>
              <w:spacing w:line="400" w:lineRule="atLeast"/>
              <w:jc w:val="center"/>
              <w:rPr>
                <w:rFonts w:hint="eastAsia"/>
                <w:szCs w:val="21"/>
              </w:rPr>
            </w:pPr>
          </w:p>
        </w:tc>
        <w:tc>
          <w:tcPr>
            <w:tcW w:w="1846" w:type="dxa"/>
            <w:noWrap w:val="0"/>
            <w:vAlign w:val="top"/>
          </w:tcPr>
          <w:p w14:paraId="238EAC16">
            <w:pPr>
              <w:topLinePunct/>
              <w:spacing w:line="400" w:lineRule="atLeast"/>
              <w:jc w:val="center"/>
              <w:rPr>
                <w:rFonts w:hint="eastAsia"/>
                <w:szCs w:val="21"/>
              </w:rPr>
            </w:pPr>
          </w:p>
        </w:tc>
        <w:tc>
          <w:tcPr>
            <w:tcW w:w="1394" w:type="dxa"/>
            <w:noWrap w:val="0"/>
            <w:vAlign w:val="top"/>
          </w:tcPr>
          <w:p w14:paraId="4D9744C1">
            <w:pPr>
              <w:topLinePunct/>
              <w:spacing w:line="400" w:lineRule="atLeast"/>
              <w:jc w:val="center"/>
              <w:rPr>
                <w:rFonts w:hint="eastAsia"/>
                <w:szCs w:val="21"/>
              </w:rPr>
            </w:pPr>
          </w:p>
        </w:tc>
        <w:tc>
          <w:tcPr>
            <w:tcW w:w="1080" w:type="dxa"/>
            <w:noWrap w:val="0"/>
            <w:vAlign w:val="top"/>
          </w:tcPr>
          <w:p w14:paraId="22E97FE1">
            <w:pPr>
              <w:topLinePunct/>
              <w:spacing w:line="400" w:lineRule="atLeast"/>
              <w:jc w:val="center"/>
              <w:rPr>
                <w:rFonts w:hint="eastAsia"/>
                <w:szCs w:val="21"/>
              </w:rPr>
            </w:pPr>
          </w:p>
        </w:tc>
        <w:tc>
          <w:tcPr>
            <w:tcW w:w="1112" w:type="dxa"/>
            <w:noWrap w:val="0"/>
            <w:vAlign w:val="top"/>
          </w:tcPr>
          <w:p w14:paraId="482D20E7">
            <w:pPr>
              <w:topLinePunct/>
              <w:spacing w:line="400" w:lineRule="atLeast"/>
              <w:jc w:val="center"/>
              <w:rPr>
                <w:rFonts w:hint="eastAsia"/>
                <w:szCs w:val="21"/>
              </w:rPr>
            </w:pPr>
          </w:p>
        </w:tc>
        <w:tc>
          <w:tcPr>
            <w:tcW w:w="1778" w:type="dxa"/>
            <w:noWrap w:val="0"/>
            <w:vAlign w:val="top"/>
          </w:tcPr>
          <w:p w14:paraId="5D7ACB12">
            <w:pPr>
              <w:topLinePunct/>
              <w:spacing w:line="400" w:lineRule="atLeast"/>
              <w:jc w:val="center"/>
              <w:rPr>
                <w:rFonts w:hint="eastAsia"/>
                <w:szCs w:val="21"/>
              </w:rPr>
            </w:pPr>
          </w:p>
        </w:tc>
        <w:tc>
          <w:tcPr>
            <w:tcW w:w="1080" w:type="dxa"/>
            <w:noWrap w:val="0"/>
            <w:vAlign w:val="top"/>
          </w:tcPr>
          <w:p w14:paraId="1EF5921A">
            <w:pPr>
              <w:topLinePunct/>
              <w:spacing w:line="400" w:lineRule="atLeast"/>
              <w:jc w:val="center"/>
              <w:rPr>
                <w:rFonts w:hint="eastAsia"/>
                <w:szCs w:val="21"/>
              </w:rPr>
            </w:pPr>
          </w:p>
        </w:tc>
      </w:tr>
    </w:tbl>
    <w:p w14:paraId="509C3D1A"/>
    <w:p w14:paraId="349CB004">
      <w:pPr>
        <w:rPr>
          <w:rFonts w:hint="eastAsia"/>
          <w:szCs w:val="24"/>
        </w:rPr>
      </w:pPr>
      <w:r>
        <w:rPr>
          <w:rFonts w:hint="eastAsia"/>
          <w:szCs w:val="24"/>
        </w:rPr>
        <w:br w:type="page"/>
      </w:r>
    </w:p>
    <w:p w14:paraId="2E671D08">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rPr>
      </w:pPr>
      <w:bookmarkStart w:id="2307" w:name="_Toc122603094"/>
      <w:r>
        <w:rPr>
          <w:rFonts w:hint="eastAsia" w:ascii="黑体" w:hAnsi="黑体" w:eastAsia="黑体" w:cs="黑体"/>
          <w:sz w:val="24"/>
          <w:szCs w:val="24"/>
        </w:rPr>
        <w:t>近年完成的类似项目情况表</w:t>
      </w:r>
      <w:bookmarkEnd w:id="230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3C3D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23D74B0">
            <w:pPr>
              <w:jc w:val="center"/>
              <w:rPr>
                <w:rFonts w:ascii="宋体" w:hAnsi="宋体"/>
                <w:szCs w:val="21"/>
              </w:rPr>
            </w:pPr>
            <w:r>
              <w:rPr>
                <w:rFonts w:hint="eastAsia" w:ascii="宋体" w:hAnsi="宋体"/>
                <w:szCs w:val="21"/>
              </w:rPr>
              <w:t>项目名称</w:t>
            </w:r>
          </w:p>
        </w:tc>
        <w:tc>
          <w:tcPr>
            <w:tcW w:w="6094" w:type="dxa"/>
            <w:vAlign w:val="center"/>
          </w:tcPr>
          <w:p w14:paraId="2A98C3B8">
            <w:pPr>
              <w:jc w:val="center"/>
              <w:rPr>
                <w:rFonts w:ascii="宋体" w:hAnsi="宋体"/>
                <w:szCs w:val="21"/>
              </w:rPr>
            </w:pPr>
          </w:p>
        </w:tc>
      </w:tr>
      <w:tr w14:paraId="4C04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A671C4D">
            <w:pPr>
              <w:jc w:val="center"/>
              <w:rPr>
                <w:rFonts w:ascii="宋体" w:hAnsi="宋体"/>
                <w:szCs w:val="21"/>
              </w:rPr>
            </w:pPr>
            <w:r>
              <w:rPr>
                <w:rFonts w:hint="eastAsia" w:ascii="宋体" w:hAnsi="宋体"/>
                <w:szCs w:val="21"/>
              </w:rPr>
              <w:t>项目所在地</w:t>
            </w:r>
          </w:p>
        </w:tc>
        <w:tc>
          <w:tcPr>
            <w:tcW w:w="6094" w:type="dxa"/>
            <w:vAlign w:val="center"/>
          </w:tcPr>
          <w:p w14:paraId="104436C7">
            <w:pPr>
              <w:jc w:val="center"/>
              <w:rPr>
                <w:rFonts w:ascii="宋体" w:hAnsi="宋体"/>
                <w:szCs w:val="21"/>
              </w:rPr>
            </w:pPr>
          </w:p>
        </w:tc>
      </w:tr>
      <w:tr w14:paraId="24BF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BFC3D9B">
            <w:pPr>
              <w:jc w:val="center"/>
              <w:rPr>
                <w:rFonts w:ascii="宋体" w:hAnsi="宋体"/>
                <w:szCs w:val="21"/>
              </w:rPr>
            </w:pPr>
            <w:r>
              <w:rPr>
                <w:rFonts w:hint="eastAsia" w:ascii="宋体" w:hAnsi="宋体"/>
                <w:szCs w:val="21"/>
              </w:rPr>
              <w:t>发包人名称</w:t>
            </w:r>
          </w:p>
        </w:tc>
        <w:tc>
          <w:tcPr>
            <w:tcW w:w="6094" w:type="dxa"/>
            <w:vAlign w:val="center"/>
          </w:tcPr>
          <w:p w14:paraId="06127F1C">
            <w:pPr>
              <w:jc w:val="center"/>
              <w:rPr>
                <w:rFonts w:ascii="宋体" w:hAnsi="宋体"/>
                <w:szCs w:val="21"/>
              </w:rPr>
            </w:pPr>
          </w:p>
        </w:tc>
      </w:tr>
      <w:tr w14:paraId="72D3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764A2C2">
            <w:pPr>
              <w:jc w:val="center"/>
              <w:rPr>
                <w:rFonts w:ascii="宋体" w:hAnsi="宋体"/>
                <w:szCs w:val="21"/>
              </w:rPr>
            </w:pPr>
            <w:r>
              <w:rPr>
                <w:rFonts w:hint="eastAsia" w:ascii="宋体" w:hAnsi="宋体"/>
                <w:szCs w:val="21"/>
              </w:rPr>
              <w:t>发包人地址</w:t>
            </w:r>
          </w:p>
        </w:tc>
        <w:tc>
          <w:tcPr>
            <w:tcW w:w="6094" w:type="dxa"/>
            <w:vAlign w:val="center"/>
          </w:tcPr>
          <w:p w14:paraId="5033A54D">
            <w:pPr>
              <w:jc w:val="center"/>
              <w:rPr>
                <w:rFonts w:ascii="宋体" w:hAnsi="宋体"/>
                <w:szCs w:val="21"/>
              </w:rPr>
            </w:pPr>
          </w:p>
        </w:tc>
      </w:tr>
      <w:tr w14:paraId="26D4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577E0ED">
            <w:pPr>
              <w:jc w:val="center"/>
              <w:rPr>
                <w:rFonts w:ascii="宋体" w:hAnsi="宋体"/>
                <w:szCs w:val="21"/>
              </w:rPr>
            </w:pPr>
            <w:r>
              <w:rPr>
                <w:rFonts w:hint="eastAsia" w:ascii="宋体" w:hAnsi="宋体"/>
                <w:szCs w:val="21"/>
              </w:rPr>
              <w:t>发包人联系人及电话</w:t>
            </w:r>
          </w:p>
        </w:tc>
        <w:tc>
          <w:tcPr>
            <w:tcW w:w="6094" w:type="dxa"/>
            <w:vAlign w:val="center"/>
          </w:tcPr>
          <w:p w14:paraId="7841D9EE">
            <w:pPr>
              <w:jc w:val="center"/>
              <w:rPr>
                <w:rFonts w:ascii="宋体" w:hAnsi="宋体"/>
                <w:szCs w:val="21"/>
              </w:rPr>
            </w:pPr>
          </w:p>
        </w:tc>
      </w:tr>
      <w:tr w14:paraId="2DBA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CB0572">
            <w:pPr>
              <w:jc w:val="center"/>
              <w:rPr>
                <w:rFonts w:hint="eastAsia" w:ascii="宋体" w:hAnsi="宋体"/>
                <w:szCs w:val="21"/>
              </w:rPr>
            </w:pPr>
            <w:r>
              <w:rPr>
                <w:rFonts w:hint="eastAsia" w:ascii="宋体" w:hAnsi="宋体"/>
                <w:szCs w:val="21"/>
              </w:rPr>
              <w:t>合同价格</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094" w:type="dxa"/>
            <w:vAlign w:val="center"/>
          </w:tcPr>
          <w:p w14:paraId="41F1C3DE">
            <w:pPr>
              <w:jc w:val="center"/>
              <w:rPr>
                <w:rFonts w:ascii="宋体" w:hAnsi="宋体"/>
                <w:szCs w:val="21"/>
              </w:rPr>
            </w:pPr>
          </w:p>
        </w:tc>
      </w:tr>
      <w:tr w14:paraId="01AB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D530120">
            <w:pPr>
              <w:jc w:val="center"/>
              <w:rPr>
                <w:rFonts w:ascii="宋体" w:hAnsi="宋体"/>
                <w:szCs w:val="21"/>
              </w:rPr>
            </w:pPr>
            <w:r>
              <w:rPr>
                <w:rFonts w:hint="eastAsia" w:ascii="宋体" w:hAnsi="宋体"/>
                <w:szCs w:val="21"/>
              </w:rPr>
              <w:t>开工日期</w:t>
            </w:r>
          </w:p>
        </w:tc>
        <w:tc>
          <w:tcPr>
            <w:tcW w:w="6094" w:type="dxa"/>
            <w:vAlign w:val="center"/>
          </w:tcPr>
          <w:p w14:paraId="343130D6">
            <w:pPr>
              <w:jc w:val="center"/>
              <w:rPr>
                <w:rFonts w:ascii="宋体" w:hAnsi="宋体"/>
                <w:szCs w:val="21"/>
              </w:rPr>
            </w:pPr>
          </w:p>
        </w:tc>
      </w:tr>
      <w:tr w14:paraId="54A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C44351F">
            <w:pPr>
              <w:jc w:val="center"/>
              <w:rPr>
                <w:rFonts w:ascii="宋体" w:hAnsi="宋体"/>
                <w:szCs w:val="21"/>
              </w:rPr>
            </w:pPr>
            <w:r>
              <w:rPr>
                <w:rFonts w:hint="eastAsia" w:ascii="宋体" w:hAnsi="宋体"/>
                <w:szCs w:val="21"/>
              </w:rPr>
              <w:t>竣工日期</w:t>
            </w:r>
          </w:p>
        </w:tc>
        <w:tc>
          <w:tcPr>
            <w:tcW w:w="6094" w:type="dxa"/>
            <w:vAlign w:val="center"/>
          </w:tcPr>
          <w:p w14:paraId="3A27134D">
            <w:pPr>
              <w:jc w:val="center"/>
              <w:rPr>
                <w:rFonts w:ascii="宋体" w:hAnsi="宋体"/>
                <w:szCs w:val="21"/>
              </w:rPr>
            </w:pPr>
          </w:p>
        </w:tc>
      </w:tr>
      <w:tr w14:paraId="638C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579630E">
            <w:pPr>
              <w:jc w:val="center"/>
              <w:rPr>
                <w:rFonts w:ascii="宋体" w:hAnsi="宋体"/>
                <w:szCs w:val="21"/>
              </w:rPr>
            </w:pPr>
            <w:r>
              <w:rPr>
                <w:rFonts w:hint="eastAsia" w:ascii="宋体" w:hAnsi="宋体"/>
                <w:szCs w:val="21"/>
              </w:rPr>
              <w:t>承担的工作</w:t>
            </w:r>
          </w:p>
        </w:tc>
        <w:tc>
          <w:tcPr>
            <w:tcW w:w="6094" w:type="dxa"/>
            <w:vAlign w:val="center"/>
          </w:tcPr>
          <w:p w14:paraId="4FCB7D29">
            <w:pPr>
              <w:jc w:val="center"/>
              <w:rPr>
                <w:rFonts w:ascii="宋体" w:hAnsi="宋体"/>
                <w:szCs w:val="21"/>
              </w:rPr>
            </w:pPr>
          </w:p>
        </w:tc>
      </w:tr>
      <w:tr w14:paraId="5126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618B8D4">
            <w:pPr>
              <w:jc w:val="center"/>
              <w:rPr>
                <w:rFonts w:ascii="宋体" w:hAnsi="宋体"/>
                <w:szCs w:val="21"/>
              </w:rPr>
            </w:pPr>
            <w:r>
              <w:rPr>
                <w:rFonts w:hint="eastAsia" w:ascii="宋体" w:hAnsi="宋体"/>
                <w:szCs w:val="21"/>
              </w:rPr>
              <w:t>工程质量</w:t>
            </w:r>
          </w:p>
        </w:tc>
        <w:tc>
          <w:tcPr>
            <w:tcW w:w="6094" w:type="dxa"/>
            <w:vAlign w:val="center"/>
          </w:tcPr>
          <w:p w14:paraId="67892842">
            <w:pPr>
              <w:jc w:val="center"/>
              <w:rPr>
                <w:rFonts w:ascii="宋体" w:hAnsi="宋体"/>
                <w:szCs w:val="21"/>
              </w:rPr>
            </w:pPr>
          </w:p>
        </w:tc>
      </w:tr>
      <w:tr w14:paraId="007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FA2DE37">
            <w:pPr>
              <w:jc w:val="center"/>
              <w:rPr>
                <w:rFonts w:ascii="宋体" w:hAnsi="宋体"/>
                <w:szCs w:val="21"/>
              </w:rPr>
            </w:pPr>
            <w:r>
              <w:rPr>
                <w:rFonts w:hint="eastAsia" w:ascii="宋体" w:hAnsi="宋体"/>
                <w:szCs w:val="21"/>
              </w:rPr>
              <w:t>项目经理</w:t>
            </w:r>
          </w:p>
        </w:tc>
        <w:tc>
          <w:tcPr>
            <w:tcW w:w="6094" w:type="dxa"/>
            <w:vAlign w:val="center"/>
          </w:tcPr>
          <w:p w14:paraId="566634C0">
            <w:pPr>
              <w:jc w:val="center"/>
              <w:rPr>
                <w:rFonts w:ascii="宋体" w:hAnsi="宋体"/>
                <w:szCs w:val="21"/>
              </w:rPr>
            </w:pPr>
          </w:p>
        </w:tc>
      </w:tr>
      <w:tr w14:paraId="7706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9B4A981">
            <w:pPr>
              <w:jc w:val="center"/>
              <w:rPr>
                <w:rFonts w:ascii="宋体" w:hAnsi="宋体"/>
                <w:szCs w:val="21"/>
              </w:rPr>
            </w:pPr>
            <w:r>
              <w:rPr>
                <w:rFonts w:hint="eastAsia" w:ascii="宋体" w:hAnsi="宋体"/>
                <w:szCs w:val="21"/>
              </w:rPr>
              <w:t>技术负责人</w:t>
            </w:r>
          </w:p>
        </w:tc>
        <w:tc>
          <w:tcPr>
            <w:tcW w:w="6094" w:type="dxa"/>
            <w:vAlign w:val="center"/>
          </w:tcPr>
          <w:p w14:paraId="3DFB353E">
            <w:pPr>
              <w:jc w:val="center"/>
              <w:rPr>
                <w:rFonts w:ascii="宋体" w:hAnsi="宋体"/>
                <w:szCs w:val="21"/>
              </w:rPr>
            </w:pPr>
          </w:p>
        </w:tc>
      </w:tr>
      <w:tr w14:paraId="01D7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ACFC47A">
            <w:pPr>
              <w:jc w:val="center"/>
              <w:rPr>
                <w:rFonts w:ascii="宋体" w:hAnsi="宋体"/>
                <w:szCs w:val="21"/>
              </w:rPr>
            </w:pPr>
            <w:r>
              <w:rPr>
                <w:rFonts w:hint="eastAsia" w:ascii="宋体" w:hAnsi="宋体"/>
                <w:szCs w:val="21"/>
              </w:rPr>
              <w:t>总监理工程师及电话</w:t>
            </w:r>
          </w:p>
        </w:tc>
        <w:tc>
          <w:tcPr>
            <w:tcW w:w="6094" w:type="dxa"/>
            <w:vAlign w:val="center"/>
          </w:tcPr>
          <w:p w14:paraId="6685C381">
            <w:pPr>
              <w:jc w:val="center"/>
              <w:rPr>
                <w:rFonts w:ascii="宋体" w:hAnsi="宋体"/>
                <w:szCs w:val="21"/>
              </w:rPr>
            </w:pPr>
          </w:p>
        </w:tc>
      </w:tr>
      <w:tr w14:paraId="1FE7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7B29F08E">
            <w:pPr>
              <w:jc w:val="center"/>
              <w:rPr>
                <w:rFonts w:ascii="宋体" w:hAnsi="宋体"/>
                <w:szCs w:val="21"/>
              </w:rPr>
            </w:pPr>
            <w:r>
              <w:rPr>
                <w:rFonts w:hint="eastAsia" w:ascii="宋体" w:hAnsi="宋体"/>
                <w:szCs w:val="21"/>
              </w:rPr>
              <w:t>项目描述</w:t>
            </w:r>
          </w:p>
        </w:tc>
        <w:tc>
          <w:tcPr>
            <w:tcW w:w="6094" w:type="dxa"/>
            <w:vAlign w:val="center"/>
          </w:tcPr>
          <w:p w14:paraId="6C53F765">
            <w:pPr>
              <w:jc w:val="center"/>
              <w:rPr>
                <w:rFonts w:ascii="宋体" w:hAnsi="宋体"/>
                <w:szCs w:val="21"/>
              </w:rPr>
            </w:pPr>
          </w:p>
        </w:tc>
      </w:tr>
      <w:tr w14:paraId="439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08A1997">
            <w:pPr>
              <w:jc w:val="center"/>
              <w:rPr>
                <w:rFonts w:ascii="宋体" w:hAnsi="宋体"/>
                <w:szCs w:val="21"/>
              </w:rPr>
            </w:pPr>
            <w:r>
              <w:rPr>
                <w:rFonts w:hint="eastAsia" w:ascii="宋体" w:hAnsi="宋体"/>
                <w:szCs w:val="21"/>
              </w:rPr>
              <w:t>备注</w:t>
            </w:r>
          </w:p>
        </w:tc>
        <w:tc>
          <w:tcPr>
            <w:tcW w:w="6094" w:type="dxa"/>
            <w:vAlign w:val="center"/>
          </w:tcPr>
          <w:p w14:paraId="07DA5EE4">
            <w:pPr>
              <w:jc w:val="center"/>
              <w:rPr>
                <w:rFonts w:ascii="宋体" w:hAnsi="宋体"/>
                <w:szCs w:val="21"/>
              </w:rPr>
            </w:pPr>
          </w:p>
        </w:tc>
      </w:tr>
    </w:tbl>
    <w:p w14:paraId="546C94B7">
      <w:pPr>
        <w:ind w:left="945" w:leftChars="150" w:hanging="630" w:hangingChars="300"/>
        <w:rPr>
          <w:rFonts w:hint="eastAsia" w:ascii="宋体" w:hAnsi="宋体"/>
        </w:rPr>
      </w:pPr>
      <w:r>
        <w:rPr>
          <w:rFonts w:hint="eastAsia" w:ascii="宋体" w:hAnsi="宋体"/>
        </w:rPr>
        <w:t>备注：1.类似项目含义和近年具体要求见投标人须知前附表，</w:t>
      </w:r>
    </w:p>
    <w:p w14:paraId="2B32A621">
      <w:pPr>
        <w:ind w:left="945" w:leftChars="450" w:firstLine="0" w:firstLineChars="0"/>
      </w:pPr>
      <w:r>
        <w:rPr>
          <w:rFonts w:hint="eastAsia" w:ascii="宋体" w:hAnsi="宋体"/>
        </w:rPr>
        <w:t>2.本表后附业绩材料。每张表格只填写一个项目，并标明序号。</w:t>
      </w:r>
    </w:p>
    <w:p w14:paraId="0733F3D7">
      <w:pPr>
        <w:pStyle w:val="25"/>
        <w:jc w:val="center"/>
        <w:rPr>
          <w:rFonts w:hint="eastAsia"/>
          <w:szCs w:val="24"/>
        </w:rPr>
        <w:sectPr>
          <w:footerReference r:id="rId43" w:type="default"/>
          <w:pgSz w:w="11906" w:h="16838"/>
          <w:pgMar w:top="1440" w:right="1800" w:bottom="1440" w:left="1800" w:header="851" w:footer="992" w:gutter="0"/>
          <w:pgNumType w:fmt="decimal"/>
          <w:cols w:space="425" w:num="1"/>
          <w:docGrid w:type="lines" w:linePitch="312" w:charSpace="0"/>
        </w:sectPr>
      </w:pPr>
    </w:p>
    <w:p w14:paraId="50FC4DFD">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rPr>
      </w:pPr>
      <w:bookmarkStart w:id="2308" w:name="_Toc122603095"/>
      <w:bookmarkStart w:id="2309" w:name="_Toc256000429"/>
      <w:r>
        <w:rPr>
          <w:rFonts w:hint="eastAsia"/>
          <w:szCs w:val="24"/>
          <w:lang w:eastAsia="zh-CN"/>
        </w:rPr>
        <w:t>（</w:t>
      </w:r>
      <w:r>
        <w:rPr>
          <w:rFonts w:hint="default"/>
          <w:szCs w:val="24"/>
        </w:rPr>
        <w:t>四</w:t>
      </w:r>
      <w:r>
        <w:rPr>
          <w:rFonts w:hint="eastAsia"/>
          <w:szCs w:val="24"/>
          <w:lang w:eastAsia="zh-CN"/>
        </w:rPr>
        <w:t>）</w:t>
      </w:r>
      <w:r>
        <w:rPr>
          <w:rFonts w:hint="eastAsia"/>
          <w:szCs w:val="24"/>
        </w:rPr>
        <w:t>正在施工的和新承接的项目情况</w:t>
      </w:r>
      <w:bookmarkEnd w:id="2308"/>
      <w:bookmarkEnd w:id="2309"/>
    </w:p>
    <w:p w14:paraId="09172420">
      <w:pPr>
        <w:bidi w:val="0"/>
        <w:spacing w:before="156" w:beforeLines="50" w:after="156" w:afterLines="50"/>
        <w:jc w:val="center"/>
        <w:rPr>
          <w:rFonts w:hint="eastAsia" w:ascii="黑体" w:hAnsi="黑体" w:eastAsia="黑体" w:cs="黑体"/>
          <w:sz w:val="24"/>
          <w:szCs w:val="24"/>
        </w:rPr>
      </w:pPr>
      <w:bookmarkStart w:id="2310" w:name="_Toc122603096"/>
      <w:r>
        <w:rPr>
          <w:rFonts w:hint="eastAsia" w:ascii="黑体" w:hAnsi="黑体" w:eastAsia="黑体" w:cs="黑体"/>
          <w:sz w:val="24"/>
          <w:szCs w:val="24"/>
        </w:rPr>
        <w:t>正在施工的和新承接的项目汇总表</w:t>
      </w:r>
      <w:bookmarkEnd w:id="2310"/>
    </w:p>
    <w:tbl>
      <w:tblPr>
        <w:tblStyle w:val="1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2799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374E9AF9">
            <w:pPr>
              <w:topLinePunct/>
              <w:spacing w:line="400" w:lineRule="atLeast"/>
              <w:jc w:val="center"/>
              <w:rPr>
                <w:rFonts w:hint="eastAsia"/>
                <w:szCs w:val="21"/>
              </w:rPr>
            </w:pPr>
            <w:r>
              <w:rPr>
                <w:rFonts w:hint="eastAsia"/>
                <w:szCs w:val="21"/>
              </w:rPr>
              <w:t>序号</w:t>
            </w:r>
          </w:p>
        </w:tc>
        <w:tc>
          <w:tcPr>
            <w:tcW w:w="1846" w:type="dxa"/>
            <w:noWrap w:val="0"/>
            <w:vAlign w:val="center"/>
          </w:tcPr>
          <w:p w14:paraId="7021A727">
            <w:pPr>
              <w:topLinePunct/>
              <w:spacing w:line="400" w:lineRule="atLeast"/>
              <w:jc w:val="center"/>
              <w:rPr>
                <w:rFonts w:hint="eastAsia"/>
                <w:szCs w:val="21"/>
              </w:rPr>
            </w:pPr>
            <w:r>
              <w:rPr>
                <w:rFonts w:hint="eastAsia"/>
                <w:szCs w:val="21"/>
              </w:rPr>
              <w:t>项目名称</w:t>
            </w:r>
          </w:p>
        </w:tc>
        <w:tc>
          <w:tcPr>
            <w:tcW w:w="1394" w:type="dxa"/>
            <w:noWrap w:val="0"/>
            <w:vAlign w:val="center"/>
          </w:tcPr>
          <w:p w14:paraId="141C14F9">
            <w:pPr>
              <w:topLinePunct/>
              <w:spacing w:line="400" w:lineRule="atLeast"/>
              <w:jc w:val="center"/>
              <w:rPr>
                <w:rFonts w:hint="eastAsia"/>
                <w:szCs w:val="21"/>
              </w:rPr>
            </w:pPr>
            <w:r>
              <w:rPr>
                <w:rFonts w:hint="eastAsia" w:ascii="宋体" w:hAnsi="宋体"/>
                <w:szCs w:val="21"/>
              </w:rPr>
              <w:t>发包人名称</w:t>
            </w:r>
          </w:p>
        </w:tc>
        <w:tc>
          <w:tcPr>
            <w:tcW w:w="1080" w:type="dxa"/>
            <w:noWrap w:val="0"/>
            <w:vAlign w:val="center"/>
          </w:tcPr>
          <w:p w14:paraId="46E4C50B">
            <w:pPr>
              <w:topLinePunct/>
              <w:spacing w:line="400" w:lineRule="atLeast"/>
              <w:jc w:val="center"/>
              <w:rPr>
                <w:rFonts w:hint="eastAsia"/>
                <w:szCs w:val="21"/>
              </w:rPr>
            </w:pPr>
            <w:r>
              <w:rPr>
                <w:rFonts w:hint="eastAsia"/>
                <w:szCs w:val="21"/>
              </w:rPr>
              <w:t>工程规模</w:t>
            </w:r>
          </w:p>
        </w:tc>
        <w:tc>
          <w:tcPr>
            <w:tcW w:w="1112" w:type="dxa"/>
            <w:noWrap w:val="0"/>
            <w:vAlign w:val="center"/>
          </w:tcPr>
          <w:p w14:paraId="592FFDC0">
            <w:pPr>
              <w:topLinePunct/>
              <w:spacing w:line="400" w:lineRule="atLeast"/>
              <w:jc w:val="center"/>
              <w:rPr>
                <w:rFonts w:hint="eastAsia"/>
                <w:szCs w:val="21"/>
              </w:rPr>
            </w:pPr>
            <w:r>
              <w:rPr>
                <w:rFonts w:hint="eastAsia" w:ascii="宋体" w:hAnsi="宋体"/>
                <w:szCs w:val="21"/>
              </w:rPr>
              <w:t>合同价格</w:t>
            </w:r>
            <w:r>
              <w:rPr>
                <w:rFonts w:hint="eastAsia"/>
                <w:szCs w:val="21"/>
              </w:rPr>
              <w:t>（元）</w:t>
            </w:r>
          </w:p>
        </w:tc>
        <w:tc>
          <w:tcPr>
            <w:tcW w:w="1778" w:type="dxa"/>
            <w:noWrap w:val="0"/>
            <w:vAlign w:val="center"/>
          </w:tcPr>
          <w:p w14:paraId="0AD7B4FF">
            <w:pPr>
              <w:topLinePunct/>
              <w:spacing w:line="400" w:lineRule="atLeast"/>
              <w:jc w:val="center"/>
              <w:rPr>
                <w:rFonts w:hint="eastAsia" w:ascii="宋体" w:hAnsi="宋体"/>
                <w:szCs w:val="21"/>
              </w:rPr>
            </w:pPr>
            <w:r>
              <w:rPr>
                <w:rFonts w:hint="eastAsia" w:ascii="宋体" w:hAnsi="宋体"/>
                <w:szCs w:val="21"/>
              </w:rPr>
              <w:t>计划开、竣</w:t>
            </w:r>
          </w:p>
          <w:p w14:paraId="5F71C2AC">
            <w:pPr>
              <w:topLinePunct/>
              <w:spacing w:line="400" w:lineRule="atLeast"/>
              <w:jc w:val="center"/>
              <w:rPr>
                <w:rFonts w:hint="eastAsia"/>
                <w:szCs w:val="21"/>
              </w:rPr>
            </w:pPr>
            <w:r>
              <w:rPr>
                <w:rFonts w:hint="eastAsia" w:ascii="宋体" w:hAnsi="宋体"/>
                <w:szCs w:val="21"/>
              </w:rPr>
              <w:t>工日期</w:t>
            </w:r>
          </w:p>
        </w:tc>
        <w:tc>
          <w:tcPr>
            <w:tcW w:w="1080" w:type="dxa"/>
            <w:noWrap w:val="0"/>
            <w:vAlign w:val="center"/>
          </w:tcPr>
          <w:p w14:paraId="33FC3E91">
            <w:pPr>
              <w:topLinePunct/>
              <w:spacing w:line="400" w:lineRule="atLeast"/>
              <w:jc w:val="center"/>
              <w:rPr>
                <w:rFonts w:hint="eastAsia"/>
                <w:szCs w:val="21"/>
              </w:rPr>
            </w:pPr>
            <w:r>
              <w:rPr>
                <w:rFonts w:hint="eastAsia" w:ascii="宋体" w:hAnsi="宋体"/>
                <w:szCs w:val="21"/>
              </w:rPr>
              <w:t>项目经理</w:t>
            </w:r>
          </w:p>
        </w:tc>
      </w:tr>
      <w:tr w14:paraId="22D6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EB4ACE6">
            <w:pPr>
              <w:topLinePunct/>
              <w:spacing w:line="400" w:lineRule="atLeast"/>
              <w:jc w:val="center"/>
              <w:rPr>
                <w:rFonts w:hint="eastAsia"/>
                <w:szCs w:val="21"/>
              </w:rPr>
            </w:pPr>
          </w:p>
        </w:tc>
        <w:tc>
          <w:tcPr>
            <w:tcW w:w="1846" w:type="dxa"/>
            <w:noWrap w:val="0"/>
            <w:vAlign w:val="top"/>
          </w:tcPr>
          <w:p w14:paraId="551336DB">
            <w:pPr>
              <w:topLinePunct/>
              <w:spacing w:line="400" w:lineRule="atLeast"/>
              <w:jc w:val="center"/>
              <w:rPr>
                <w:rFonts w:hint="eastAsia"/>
                <w:szCs w:val="21"/>
              </w:rPr>
            </w:pPr>
          </w:p>
        </w:tc>
        <w:tc>
          <w:tcPr>
            <w:tcW w:w="1394" w:type="dxa"/>
            <w:noWrap w:val="0"/>
            <w:vAlign w:val="top"/>
          </w:tcPr>
          <w:p w14:paraId="372F8E70">
            <w:pPr>
              <w:topLinePunct/>
              <w:spacing w:line="400" w:lineRule="atLeast"/>
              <w:jc w:val="center"/>
              <w:rPr>
                <w:rFonts w:hint="eastAsia"/>
                <w:szCs w:val="21"/>
              </w:rPr>
            </w:pPr>
          </w:p>
        </w:tc>
        <w:tc>
          <w:tcPr>
            <w:tcW w:w="1080" w:type="dxa"/>
            <w:noWrap w:val="0"/>
            <w:vAlign w:val="top"/>
          </w:tcPr>
          <w:p w14:paraId="321B9936">
            <w:pPr>
              <w:topLinePunct/>
              <w:spacing w:line="400" w:lineRule="atLeast"/>
              <w:jc w:val="center"/>
              <w:rPr>
                <w:rFonts w:hint="eastAsia"/>
                <w:szCs w:val="21"/>
              </w:rPr>
            </w:pPr>
          </w:p>
        </w:tc>
        <w:tc>
          <w:tcPr>
            <w:tcW w:w="1112" w:type="dxa"/>
            <w:noWrap w:val="0"/>
            <w:vAlign w:val="top"/>
          </w:tcPr>
          <w:p w14:paraId="7FC2EC07">
            <w:pPr>
              <w:topLinePunct/>
              <w:spacing w:line="400" w:lineRule="atLeast"/>
              <w:jc w:val="center"/>
              <w:rPr>
                <w:rFonts w:hint="eastAsia"/>
                <w:szCs w:val="21"/>
              </w:rPr>
            </w:pPr>
          </w:p>
        </w:tc>
        <w:tc>
          <w:tcPr>
            <w:tcW w:w="1778" w:type="dxa"/>
            <w:noWrap w:val="0"/>
            <w:vAlign w:val="top"/>
          </w:tcPr>
          <w:p w14:paraId="5C3BDF30">
            <w:pPr>
              <w:topLinePunct/>
              <w:spacing w:line="400" w:lineRule="atLeast"/>
              <w:jc w:val="center"/>
              <w:rPr>
                <w:rFonts w:hint="eastAsia"/>
                <w:szCs w:val="21"/>
              </w:rPr>
            </w:pPr>
          </w:p>
        </w:tc>
        <w:tc>
          <w:tcPr>
            <w:tcW w:w="1080" w:type="dxa"/>
            <w:noWrap w:val="0"/>
            <w:vAlign w:val="top"/>
          </w:tcPr>
          <w:p w14:paraId="6F84AC14">
            <w:pPr>
              <w:topLinePunct/>
              <w:spacing w:line="400" w:lineRule="atLeast"/>
              <w:jc w:val="center"/>
              <w:rPr>
                <w:rFonts w:hint="eastAsia"/>
                <w:szCs w:val="21"/>
              </w:rPr>
            </w:pPr>
          </w:p>
        </w:tc>
      </w:tr>
      <w:tr w14:paraId="5D9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CE88F54">
            <w:pPr>
              <w:topLinePunct/>
              <w:spacing w:line="400" w:lineRule="atLeast"/>
              <w:jc w:val="center"/>
              <w:rPr>
                <w:rFonts w:hint="eastAsia"/>
                <w:szCs w:val="21"/>
              </w:rPr>
            </w:pPr>
          </w:p>
        </w:tc>
        <w:tc>
          <w:tcPr>
            <w:tcW w:w="1846" w:type="dxa"/>
            <w:noWrap w:val="0"/>
            <w:vAlign w:val="top"/>
          </w:tcPr>
          <w:p w14:paraId="7A98C3D5">
            <w:pPr>
              <w:topLinePunct/>
              <w:spacing w:line="400" w:lineRule="atLeast"/>
              <w:jc w:val="center"/>
              <w:rPr>
                <w:rFonts w:hint="eastAsia"/>
                <w:szCs w:val="21"/>
              </w:rPr>
            </w:pPr>
          </w:p>
        </w:tc>
        <w:tc>
          <w:tcPr>
            <w:tcW w:w="1394" w:type="dxa"/>
            <w:noWrap w:val="0"/>
            <w:vAlign w:val="top"/>
          </w:tcPr>
          <w:p w14:paraId="545BFE69">
            <w:pPr>
              <w:topLinePunct/>
              <w:spacing w:line="400" w:lineRule="atLeast"/>
              <w:jc w:val="center"/>
              <w:rPr>
                <w:rFonts w:hint="eastAsia"/>
                <w:szCs w:val="21"/>
              </w:rPr>
            </w:pPr>
          </w:p>
        </w:tc>
        <w:tc>
          <w:tcPr>
            <w:tcW w:w="1080" w:type="dxa"/>
            <w:noWrap w:val="0"/>
            <w:vAlign w:val="top"/>
          </w:tcPr>
          <w:p w14:paraId="53957442">
            <w:pPr>
              <w:topLinePunct/>
              <w:spacing w:line="400" w:lineRule="atLeast"/>
              <w:jc w:val="center"/>
              <w:rPr>
                <w:rFonts w:hint="eastAsia"/>
                <w:szCs w:val="21"/>
              </w:rPr>
            </w:pPr>
          </w:p>
        </w:tc>
        <w:tc>
          <w:tcPr>
            <w:tcW w:w="1112" w:type="dxa"/>
            <w:noWrap w:val="0"/>
            <w:vAlign w:val="top"/>
          </w:tcPr>
          <w:p w14:paraId="5740D154">
            <w:pPr>
              <w:topLinePunct/>
              <w:spacing w:line="400" w:lineRule="atLeast"/>
              <w:jc w:val="center"/>
              <w:rPr>
                <w:rFonts w:hint="eastAsia"/>
                <w:szCs w:val="21"/>
              </w:rPr>
            </w:pPr>
          </w:p>
        </w:tc>
        <w:tc>
          <w:tcPr>
            <w:tcW w:w="1778" w:type="dxa"/>
            <w:noWrap w:val="0"/>
            <w:vAlign w:val="top"/>
          </w:tcPr>
          <w:p w14:paraId="2A5AD238">
            <w:pPr>
              <w:topLinePunct/>
              <w:spacing w:line="400" w:lineRule="atLeast"/>
              <w:jc w:val="center"/>
              <w:rPr>
                <w:rFonts w:hint="eastAsia"/>
                <w:szCs w:val="21"/>
              </w:rPr>
            </w:pPr>
          </w:p>
        </w:tc>
        <w:tc>
          <w:tcPr>
            <w:tcW w:w="1080" w:type="dxa"/>
            <w:noWrap w:val="0"/>
            <w:vAlign w:val="top"/>
          </w:tcPr>
          <w:p w14:paraId="744268C6">
            <w:pPr>
              <w:topLinePunct/>
              <w:spacing w:line="400" w:lineRule="atLeast"/>
              <w:jc w:val="center"/>
              <w:rPr>
                <w:rFonts w:hint="eastAsia"/>
                <w:szCs w:val="21"/>
              </w:rPr>
            </w:pPr>
          </w:p>
        </w:tc>
      </w:tr>
      <w:tr w14:paraId="1A8A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1BD1CB2">
            <w:pPr>
              <w:topLinePunct/>
              <w:spacing w:line="400" w:lineRule="atLeast"/>
              <w:jc w:val="center"/>
              <w:rPr>
                <w:rFonts w:hint="eastAsia"/>
                <w:szCs w:val="21"/>
              </w:rPr>
            </w:pPr>
          </w:p>
        </w:tc>
        <w:tc>
          <w:tcPr>
            <w:tcW w:w="1846" w:type="dxa"/>
            <w:noWrap w:val="0"/>
            <w:vAlign w:val="top"/>
          </w:tcPr>
          <w:p w14:paraId="03AEBD35">
            <w:pPr>
              <w:topLinePunct/>
              <w:spacing w:line="400" w:lineRule="atLeast"/>
              <w:jc w:val="center"/>
              <w:rPr>
                <w:rFonts w:hint="eastAsia"/>
                <w:szCs w:val="21"/>
              </w:rPr>
            </w:pPr>
          </w:p>
        </w:tc>
        <w:tc>
          <w:tcPr>
            <w:tcW w:w="1394" w:type="dxa"/>
            <w:noWrap w:val="0"/>
            <w:vAlign w:val="top"/>
          </w:tcPr>
          <w:p w14:paraId="0E4118B3">
            <w:pPr>
              <w:topLinePunct/>
              <w:spacing w:line="400" w:lineRule="atLeast"/>
              <w:jc w:val="center"/>
              <w:rPr>
                <w:rFonts w:hint="eastAsia"/>
                <w:szCs w:val="21"/>
              </w:rPr>
            </w:pPr>
          </w:p>
        </w:tc>
        <w:tc>
          <w:tcPr>
            <w:tcW w:w="1080" w:type="dxa"/>
            <w:noWrap w:val="0"/>
            <w:vAlign w:val="top"/>
          </w:tcPr>
          <w:p w14:paraId="77F8C536">
            <w:pPr>
              <w:topLinePunct/>
              <w:spacing w:line="400" w:lineRule="atLeast"/>
              <w:jc w:val="center"/>
              <w:rPr>
                <w:rFonts w:hint="eastAsia"/>
                <w:szCs w:val="21"/>
              </w:rPr>
            </w:pPr>
          </w:p>
        </w:tc>
        <w:tc>
          <w:tcPr>
            <w:tcW w:w="1112" w:type="dxa"/>
            <w:noWrap w:val="0"/>
            <w:vAlign w:val="top"/>
          </w:tcPr>
          <w:p w14:paraId="6CC50343">
            <w:pPr>
              <w:topLinePunct/>
              <w:spacing w:line="400" w:lineRule="atLeast"/>
              <w:jc w:val="center"/>
              <w:rPr>
                <w:rFonts w:hint="eastAsia"/>
                <w:szCs w:val="21"/>
              </w:rPr>
            </w:pPr>
          </w:p>
        </w:tc>
        <w:tc>
          <w:tcPr>
            <w:tcW w:w="1778" w:type="dxa"/>
            <w:noWrap w:val="0"/>
            <w:vAlign w:val="top"/>
          </w:tcPr>
          <w:p w14:paraId="7B589AE7">
            <w:pPr>
              <w:topLinePunct/>
              <w:spacing w:line="400" w:lineRule="atLeast"/>
              <w:jc w:val="center"/>
              <w:rPr>
                <w:rFonts w:hint="eastAsia"/>
                <w:szCs w:val="21"/>
              </w:rPr>
            </w:pPr>
          </w:p>
        </w:tc>
        <w:tc>
          <w:tcPr>
            <w:tcW w:w="1080" w:type="dxa"/>
            <w:noWrap w:val="0"/>
            <w:vAlign w:val="top"/>
          </w:tcPr>
          <w:p w14:paraId="7C1C3314">
            <w:pPr>
              <w:topLinePunct/>
              <w:spacing w:line="400" w:lineRule="atLeast"/>
              <w:jc w:val="center"/>
              <w:rPr>
                <w:rFonts w:hint="eastAsia"/>
                <w:szCs w:val="21"/>
              </w:rPr>
            </w:pPr>
          </w:p>
        </w:tc>
      </w:tr>
      <w:tr w14:paraId="21A0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6B6DEF6">
            <w:pPr>
              <w:topLinePunct/>
              <w:spacing w:line="400" w:lineRule="atLeast"/>
              <w:jc w:val="center"/>
              <w:rPr>
                <w:rFonts w:hint="eastAsia"/>
                <w:szCs w:val="21"/>
              </w:rPr>
            </w:pPr>
          </w:p>
        </w:tc>
        <w:tc>
          <w:tcPr>
            <w:tcW w:w="1846" w:type="dxa"/>
            <w:noWrap w:val="0"/>
            <w:vAlign w:val="top"/>
          </w:tcPr>
          <w:p w14:paraId="1D9A5AC3">
            <w:pPr>
              <w:topLinePunct/>
              <w:spacing w:line="400" w:lineRule="atLeast"/>
              <w:jc w:val="center"/>
              <w:rPr>
                <w:rFonts w:hint="eastAsia"/>
                <w:szCs w:val="21"/>
              </w:rPr>
            </w:pPr>
          </w:p>
        </w:tc>
        <w:tc>
          <w:tcPr>
            <w:tcW w:w="1394" w:type="dxa"/>
            <w:noWrap w:val="0"/>
            <w:vAlign w:val="top"/>
          </w:tcPr>
          <w:p w14:paraId="311C2581">
            <w:pPr>
              <w:topLinePunct/>
              <w:spacing w:line="400" w:lineRule="atLeast"/>
              <w:jc w:val="center"/>
              <w:rPr>
                <w:rFonts w:hint="eastAsia"/>
                <w:szCs w:val="21"/>
              </w:rPr>
            </w:pPr>
          </w:p>
        </w:tc>
        <w:tc>
          <w:tcPr>
            <w:tcW w:w="1080" w:type="dxa"/>
            <w:noWrap w:val="0"/>
            <w:vAlign w:val="top"/>
          </w:tcPr>
          <w:p w14:paraId="308598B2">
            <w:pPr>
              <w:topLinePunct/>
              <w:spacing w:line="400" w:lineRule="atLeast"/>
              <w:jc w:val="center"/>
              <w:rPr>
                <w:rFonts w:hint="eastAsia"/>
                <w:szCs w:val="21"/>
              </w:rPr>
            </w:pPr>
          </w:p>
        </w:tc>
        <w:tc>
          <w:tcPr>
            <w:tcW w:w="1112" w:type="dxa"/>
            <w:noWrap w:val="0"/>
            <w:vAlign w:val="top"/>
          </w:tcPr>
          <w:p w14:paraId="06FCBC67">
            <w:pPr>
              <w:topLinePunct/>
              <w:spacing w:line="400" w:lineRule="atLeast"/>
              <w:jc w:val="center"/>
              <w:rPr>
                <w:rFonts w:hint="eastAsia"/>
                <w:szCs w:val="21"/>
              </w:rPr>
            </w:pPr>
          </w:p>
        </w:tc>
        <w:tc>
          <w:tcPr>
            <w:tcW w:w="1778" w:type="dxa"/>
            <w:noWrap w:val="0"/>
            <w:vAlign w:val="top"/>
          </w:tcPr>
          <w:p w14:paraId="3E52EA79">
            <w:pPr>
              <w:topLinePunct/>
              <w:spacing w:line="400" w:lineRule="atLeast"/>
              <w:jc w:val="center"/>
              <w:rPr>
                <w:rFonts w:hint="eastAsia"/>
                <w:szCs w:val="21"/>
              </w:rPr>
            </w:pPr>
          </w:p>
        </w:tc>
        <w:tc>
          <w:tcPr>
            <w:tcW w:w="1080" w:type="dxa"/>
            <w:noWrap w:val="0"/>
            <w:vAlign w:val="top"/>
          </w:tcPr>
          <w:p w14:paraId="1CC49AC7">
            <w:pPr>
              <w:topLinePunct/>
              <w:spacing w:line="400" w:lineRule="atLeast"/>
              <w:jc w:val="center"/>
              <w:rPr>
                <w:rFonts w:hint="eastAsia"/>
                <w:szCs w:val="21"/>
              </w:rPr>
            </w:pPr>
          </w:p>
        </w:tc>
      </w:tr>
      <w:tr w14:paraId="1D6F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0FDA45A">
            <w:pPr>
              <w:topLinePunct/>
              <w:spacing w:line="400" w:lineRule="atLeast"/>
              <w:jc w:val="center"/>
              <w:rPr>
                <w:rFonts w:hint="eastAsia"/>
                <w:szCs w:val="21"/>
              </w:rPr>
            </w:pPr>
          </w:p>
        </w:tc>
        <w:tc>
          <w:tcPr>
            <w:tcW w:w="1846" w:type="dxa"/>
            <w:noWrap w:val="0"/>
            <w:vAlign w:val="top"/>
          </w:tcPr>
          <w:p w14:paraId="05BFB4F5">
            <w:pPr>
              <w:topLinePunct/>
              <w:spacing w:line="400" w:lineRule="atLeast"/>
              <w:jc w:val="center"/>
              <w:rPr>
                <w:rFonts w:hint="eastAsia"/>
                <w:szCs w:val="21"/>
              </w:rPr>
            </w:pPr>
          </w:p>
        </w:tc>
        <w:tc>
          <w:tcPr>
            <w:tcW w:w="1394" w:type="dxa"/>
            <w:noWrap w:val="0"/>
            <w:vAlign w:val="top"/>
          </w:tcPr>
          <w:p w14:paraId="304A0888">
            <w:pPr>
              <w:topLinePunct/>
              <w:spacing w:line="400" w:lineRule="atLeast"/>
              <w:jc w:val="center"/>
              <w:rPr>
                <w:rFonts w:hint="eastAsia"/>
                <w:szCs w:val="21"/>
              </w:rPr>
            </w:pPr>
          </w:p>
        </w:tc>
        <w:tc>
          <w:tcPr>
            <w:tcW w:w="1080" w:type="dxa"/>
            <w:noWrap w:val="0"/>
            <w:vAlign w:val="top"/>
          </w:tcPr>
          <w:p w14:paraId="29B310AD">
            <w:pPr>
              <w:topLinePunct/>
              <w:spacing w:line="400" w:lineRule="atLeast"/>
              <w:jc w:val="center"/>
              <w:rPr>
                <w:rFonts w:hint="eastAsia"/>
                <w:szCs w:val="21"/>
              </w:rPr>
            </w:pPr>
          </w:p>
        </w:tc>
        <w:tc>
          <w:tcPr>
            <w:tcW w:w="1112" w:type="dxa"/>
            <w:noWrap w:val="0"/>
            <w:vAlign w:val="top"/>
          </w:tcPr>
          <w:p w14:paraId="72A70621">
            <w:pPr>
              <w:topLinePunct/>
              <w:spacing w:line="400" w:lineRule="atLeast"/>
              <w:jc w:val="center"/>
              <w:rPr>
                <w:rFonts w:hint="eastAsia"/>
                <w:szCs w:val="21"/>
              </w:rPr>
            </w:pPr>
          </w:p>
        </w:tc>
        <w:tc>
          <w:tcPr>
            <w:tcW w:w="1778" w:type="dxa"/>
            <w:noWrap w:val="0"/>
            <w:vAlign w:val="top"/>
          </w:tcPr>
          <w:p w14:paraId="2D376DBC">
            <w:pPr>
              <w:topLinePunct/>
              <w:spacing w:line="400" w:lineRule="atLeast"/>
              <w:jc w:val="center"/>
              <w:rPr>
                <w:rFonts w:hint="eastAsia"/>
                <w:szCs w:val="21"/>
              </w:rPr>
            </w:pPr>
          </w:p>
        </w:tc>
        <w:tc>
          <w:tcPr>
            <w:tcW w:w="1080" w:type="dxa"/>
            <w:noWrap w:val="0"/>
            <w:vAlign w:val="top"/>
          </w:tcPr>
          <w:p w14:paraId="7565615C">
            <w:pPr>
              <w:topLinePunct/>
              <w:spacing w:line="400" w:lineRule="atLeast"/>
              <w:jc w:val="center"/>
              <w:rPr>
                <w:rFonts w:hint="eastAsia"/>
                <w:szCs w:val="21"/>
              </w:rPr>
            </w:pPr>
          </w:p>
        </w:tc>
      </w:tr>
      <w:tr w14:paraId="2F6A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F331A1D">
            <w:pPr>
              <w:topLinePunct/>
              <w:spacing w:line="400" w:lineRule="atLeast"/>
              <w:jc w:val="center"/>
              <w:rPr>
                <w:rFonts w:hint="eastAsia"/>
                <w:szCs w:val="21"/>
              </w:rPr>
            </w:pPr>
          </w:p>
        </w:tc>
        <w:tc>
          <w:tcPr>
            <w:tcW w:w="1846" w:type="dxa"/>
            <w:noWrap w:val="0"/>
            <w:vAlign w:val="top"/>
          </w:tcPr>
          <w:p w14:paraId="052AA116">
            <w:pPr>
              <w:topLinePunct/>
              <w:spacing w:line="400" w:lineRule="atLeast"/>
              <w:jc w:val="center"/>
              <w:rPr>
                <w:rFonts w:hint="eastAsia"/>
                <w:szCs w:val="21"/>
              </w:rPr>
            </w:pPr>
          </w:p>
        </w:tc>
        <w:tc>
          <w:tcPr>
            <w:tcW w:w="1394" w:type="dxa"/>
            <w:noWrap w:val="0"/>
            <w:vAlign w:val="top"/>
          </w:tcPr>
          <w:p w14:paraId="706158E5">
            <w:pPr>
              <w:topLinePunct/>
              <w:spacing w:line="400" w:lineRule="atLeast"/>
              <w:jc w:val="center"/>
              <w:rPr>
                <w:rFonts w:hint="eastAsia"/>
                <w:szCs w:val="21"/>
              </w:rPr>
            </w:pPr>
          </w:p>
        </w:tc>
        <w:tc>
          <w:tcPr>
            <w:tcW w:w="1080" w:type="dxa"/>
            <w:noWrap w:val="0"/>
            <w:vAlign w:val="top"/>
          </w:tcPr>
          <w:p w14:paraId="2E6BC721">
            <w:pPr>
              <w:topLinePunct/>
              <w:spacing w:line="400" w:lineRule="atLeast"/>
              <w:jc w:val="center"/>
              <w:rPr>
                <w:rFonts w:hint="eastAsia"/>
                <w:szCs w:val="21"/>
              </w:rPr>
            </w:pPr>
          </w:p>
        </w:tc>
        <w:tc>
          <w:tcPr>
            <w:tcW w:w="1112" w:type="dxa"/>
            <w:noWrap w:val="0"/>
            <w:vAlign w:val="top"/>
          </w:tcPr>
          <w:p w14:paraId="52051079">
            <w:pPr>
              <w:topLinePunct/>
              <w:spacing w:line="400" w:lineRule="atLeast"/>
              <w:jc w:val="center"/>
              <w:rPr>
                <w:rFonts w:hint="eastAsia"/>
                <w:szCs w:val="21"/>
              </w:rPr>
            </w:pPr>
          </w:p>
        </w:tc>
        <w:tc>
          <w:tcPr>
            <w:tcW w:w="1778" w:type="dxa"/>
            <w:noWrap w:val="0"/>
            <w:vAlign w:val="top"/>
          </w:tcPr>
          <w:p w14:paraId="29C17E6F">
            <w:pPr>
              <w:topLinePunct/>
              <w:spacing w:line="400" w:lineRule="atLeast"/>
              <w:jc w:val="center"/>
              <w:rPr>
                <w:rFonts w:hint="eastAsia"/>
                <w:szCs w:val="21"/>
              </w:rPr>
            </w:pPr>
          </w:p>
        </w:tc>
        <w:tc>
          <w:tcPr>
            <w:tcW w:w="1080" w:type="dxa"/>
            <w:noWrap w:val="0"/>
            <w:vAlign w:val="top"/>
          </w:tcPr>
          <w:p w14:paraId="6FEA86B2">
            <w:pPr>
              <w:topLinePunct/>
              <w:spacing w:line="400" w:lineRule="atLeast"/>
              <w:jc w:val="center"/>
              <w:rPr>
                <w:rFonts w:hint="eastAsia"/>
                <w:szCs w:val="21"/>
              </w:rPr>
            </w:pPr>
          </w:p>
        </w:tc>
      </w:tr>
      <w:tr w14:paraId="6005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DADD923">
            <w:pPr>
              <w:topLinePunct/>
              <w:spacing w:line="400" w:lineRule="atLeast"/>
              <w:jc w:val="center"/>
              <w:rPr>
                <w:rFonts w:hint="eastAsia"/>
                <w:szCs w:val="21"/>
              </w:rPr>
            </w:pPr>
          </w:p>
        </w:tc>
        <w:tc>
          <w:tcPr>
            <w:tcW w:w="1846" w:type="dxa"/>
            <w:noWrap w:val="0"/>
            <w:vAlign w:val="top"/>
          </w:tcPr>
          <w:p w14:paraId="600BD75B">
            <w:pPr>
              <w:topLinePunct/>
              <w:spacing w:line="400" w:lineRule="atLeast"/>
              <w:jc w:val="center"/>
              <w:rPr>
                <w:rFonts w:hint="eastAsia"/>
                <w:szCs w:val="21"/>
              </w:rPr>
            </w:pPr>
          </w:p>
        </w:tc>
        <w:tc>
          <w:tcPr>
            <w:tcW w:w="1394" w:type="dxa"/>
            <w:noWrap w:val="0"/>
            <w:vAlign w:val="top"/>
          </w:tcPr>
          <w:p w14:paraId="4C9E5978">
            <w:pPr>
              <w:topLinePunct/>
              <w:spacing w:line="400" w:lineRule="atLeast"/>
              <w:jc w:val="center"/>
              <w:rPr>
                <w:rFonts w:hint="eastAsia"/>
                <w:szCs w:val="21"/>
              </w:rPr>
            </w:pPr>
          </w:p>
        </w:tc>
        <w:tc>
          <w:tcPr>
            <w:tcW w:w="1080" w:type="dxa"/>
            <w:noWrap w:val="0"/>
            <w:vAlign w:val="top"/>
          </w:tcPr>
          <w:p w14:paraId="45EB4F81">
            <w:pPr>
              <w:topLinePunct/>
              <w:spacing w:line="400" w:lineRule="atLeast"/>
              <w:jc w:val="center"/>
              <w:rPr>
                <w:rFonts w:hint="eastAsia"/>
                <w:szCs w:val="21"/>
              </w:rPr>
            </w:pPr>
          </w:p>
        </w:tc>
        <w:tc>
          <w:tcPr>
            <w:tcW w:w="1112" w:type="dxa"/>
            <w:noWrap w:val="0"/>
            <w:vAlign w:val="top"/>
          </w:tcPr>
          <w:p w14:paraId="7623AF10">
            <w:pPr>
              <w:topLinePunct/>
              <w:spacing w:line="400" w:lineRule="atLeast"/>
              <w:jc w:val="center"/>
              <w:rPr>
                <w:rFonts w:hint="eastAsia"/>
                <w:szCs w:val="21"/>
              </w:rPr>
            </w:pPr>
          </w:p>
        </w:tc>
        <w:tc>
          <w:tcPr>
            <w:tcW w:w="1778" w:type="dxa"/>
            <w:noWrap w:val="0"/>
            <w:vAlign w:val="top"/>
          </w:tcPr>
          <w:p w14:paraId="7670A50D">
            <w:pPr>
              <w:topLinePunct/>
              <w:spacing w:line="400" w:lineRule="atLeast"/>
              <w:jc w:val="center"/>
              <w:rPr>
                <w:rFonts w:hint="eastAsia"/>
                <w:szCs w:val="21"/>
              </w:rPr>
            </w:pPr>
          </w:p>
        </w:tc>
        <w:tc>
          <w:tcPr>
            <w:tcW w:w="1080" w:type="dxa"/>
            <w:noWrap w:val="0"/>
            <w:vAlign w:val="top"/>
          </w:tcPr>
          <w:p w14:paraId="6D789FC7">
            <w:pPr>
              <w:topLinePunct/>
              <w:spacing w:line="400" w:lineRule="atLeast"/>
              <w:jc w:val="center"/>
              <w:rPr>
                <w:rFonts w:hint="eastAsia"/>
                <w:szCs w:val="21"/>
              </w:rPr>
            </w:pPr>
          </w:p>
        </w:tc>
      </w:tr>
      <w:tr w14:paraId="7F1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C7EF0FF">
            <w:pPr>
              <w:topLinePunct/>
              <w:spacing w:line="400" w:lineRule="atLeast"/>
              <w:jc w:val="center"/>
              <w:rPr>
                <w:rFonts w:hint="eastAsia"/>
                <w:szCs w:val="21"/>
              </w:rPr>
            </w:pPr>
          </w:p>
        </w:tc>
        <w:tc>
          <w:tcPr>
            <w:tcW w:w="1846" w:type="dxa"/>
            <w:noWrap w:val="0"/>
            <w:vAlign w:val="top"/>
          </w:tcPr>
          <w:p w14:paraId="4680ED30">
            <w:pPr>
              <w:topLinePunct/>
              <w:spacing w:line="400" w:lineRule="atLeast"/>
              <w:jc w:val="center"/>
              <w:rPr>
                <w:rFonts w:hint="eastAsia"/>
                <w:szCs w:val="21"/>
              </w:rPr>
            </w:pPr>
          </w:p>
        </w:tc>
        <w:tc>
          <w:tcPr>
            <w:tcW w:w="1394" w:type="dxa"/>
            <w:noWrap w:val="0"/>
            <w:vAlign w:val="top"/>
          </w:tcPr>
          <w:p w14:paraId="6EA8FE4C">
            <w:pPr>
              <w:topLinePunct/>
              <w:spacing w:line="400" w:lineRule="atLeast"/>
              <w:jc w:val="center"/>
              <w:rPr>
                <w:rFonts w:hint="eastAsia"/>
                <w:szCs w:val="21"/>
              </w:rPr>
            </w:pPr>
          </w:p>
        </w:tc>
        <w:tc>
          <w:tcPr>
            <w:tcW w:w="1080" w:type="dxa"/>
            <w:noWrap w:val="0"/>
            <w:vAlign w:val="top"/>
          </w:tcPr>
          <w:p w14:paraId="5FD055B9">
            <w:pPr>
              <w:topLinePunct/>
              <w:spacing w:line="400" w:lineRule="atLeast"/>
              <w:jc w:val="center"/>
              <w:rPr>
                <w:rFonts w:hint="eastAsia"/>
                <w:szCs w:val="21"/>
              </w:rPr>
            </w:pPr>
          </w:p>
        </w:tc>
        <w:tc>
          <w:tcPr>
            <w:tcW w:w="1112" w:type="dxa"/>
            <w:noWrap w:val="0"/>
            <w:vAlign w:val="top"/>
          </w:tcPr>
          <w:p w14:paraId="70938ADB">
            <w:pPr>
              <w:topLinePunct/>
              <w:spacing w:line="400" w:lineRule="atLeast"/>
              <w:jc w:val="center"/>
              <w:rPr>
                <w:rFonts w:hint="eastAsia"/>
                <w:szCs w:val="21"/>
              </w:rPr>
            </w:pPr>
          </w:p>
        </w:tc>
        <w:tc>
          <w:tcPr>
            <w:tcW w:w="1778" w:type="dxa"/>
            <w:noWrap w:val="0"/>
            <w:vAlign w:val="top"/>
          </w:tcPr>
          <w:p w14:paraId="03194EA8">
            <w:pPr>
              <w:topLinePunct/>
              <w:spacing w:line="400" w:lineRule="atLeast"/>
              <w:jc w:val="center"/>
              <w:rPr>
                <w:rFonts w:hint="eastAsia"/>
                <w:szCs w:val="21"/>
              </w:rPr>
            </w:pPr>
          </w:p>
        </w:tc>
        <w:tc>
          <w:tcPr>
            <w:tcW w:w="1080" w:type="dxa"/>
            <w:noWrap w:val="0"/>
            <w:vAlign w:val="top"/>
          </w:tcPr>
          <w:p w14:paraId="757A004D">
            <w:pPr>
              <w:topLinePunct/>
              <w:spacing w:line="400" w:lineRule="atLeast"/>
              <w:jc w:val="center"/>
              <w:rPr>
                <w:rFonts w:hint="eastAsia"/>
                <w:szCs w:val="21"/>
              </w:rPr>
            </w:pPr>
          </w:p>
        </w:tc>
      </w:tr>
      <w:tr w14:paraId="65E6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F5625D2">
            <w:pPr>
              <w:topLinePunct/>
              <w:spacing w:line="400" w:lineRule="atLeast"/>
              <w:jc w:val="center"/>
              <w:rPr>
                <w:rFonts w:hint="eastAsia"/>
                <w:szCs w:val="21"/>
              </w:rPr>
            </w:pPr>
          </w:p>
        </w:tc>
        <w:tc>
          <w:tcPr>
            <w:tcW w:w="1846" w:type="dxa"/>
            <w:noWrap w:val="0"/>
            <w:vAlign w:val="top"/>
          </w:tcPr>
          <w:p w14:paraId="21832E04">
            <w:pPr>
              <w:topLinePunct/>
              <w:spacing w:line="400" w:lineRule="atLeast"/>
              <w:jc w:val="center"/>
              <w:rPr>
                <w:rFonts w:hint="eastAsia"/>
                <w:szCs w:val="21"/>
              </w:rPr>
            </w:pPr>
          </w:p>
        </w:tc>
        <w:tc>
          <w:tcPr>
            <w:tcW w:w="1394" w:type="dxa"/>
            <w:noWrap w:val="0"/>
            <w:vAlign w:val="top"/>
          </w:tcPr>
          <w:p w14:paraId="55E764EE">
            <w:pPr>
              <w:topLinePunct/>
              <w:spacing w:line="400" w:lineRule="atLeast"/>
              <w:jc w:val="center"/>
              <w:rPr>
                <w:rFonts w:hint="eastAsia"/>
                <w:szCs w:val="21"/>
              </w:rPr>
            </w:pPr>
          </w:p>
        </w:tc>
        <w:tc>
          <w:tcPr>
            <w:tcW w:w="1080" w:type="dxa"/>
            <w:noWrap w:val="0"/>
            <w:vAlign w:val="top"/>
          </w:tcPr>
          <w:p w14:paraId="14D700F9">
            <w:pPr>
              <w:topLinePunct/>
              <w:spacing w:line="400" w:lineRule="atLeast"/>
              <w:jc w:val="center"/>
              <w:rPr>
                <w:rFonts w:hint="eastAsia"/>
                <w:szCs w:val="21"/>
              </w:rPr>
            </w:pPr>
          </w:p>
        </w:tc>
        <w:tc>
          <w:tcPr>
            <w:tcW w:w="1112" w:type="dxa"/>
            <w:noWrap w:val="0"/>
            <w:vAlign w:val="top"/>
          </w:tcPr>
          <w:p w14:paraId="7426E459">
            <w:pPr>
              <w:topLinePunct/>
              <w:spacing w:line="400" w:lineRule="atLeast"/>
              <w:jc w:val="center"/>
              <w:rPr>
                <w:rFonts w:hint="eastAsia"/>
                <w:szCs w:val="21"/>
              </w:rPr>
            </w:pPr>
          </w:p>
        </w:tc>
        <w:tc>
          <w:tcPr>
            <w:tcW w:w="1778" w:type="dxa"/>
            <w:noWrap w:val="0"/>
            <w:vAlign w:val="top"/>
          </w:tcPr>
          <w:p w14:paraId="2A0BD83F">
            <w:pPr>
              <w:topLinePunct/>
              <w:spacing w:line="400" w:lineRule="atLeast"/>
              <w:jc w:val="center"/>
              <w:rPr>
                <w:rFonts w:hint="eastAsia"/>
                <w:szCs w:val="21"/>
              </w:rPr>
            </w:pPr>
          </w:p>
        </w:tc>
        <w:tc>
          <w:tcPr>
            <w:tcW w:w="1080" w:type="dxa"/>
            <w:noWrap w:val="0"/>
            <w:vAlign w:val="top"/>
          </w:tcPr>
          <w:p w14:paraId="4291B017">
            <w:pPr>
              <w:topLinePunct/>
              <w:spacing w:line="400" w:lineRule="atLeast"/>
              <w:jc w:val="center"/>
              <w:rPr>
                <w:rFonts w:hint="eastAsia"/>
                <w:szCs w:val="21"/>
              </w:rPr>
            </w:pPr>
          </w:p>
        </w:tc>
      </w:tr>
      <w:tr w14:paraId="4C5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17DF9C5">
            <w:pPr>
              <w:topLinePunct/>
              <w:spacing w:line="400" w:lineRule="atLeast"/>
              <w:jc w:val="center"/>
              <w:rPr>
                <w:rFonts w:hint="eastAsia"/>
                <w:szCs w:val="21"/>
              </w:rPr>
            </w:pPr>
          </w:p>
        </w:tc>
        <w:tc>
          <w:tcPr>
            <w:tcW w:w="1846" w:type="dxa"/>
            <w:noWrap w:val="0"/>
            <w:vAlign w:val="top"/>
          </w:tcPr>
          <w:p w14:paraId="490F9CB2">
            <w:pPr>
              <w:topLinePunct/>
              <w:spacing w:line="400" w:lineRule="atLeast"/>
              <w:jc w:val="center"/>
              <w:rPr>
                <w:rFonts w:hint="eastAsia"/>
                <w:szCs w:val="21"/>
              </w:rPr>
            </w:pPr>
          </w:p>
        </w:tc>
        <w:tc>
          <w:tcPr>
            <w:tcW w:w="1394" w:type="dxa"/>
            <w:noWrap w:val="0"/>
            <w:vAlign w:val="top"/>
          </w:tcPr>
          <w:p w14:paraId="3F880625">
            <w:pPr>
              <w:topLinePunct/>
              <w:spacing w:line="400" w:lineRule="atLeast"/>
              <w:jc w:val="center"/>
              <w:rPr>
                <w:rFonts w:hint="eastAsia"/>
                <w:szCs w:val="21"/>
              </w:rPr>
            </w:pPr>
          </w:p>
        </w:tc>
        <w:tc>
          <w:tcPr>
            <w:tcW w:w="1080" w:type="dxa"/>
            <w:noWrap w:val="0"/>
            <w:vAlign w:val="top"/>
          </w:tcPr>
          <w:p w14:paraId="5CB382B6">
            <w:pPr>
              <w:topLinePunct/>
              <w:spacing w:line="400" w:lineRule="atLeast"/>
              <w:jc w:val="center"/>
              <w:rPr>
                <w:rFonts w:hint="eastAsia"/>
                <w:szCs w:val="21"/>
              </w:rPr>
            </w:pPr>
          </w:p>
        </w:tc>
        <w:tc>
          <w:tcPr>
            <w:tcW w:w="1112" w:type="dxa"/>
            <w:noWrap w:val="0"/>
            <w:vAlign w:val="top"/>
          </w:tcPr>
          <w:p w14:paraId="7D3DFC0A">
            <w:pPr>
              <w:topLinePunct/>
              <w:spacing w:line="400" w:lineRule="atLeast"/>
              <w:jc w:val="center"/>
              <w:rPr>
                <w:rFonts w:hint="eastAsia"/>
                <w:szCs w:val="21"/>
              </w:rPr>
            </w:pPr>
          </w:p>
        </w:tc>
        <w:tc>
          <w:tcPr>
            <w:tcW w:w="1778" w:type="dxa"/>
            <w:noWrap w:val="0"/>
            <w:vAlign w:val="top"/>
          </w:tcPr>
          <w:p w14:paraId="7DBD9459">
            <w:pPr>
              <w:topLinePunct/>
              <w:spacing w:line="400" w:lineRule="atLeast"/>
              <w:jc w:val="center"/>
              <w:rPr>
                <w:rFonts w:hint="eastAsia"/>
                <w:szCs w:val="21"/>
              </w:rPr>
            </w:pPr>
          </w:p>
        </w:tc>
        <w:tc>
          <w:tcPr>
            <w:tcW w:w="1080" w:type="dxa"/>
            <w:noWrap w:val="0"/>
            <w:vAlign w:val="top"/>
          </w:tcPr>
          <w:p w14:paraId="58EA17F1">
            <w:pPr>
              <w:topLinePunct/>
              <w:spacing w:line="400" w:lineRule="atLeast"/>
              <w:jc w:val="center"/>
              <w:rPr>
                <w:rFonts w:hint="eastAsia"/>
                <w:szCs w:val="21"/>
              </w:rPr>
            </w:pPr>
          </w:p>
        </w:tc>
      </w:tr>
      <w:tr w14:paraId="309E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250E939">
            <w:pPr>
              <w:topLinePunct/>
              <w:spacing w:line="400" w:lineRule="atLeast"/>
              <w:jc w:val="center"/>
              <w:rPr>
                <w:rFonts w:hint="eastAsia"/>
                <w:szCs w:val="21"/>
              </w:rPr>
            </w:pPr>
          </w:p>
        </w:tc>
        <w:tc>
          <w:tcPr>
            <w:tcW w:w="1846" w:type="dxa"/>
            <w:noWrap w:val="0"/>
            <w:vAlign w:val="top"/>
          </w:tcPr>
          <w:p w14:paraId="38EC7634">
            <w:pPr>
              <w:topLinePunct/>
              <w:spacing w:line="400" w:lineRule="atLeast"/>
              <w:jc w:val="center"/>
              <w:rPr>
                <w:rFonts w:hint="eastAsia"/>
                <w:szCs w:val="21"/>
              </w:rPr>
            </w:pPr>
          </w:p>
        </w:tc>
        <w:tc>
          <w:tcPr>
            <w:tcW w:w="1394" w:type="dxa"/>
            <w:noWrap w:val="0"/>
            <w:vAlign w:val="top"/>
          </w:tcPr>
          <w:p w14:paraId="18BB264B">
            <w:pPr>
              <w:topLinePunct/>
              <w:spacing w:line="400" w:lineRule="atLeast"/>
              <w:jc w:val="center"/>
              <w:rPr>
                <w:rFonts w:hint="eastAsia"/>
                <w:szCs w:val="21"/>
              </w:rPr>
            </w:pPr>
          </w:p>
        </w:tc>
        <w:tc>
          <w:tcPr>
            <w:tcW w:w="1080" w:type="dxa"/>
            <w:noWrap w:val="0"/>
            <w:vAlign w:val="top"/>
          </w:tcPr>
          <w:p w14:paraId="18AF5714">
            <w:pPr>
              <w:topLinePunct/>
              <w:spacing w:line="400" w:lineRule="atLeast"/>
              <w:jc w:val="center"/>
              <w:rPr>
                <w:rFonts w:hint="eastAsia"/>
                <w:szCs w:val="21"/>
              </w:rPr>
            </w:pPr>
          </w:p>
        </w:tc>
        <w:tc>
          <w:tcPr>
            <w:tcW w:w="1112" w:type="dxa"/>
            <w:noWrap w:val="0"/>
            <w:vAlign w:val="top"/>
          </w:tcPr>
          <w:p w14:paraId="0391F16F">
            <w:pPr>
              <w:topLinePunct/>
              <w:spacing w:line="400" w:lineRule="atLeast"/>
              <w:jc w:val="center"/>
              <w:rPr>
                <w:rFonts w:hint="eastAsia"/>
                <w:szCs w:val="21"/>
              </w:rPr>
            </w:pPr>
          </w:p>
        </w:tc>
        <w:tc>
          <w:tcPr>
            <w:tcW w:w="1778" w:type="dxa"/>
            <w:noWrap w:val="0"/>
            <w:vAlign w:val="top"/>
          </w:tcPr>
          <w:p w14:paraId="5895927F">
            <w:pPr>
              <w:topLinePunct/>
              <w:spacing w:line="400" w:lineRule="atLeast"/>
              <w:jc w:val="center"/>
              <w:rPr>
                <w:rFonts w:hint="eastAsia"/>
                <w:szCs w:val="21"/>
              </w:rPr>
            </w:pPr>
          </w:p>
        </w:tc>
        <w:tc>
          <w:tcPr>
            <w:tcW w:w="1080" w:type="dxa"/>
            <w:noWrap w:val="0"/>
            <w:vAlign w:val="top"/>
          </w:tcPr>
          <w:p w14:paraId="08DB646D">
            <w:pPr>
              <w:topLinePunct/>
              <w:spacing w:line="400" w:lineRule="atLeast"/>
              <w:jc w:val="center"/>
              <w:rPr>
                <w:rFonts w:hint="eastAsia"/>
                <w:szCs w:val="21"/>
              </w:rPr>
            </w:pPr>
          </w:p>
        </w:tc>
      </w:tr>
      <w:tr w14:paraId="002A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D3C8E1F">
            <w:pPr>
              <w:topLinePunct/>
              <w:spacing w:line="400" w:lineRule="atLeast"/>
              <w:jc w:val="center"/>
              <w:rPr>
                <w:rFonts w:hint="eastAsia"/>
                <w:szCs w:val="21"/>
              </w:rPr>
            </w:pPr>
          </w:p>
        </w:tc>
        <w:tc>
          <w:tcPr>
            <w:tcW w:w="1846" w:type="dxa"/>
            <w:noWrap w:val="0"/>
            <w:vAlign w:val="top"/>
          </w:tcPr>
          <w:p w14:paraId="719A83BB">
            <w:pPr>
              <w:topLinePunct/>
              <w:spacing w:line="400" w:lineRule="atLeast"/>
              <w:jc w:val="center"/>
              <w:rPr>
                <w:rFonts w:hint="eastAsia"/>
                <w:szCs w:val="21"/>
              </w:rPr>
            </w:pPr>
          </w:p>
        </w:tc>
        <w:tc>
          <w:tcPr>
            <w:tcW w:w="1394" w:type="dxa"/>
            <w:noWrap w:val="0"/>
            <w:vAlign w:val="top"/>
          </w:tcPr>
          <w:p w14:paraId="37003989">
            <w:pPr>
              <w:topLinePunct/>
              <w:spacing w:line="400" w:lineRule="atLeast"/>
              <w:jc w:val="center"/>
              <w:rPr>
                <w:rFonts w:hint="eastAsia"/>
                <w:szCs w:val="21"/>
              </w:rPr>
            </w:pPr>
          </w:p>
        </w:tc>
        <w:tc>
          <w:tcPr>
            <w:tcW w:w="1080" w:type="dxa"/>
            <w:noWrap w:val="0"/>
            <w:vAlign w:val="top"/>
          </w:tcPr>
          <w:p w14:paraId="6BABAD02">
            <w:pPr>
              <w:topLinePunct/>
              <w:spacing w:line="400" w:lineRule="atLeast"/>
              <w:jc w:val="center"/>
              <w:rPr>
                <w:rFonts w:hint="eastAsia"/>
                <w:szCs w:val="21"/>
              </w:rPr>
            </w:pPr>
          </w:p>
        </w:tc>
        <w:tc>
          <w:tcPr>
            <w:tcW w:w="1112" w:type="dxa"/>
            <w:noWrap w:val="0"/>
            <w:vAlign w:val="top"/>
          </w:tcPr>
          <w:p w14:paraId="33AEE46B">
            <w:pPr>
              <w:topLinePunct/>
              <w:spacing w:line="400" w:lineRule="atLeast"/>
              <w:jc w:val="center"/>
              <w:rPr>
                <w:rFonts w:hint="eastAsia"/>
                <w:szCs w:val="21"/>
              </w:rPr>
            </w:pPr>
          </w:p>
        </w:tc>
        <w:tc>
          <w:tcPr>
            <w:tcW w:w="1778" w:type="dxa"/>
            <w:noWrap w:val="0"/>
            <w:vAlign w:val="top"/>
          </w:tcPr>
          <w:p w14:paraId="5A2F91BD">
            <w:pPr>
              <w:topLinePunct/>
              <w:spacing w:line="400" w:lineRule="atLeast"/>
              <w:jc w:val="center"/>
              <w:rPr>
                <w:rFonts w:hint="eastAsia"/>
                <w:szCs w:val="21"/>
              </w:rPr>
            </w:pPr>
          </w:p>
        </w:tc>
        <w:tc>
          <w:tcPr>
            <w:tcW w:w="1080" w:type="dxa"/>
            <w:noWrap w:val="0"/>
            <w:vAlign w:val="top"/>
          </w:tcPr>
          <w:p w14:paraId="5A2E9BE4">
            <w:pPr>
              <w:topLinePunct/>
              <w:spacing w:line="400" w:lineRule="atLeast"/>
              <w:jc w:val="center"/>
              <w:rPr>
                <w:rFonts w:hint="eastAsia"/>
                <w:szCs w:val="21"/>
              </w:rPr>
            </w:pPr>
          </w:p>
        </w:tc>
      </w:tr>
      <w:tr w14:paraId="6580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DD1F340">
            <w:pPr>
              <w:topLinePunct/>
              <w:spacing w:line="400" w:lineRule="atLeast"/>
              <w:jc w:val="center"/>
              <w:rPr>
                <w:rFonts w:hint="eastAsia"/>
                <w:szCs w:val="21"/>
              </w:rPr>
            </w:pPr>
          </w:p>
        </w:tc>
        <w:tc>
          <w:tcPr>
            <w:tcW w:w="1846" w:type="dxa"/>
            <w:noWrap w:val="0"/>
            <w:vAlign w:val="top"/>
          </w:tcPr>
          <w:p w14:paraId="1143414D">
            <w:pPr>
              <w:topLinePunct/>
              <w:spacing w:line="400" w:lineRule="atLeast"/>
              <w:jc w:val="center"/>
              <w:rPr>
                <w:rFonts w:hint="eastAsia"/>
                <w:szCs w:val="21"/>
              </w:rPr>
            </w:pPr>
          </w:p>
        </w:tc>
        <w:tc>
          <w:tcPr>
            <w:tcW w:w="1394" w:type="dxa"/>
            <w:noWrap w:val="0"/>
            <w:vAlign w:val="top"/>
          </w:tcPr>
          <w:p w14:paraId="57F5CA52">
            <w:pPr>
              <w:topLinePunct/>
              <w:spacing w:line="400" w:lineRule="atLeast"/>
              <w:jc w:val="center"/>
              <w:rPr>
                <w:rFonts w:hint="eastAsia"/>
                <w:szCs w:val="21"/>
              </w:rPr>
            </w:pPr>
          </w:p>
        </w:tc>
        <w:tc>
          <w:tcPr>
            <w:tcW w:w="1080" w:type="dxa"/>
            <w:noWrap w:val="0"/>
            <w:vAlign w:val="top"/>
          </w:tcPr>
          <w:p w14:paraId="644BDF58">
            <w:pPr>
              <w:topLinePunct/>
              <w:spacing w:line="400" w:lineRule="atLeast"/>
              <w:jc w:val="center"/>
              <w:rPr>
                <w:rFonts w:hint="eastAsia"/>
                <w:szCs w:val="21"/>
              </w:rPr>
            </w:pPr>
          </w:p>
        </w:tc>
        <w:tc>
          <w:tcPr>
            <w:tcW w:w="1112" w:type="dxa"/>
            <w:noWrap w:val="0"/>
            <w:vAlign w:val="top"/>
          </w:tcPr>
          <w:p w14:paraId="32E2DC1C">
            <w:pPr>
              <w:topLinePunct/>
              <w:spacing w:line="400" w:lineRule="atLeast"/>
              <w:jc w:val="center"/>
              <w:rPr>
                <w:rFonts w:hint="eastAsia"/>
                <w:szCs w:val="21"/>
              </w:rPr>
            </w:pPr>
          </w:p>
        </w:tc>
        <w:tc>
          <w:tcPr>
            <w:tcW w:w="1778" w:type="dxa"/>
            <w:noWrap w:val="0"/>
            <w:vAlign w:val="top"/>
          </w:tcPr>
          <w:p w14:paraId="5A188294">
            <w:pPr>
              <w:topLinePunct/>
              <w:spacing w:line="400" w:lineRule="atLeast"/>
              <w:jc w:val="center"/>
              <w:rPr>
                <w:rFonts w:hint="eastAsia"/>
                <w:szCs w:val="21"/>
              </w:rPr>
            </w:pPr>
          </w:p>
        </w:tc>
        <w:tc>
          <w:tcPr>
            <w:tcW w:w="1080" w:type="dxa"/>
            <w:noWrap w:val="0"/>
            <w:vAlign w:val="top"/>
          </w:tcPr>
          <w:p w14:paraId="4D5925EF">
            <w:pPr>
              <w:topLinePunct/>
              <w:spacing w:line="400" w:lineRule="atLeast"/>
              <w:jc w:val="center"/>
              <w:rPr>
                <w:rFonts w:hint="eastAsia"/>
                <w:szCs w:val="21"/>
              </w:rPr>
            </w:pPr>
          </w:p>
        </w:tc>
      </w:tr>
      <w:tr w14:paraId="23C1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959066E">
            <w:pPr>
              <w:topLinePunct/>
              <w:spacing w:line="400" w:lineRule="atLeast"/>
              <w:jc w:val="center"/>
              <w:rPr>
                <w:rFonts w:hint="eastAsia"/>
                <w:szCs w:val="21"/>
              </w:rPr>
            </w:pPr>
          </w:p>
        </w:tc>
        <w:tc>
          <w:tcPr>
            <w:tcW w:w="1846" w:type="dxa"/>
            <w:noWrap w:val="0"/>
            <w:vAlign w:val="top"/>
          </w:tcPr>
          <w:p w14:paraId="3548941B">
            <w:pPr>
              <w:topLinePunct/>
              <w:spacing w:line="400" w:lineRule="atLeast"/>
              <w:jc w:val="center"/>
              <w:rPr>
                <w:rFonts w:hint="eastAsia"/>
                <w:szCs w:val="21"/>
              </w:rPr>
            </w:pPr>
          </w:p>
        </w:tc>
        <w:tc>
          <w:tcPr>
            <w:tcW w:w="1394" w:type="dxa"/>
            <w:noWrap w:val="0"/>
            <w:vAlign w:val="top"/>
          </w:tcPr>
          <w:p w14:paraId="342EF429">
            <w:pPr>
              <w:topLinePunct/>
              <w:spacing w:line="400" w:lineRule="atLeast"/>
              <w:jc w:val="center"/>
              <w:rPr>
                <w:rFonts w:hint="eastAsia"/>
                <w:szCs w:val="21"/>
              </w:rPr>
            </w:pPr>
          </w:p>
        </w:tc>
        <w:tc>
          <w:tcPr>
            <w:tcW w:w="1080" w:type="dxa"/>
            <w:noWrap w:val="0"/>
            <w:vAlign w:val="top"/>
          </w:tcPr>
          <w:p w14:paraId="4FAFDA71">
            <w:pPr>
              <w:topLinePunct/>
              <w:spacing w:line="400" w:lineRule="atLeast"/>
              <w:jc w:val="center"/>
              <w:rPr>
                <w:rFonts w:hint="eastAsia"/>
                <w:szCs w:val="21"/>
              </w:rPr>
            </w:pPr>
          </w:p>
        </w:tc>
        <w:tc>
          <w:tcPr>
            <w:tcW w:w="1112" w:type="dxa"/>
            <w:noWrap w:val="0"/>
            <w:vAlign w:val="top"/>
          </w:tcPr>
          <w:p w14:paraId="67710EF7">
            <w:pPr>
              <w:topLinePunct/>
              <w:spacing w:line="400" w:lineRule="atLeast"/>
              <w:jc w:val="center"/>
              <w:rPr>
                <w:rFonts w:hint="eastAsia"/>
                <w:szCs w:val="21"/>
              </w:rPr>
            </w:pPr>
          </w:p>
        </w:tc>
        <w:tc>
          <w:tcPr>
            <w:tcW w:w="1778" w:type="dxa"/>
            <w:noWrap w:val="0"/>
            <w:vAlign w:val="top"/>
          </w:tcPr>
          <w:p w14:paraId="55DACAD2">
            <w:pPr>
              <w:topLinePunct/>
              <w:spacing w:line="400" w:lineRule="atLeast"/>
              <w:jc w:val="center"/>
              <w:rPr>
                <w:rFonts w:hint="eastAsia"/>
                <w:szCs w:val="21"/>
              </w:rPr>
            </w:pPr>
          </w:p>
        </w:tc>
        <w:tc>
          <w:tcPr>
            <w:tcW w:w="1080" w:type="dxa"/>
            <w:noWrap w:val="0"/>
            <w:vAlign w:val="top"/>
          </w:tcPr>
          <w:p w14:paraId="1EAD6DE0">
            <w:pPr>
              <w:topLinePunct/>
              <w:spacing w:line="400" w:lineRule="atLeast"/>
              <w:jc w:val="center"/>
              <w:rPr>
                <w:rFonts w:hint="eastAsia"/>
                <w:szCs w:val="21"/>
              </w:rPr>
            </w:pPr>
          </w:p>
        </w:tc>
      </w:tr>
      <w:tr w14:paraId="0354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74A6080">
            <w:pPr>
              <w:topLinePunct/>
              <w:spacing w:line="400" w:lineRule="atLeast"/>
              <w:jc w:val="center"/>
              <w:rPr>
                <w:rFonts w:hint="eastAsia"/>
                <w:szCs w:val="21"/>
              </w:rPr>
            </w:pPr>
          </w:p>
        </w:tc>
        <w:tc>
          <w:tcPr>
            <w:tcW w:w="1846" w:type="dxa"/>
            <w:noWrap w:val="0"/>
            <w:vAlign w:val="top"/>
          </w:tcPr>
          <w:p w14:paraId="2EE32BB5">
            <w:pPr>
              <w:topLinePunct/>
              <w:spacing w:line="400" w:lineRule="atLeast"/>
              <w:jc w:val="center"/>
              <w:rPr>
                <w:rFonts w:hint="eastAsia"/>
                <w:szCs w:val="21"/>
              </w:rPr>
            </w:pPr>
          </w:p>
        </w:tc>
        <w:tc>
          <w:tcPr>
            <w:tcW w:w="1394" w:type="dxa"/>
            <w:noWrap w:val="0"/>
            <w:vAlign w:val="top"/>
          </w:tcPr>
          <w:p w14:paraId="34D28E8F">
            <w:pPr>
              <w:topLinePunct/>
              <w:spacing w:line="400" w:lineRule="atLeast"/>
              <w:jc w:val="center"/>
              <w:rPr>
                <w:rFonts w:hint="eastAsia"/>
                <w:szCs w:val="21"/>
              </w:rPr>
            </w:pPr>
          </w:p>
        </w:tc>
        <w:tc>
          <w:tcPr>
            <w:tcW w:w="1080" w:type="dxa"/>
            <w:noWrap w:val="0"/>
            <w:vAlign w:val="top"/>
          </w:tcPr>
          <w:p w14:paraId="58E3B810">
            <w:pPr>
              <w:topLinePunct/>
              <w:spacing w:line="400" w:lineRule="atLeast"/>
              <w:jc w:val="center"/>
              <w:rPr>
                <w:rFonts w:hint="eastAsia"/>
                <w:szCs w:val="21"/>
              </w:rPr>
            </w:pPr>
          </w:p>
        </w:tc>
        <w:tc>
          <w:tcPr>
            <w:tcW w:w="1112" w:type="dxa"/>
            <w:noWrap w:val="0"/>
            <w:vAlign w:val="top"/>
          </w:tcPr>
          <w:p w14:paraId="7134F941">
            <w:pPr>
              <w:topLinePunct/>
              <w:spacing w:line="400" w:lineRule="atLeast"/>
              <w:jc w:val="center"/>
              <w:rPr>
                <w:rFonts w:hint="eastAsia"/>
                <w:szCs w:val="21"/>
              </w:rPr>
            </w:pPr>
          </w:p>
        </w:tc>
        <w:tc>
          <w:tcPr>
            <w:tcW w:w="1778" w:type="dxa"/>
            <w:noWrap w:val="0"/>
            <w:vAlign w:val="top"/>
          </w:tcPr>
          <w:p w14:paraId="061BEE2F">
            <w:pPr>
              <w:topLinePunct/>
              <w:spacing w:line="400" w:lineRule="atLeast"/>
              <w:jc w:val="center"/>
              <w:rPr>
                <w:rFonts w:hint="eastAsia"/>
                <w:szCs w:val="21"/>
              </w:rPr>
            </w:pPr>
          </w:p>
        </w:tc>
        <w:tc>
          <w:tcPr>
            <w:tcW w:w="1080" w:type="dxa"/>
            <w:noWrap w:val="0"/>
            <w:vAlign w:val="top"/>
          </w:tcPr>
          <w:p w14:paraId="4FEA6C90">
            <w:pPr>
              <w:topLinePunct/>
              <w:spacing w:line="400" w:lineRule="atLeast"/>
              <w:jc w:val="center"/>
              <w:rPr>
                <w:rFonts w:hint="eastAsia"/>
                <w:szCs w:val="21"/>
              </w:rPr>
            </w:pPr>
          </w:p>
        </w:tc>
      </w:tr>
      <w:tr w14:paraId="302A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29F4024">
            <w:pPr>
              <w:topLinePunct/>
              <w:spacing w:line="400" w:lineRule="atLeast"/>
              <w:jc w:val="center"/>
              <w:rPr>
                <w:rFonts w:hint="eastAsia"/>
                <w:szCs w:val="21"/>
              </w:rPr>
            </w:pPr>
          </w:p>
        </w:tc>
        <w:tc>
          <w:tcPr>
            <w:tcW w:w="1846" w:type="dxa"/>
            <w:noWrap w:val="0"/>
            <w:vAlign w:val="top"/>
          </w:tcPr>
          <w:p w14:paraId="524A29D0">
            <w:pPr>
              <w:topLinePunct/>
              <w:spacing w:line="400" w:lineRule="atLeast"/>
              <w:jc w:val="center"/>
              <w:rPr>
                <w:rFonts w:hint="eastAsia"/>
                <w:szCs w:val="21"/>
              </w:rPr>
            </w:pPr>
          </w:p>
        </w:tc>
        <w:tc>
          <w:tcPr>
            <w:tcW w:w="1394" w:type="dxa"/>
            <w:noWrap w:val="0"/>
            <w:vAlign w:val="top"/>
          </w:tcPr>
          <w:p w14:paraId="6C78B2DA">
            <w:pPr>
              <w:topLinePunct/>
              <w:spacing w:line="400" w:lineRule="atLeast"/>
              <w:jc w:val="center"/>
              <w:rPr>
                <w:rFonts w:hint="eastAsia"/>
                <w:szCs w:val="21"/>
              </w:rPr>
            </w:pPr>
          </w:p>
        </w:tc>
        <w:tc>
          <w:tcPr>
            <w:tcW w:w="1080" w:type="dxa"/>
            <w:noWrap w:val="0"/>
            <w:vAlign w:val="top"/>
          </w:tcPr>
          <w:p w14:paraId="263C5D64">
            <w:pPr>
              <w:topLinePunct/>
              <w:spacing w:line="400" w:lineRule="atLeast"/>
              <w:jc w:val="center"/>
              <w:rPr>
                <w:rFonts w:hint="eastAsia"/>
                <w:szCs w:val="21"/>
              </w:rPr>
            </w:pPr>
          </w:p>
        </w:tc>
        <w:tc>
          <w:tcPr>
            <w:tcW w:w="1112" w:type="dxa"/>
            <w:noWrap w:val="0"/>
            <w:vAlign w:val="top"/>
          </w:tcPr>
          <w:p w14:paraId="74C37F3F">
            <w:pPr>
              <w:topLinePunct/>
              <w:spacing w:line="400" w:lineRule="atLeast"/>
              <w:jc w:val="center"/>
              <w:rPr>
                <w:rFonts w:hint="eastAsia"/>
                <w:szCs w:val="21"/>
              </w:rPr>
            </w:pPr>
          </w:p>
        </w:tc>
        <w:tc>
          <w:tcPr>
            <w:tcW w:w="1778" w:type="dxa"/>
            <w:noWrap w:val="0"/>
            <w:vAlign w:val="top"/>
          </w:tcPr>
          <w:p w14:paraId="2850C9C6">
            <w:pPr>
              <w:topLinePunct/>
              <w:spacing w:line="400" w:lineRule="atLeast"/>
              <w:jc w:val="center"/>
              <w:rPr>
                <w:rFonts w:hint="eastAsia"/>
                <w:szCs w:val="21"/>
              </w:rPr>
            </w:pPr>
          </w:p>
        </w:tc>
        <w:tc>
          <w:tcPr>
            <w:tcW w:w="1080" w:type="dxa"/>
            <w:noWrap w:val="0"/>
            <w:vAlign w:val="top"/>
          </w:tcPr>
          <w:p w14:paraId="31BB9F29">
            <w:pPr>
              <w:topLinePunct/>
              <w:spacing w:line="400" w:lineRule="atLeast"/>
              <w:jc w:val="center"/>
              <w:rPr>
                <w:rFonts w:hint="eastAsia"/>
                <w:szCs w:val="21"/>
              </w:rPr>
            </w:pPr>
          </w:p>
        </w:tc>
      </w:tr>
    </w:tbl>
    <w:p w14:paraId="7C7CBCEF"/>
    <w:p w14:paraId="401D8A87">
      <w:pPr>
        <w:rPr>
          <w:rFonts w:hint="eastAsia"/>
          <w:szCs w:val="24"/>
        </w:rPr>
      </w:pPr>
      <w:r>
        <w:rPr>
          <w:rFonts w:hint="eastAsia"/>
          <w:szCs w:val="24"/>
        </w:rPr>
        <w:br w:type="page"/>
      </w:r>
    </w:p>
    <w:p w14:paraId="648966EA">
      <w:pPr>
        <w:bidi w:val="0"/>
        <w:jc w:val="center"/>
        <w:rPr>
          <w:rFonts w:hint="eastAsia" w:ascii="黑体" w:hAnsi="黑体" w:eastAsia="黑体" w:cs="黑体"/>
          <w:sz w:val="24"/>
          <w:szCs w:val="24"/>
        </w:rPr>
      </w:pPr>
      <w:bookmarkStart w:id="2311" w:name="_Toc122603097"/>
      <w:r>
        <w:rPr>
          <w:rFonts w:hint="eastAsia" w:ascii="黑体" w:hAnsi="黑体" w:eastAsia="黑体" w:cs="黑体"/>
          <w:sz w:val="24"/>
          <w:szCs w:val="24"/>
        </w:rPr>
        <w:t>正在施工的和新承接的项目情况表</w:t>
      </w:r>
      <w:bookmarkEnd w:id="2311"/>
    </w:p>
    <w:p w14:paraId="6914E2DC">
      <w:pPr>
        <w:bidi w:val="0"/>
        <w:rPr>
          <w:rFonts w:hint="eastAsia"/>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0F8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9F521DC">
            <w:pPr>
              <w:jc w:val="center"/>
              <w:rPr>
                <w:rFonts w:hint="eastAsia" w:ascii="宋体" w:hAnsi="宋体"/>
                <w:szCs w:val="21"/>
              </w:rPr>
            </w:pPr>
            <w:r>
              <w:rPr>
                <w:rFonts w:hint="eastAsia" w:ascii="宋体" w:hAnsi="宋体"/>
                <w:szCs w:val="21"/>
              </w:rPr>
              <w:t>项目名称</w:t>
            </w:r>
          </w:p>
        </w:tc>
        <w:tc>
          <w:tcPr>
            <w:tcW w:w="6095" w:type="dxa"/>
            <w:noWrap w:val="0"/>
            <w:vAlign w:val="center"/>
          </w:tcPr>
          <w:p w14:paraId="323262BB">
            <w:pPr>
              <w:jc w:val="center"/>
              <w:rPr>
                <w:rFonts w:hint="eastAsia" w:ascii="宋体" w:hAnsi="宋体"/>
                <w:szCs w:val="21"/>
              </w:rPr>
            </w:pPr>
          </w:p>
        </w:tc>
      </w:tr>
      <w:tr w14:paraId="41CB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2166A55">
            <w:pPr>
              <w:jc w:val="center"/>
              <w:rPr>
                <w:rFonts w:hint="eastAsia" w:ascii="宋体" w:hAnsi="宋体"/>
                <w:szCs w:val="21"/>
              </w:rPr>
            </w:pPr>
            <w:r>
              <w:rPr>
                <w:rFonts w:hint="eastAsia" w:ascii="宋体" w:hAnsi="宋体"/>
                <w:szCs w:val="21"/>
              </w:rPr>
              <w:t>项目所在地</w:t>
            </w:r>
          </w:p>
        </w:tc>
        <w:tc>
          <w:tcPr>
            <w:tcW w:w="6095" w:type="dxa"/>
            <w:noWrap w:val="0"/>
            <w:vAlign w:val="center"/>
          </w:tcPr>
          <w:p w14:paraId="3E4DE692">
            <w:pPr>
              <w:jc w:val="center"/>
              <w:rPr>
                <w:rFonts w:hint="eastAsia" w:ascii="宋体" w:hAnsi="宋体"/>
                <w:szCs w:val="21"/>
              </w:rPr>
            </w:pPr>
          </w:p>
        </w:tc>
      </w:tr>
      <w:tr w14:paraId="04CD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1760362">
            <w:pPr>
              <w:jc w:val="center"/>
              <w:rPr>
                <w:rFonts w:hint="eastAsia" w:ascii="宋体" w:hAnsi="宋体"/>
                <w:szCs w:val="21"/>
              </w:rPr>
            </w:pPr>
            <w:r>
              <w:rPr>
                <w:rFonts w:hint="eastAsia" w:ascii="宋体" w:hAnsi="宋体"/>
                <w:szCs w:val="21"/>
              </w:rPr>
              <w:t>发包人名称</w:t>
            </w:r>
          </w:p>
        </w:tc>
        <w:tc>
          <w:tcPr>
            <w:tcW w:w="6095" w:type="dxa"/>
            <w:noWrap w:val="0"/>
            <w:vAlign w:val="center"/>
          </w:tcPr>
          <w:p w14:paraId="5DB0D5DC">
            <w:pPr>
              <w:jc w:val="center"/>
              <w:rPr>
                <w:rFonts w:hint="eastAsia" w:ascii="宋体" w:hAnsi="宋体"/>
                <w:szCs w:val="21"/>
              </w:rPr>
            </w:pPr>
          </w:p>
        </w:tc>
      </w:tr>
      <w:tr w14:paraId="2118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FF7C7E5">
            <w:pPr>
              <w:jc w:val="center"/>
              <w:rPr>
                <w:rFonts w:hint="eastAsia" w:ascii="宋体" w:hAnsi="宋体"/>
                <w:szCs w:val="21"/>
              </w:rPr>
            </w:pPr>
            <w:r>
              <w:rPr>
                <w:rFonts w:hint="eastAsia" w:ascii="宋体" w:hAnsi="宋体"/>
                <w:szCs w:val="21"/>
              </w:rPr>
              <w:t>发包人地址</w:t>
            </w:r>
          </w:p>
        </w:tc>
        <w:tc>
          <w:tcPr>
            <w:tcW w:w="6095" w:type="dxa"/>
            <w:noWrap w:val="0"/>
            <w:vAlign w:val="center"/>
          </w:tcPr>
          <w:p w14:paraId="148936DB">
            <w:pPr>
              <w:jc w:val="center"/>
              <w:rPr>
                <w:rFonts w:hint="eastAsia" w:ascii="宋体" w:hAnsi="宋体"/>
                <w:szCs w:val="21"/>
              </w:rPr>
            </w:pPr>
          </w:p>
        </w:tc>
      </w:tr>
      <w:tr w14:paraId="07AA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6210B9B">
            <w:pPr>
              <w:jc w:val="center"/>
              <w:rPr>
                <w:rFonts w:hint="eastAsia" w:ascii="宋体" w:hAnsi="宋体"/>
                <w:szCs w:val="21"/>
              </w:rPr>
            </w:pPr>
            <w:r>
              <w:rPr>
                <w:rFonts w:hint="eastAsia" w:ascii="宋体" w:hAnsi="宋体"/>
                <w:szCs w:val="21"/>
              </w:rPr>
              <w:t>发包人电话</w:t>
            </w:r>
          </w:p>
        </w:tc>
        <w:tc>
          <w:tcPr>
            <w:tcW w:w="6095" w:type="dxa"/>
            <w:noWrap w:val="0"/>
            <w:vAlign w:val="center"/>
          </w:tcPr>
          <w:p w14:paraId="60CED20F">
            <w:pPr>
              <w:jc w:val="center"/>
              <w:rPr>
                <w:rFonts w:hint="eastAsia" w:ascii="宋体" w:hAnsi="宋体"/>
                <w:szCs w:val="21"/>
              </w:rPr>
            </w:pPr>
          </w:p>
        </w:tc>
      </w:tr>
      <w:tr w14:paraId="3DF1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1A886CD">
            <w:pPr>
              <w:jc w:val="center"/>
              <w:rPr>
                <w:rFonts w:hint="eastAsia" w:ascii="宋体" w:hAnsi="宋体"/>
                <w:szCs w:val="21"/>
              </w:rPr>
            </w:pPr>
            <w:r>
              <w:rPr>
                <w:rFonts w:hint="eastAsia" w:ascii="宋体" w:hAnsi="宋体"/>
                <w:szCs w:val="21"/>
              </w:rPr>
              <w:t>签约合同价</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095" w:type="dxa"/>
            <w:noWrap w:val="0"/>
            <w:vAlign w:val="center"/>
          </w:tcPr>
          <w:p w14:paraId="039D0458">
            <w:pPr>
              <w:jc w:val="center"/>
              <w:rPr>
                <w:rFonts w:hint="eastAsia" w:ascii="宋体" w:hAnsi="宋体"/>
                <w:szCs w:val="21"/>
              </w:rPr>
            </w:pPr>
          </w:p>
        </w:tc>
      </w:tr>
      <w:tr w14:paraId="145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438794D">
            <w:pPr>
              <w:jc w:val="center"/>
              <w:rPr>
                <w:rFonts w:hint="eastAsia" w:ascii="宋体" w:hAnsi="宋体"/>
                <w:szCs w:val="21"/>
              </w:rPr>
            </w:pPr>
            <w:r>
              <w:rPr>
                <w:rFonts w:hint="eastAsia" w:ascii="宋体" w:hAnsi="宋体"/>
                <w:szCs w:val="21"/>
              </w:rPr>
              <w:t>开工日期</w:t>
            </w:r>
          </w:p>
        </w:tc>
        <w:tc>
          <w:tcPr>
            <w:tcW w:w="6095" w:type="dxa"/>
            <w:noWrap w:val="0"/>
            <w:vAlign w:val="center"/>
          </w:tcPr>
          <w:p w14:paraId="2BF112D8">
            <w:pPr>
              <w:jc w:val="center"/>
              <w:rPr>
                <w:rFonts w:hint="eastAsia" w:ascii="宋体" w:hAnsi="宋体"/>
                <w:szCs w:val="21"/>
              </w:rPr>
            </w:pPr>
          </w:p>
        </w:tc>
      </w:tr>
      <w:tr w14:paraId="3F89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4FBD751">
            <w:pPr>
              <w:jc w:val="center"/>
              <w:rPr>
                <w:rFonts w:hint="eastAsia" w:ascii="宋体" w:hAnsi="宋体"/>
                <w:szCs w:val="21"/>
              </w:rPr>
            </w:pPr>
            <w:r>
              <w:rPr>
                <w:rFonts w:hint="eastAsia" w:ascii="宋体" w:hAnsi="宋体"/>
                <w:szCs w:val="21"/>
              </w:rPr>
              <w:t>计划竣工日期</w:t>
            </w:r>
          </w:p>
        </w:tc>
        <w:tc>
          <w:tcPr>
            <w:tcW w:w="6095" w:type="dxa"/>
            <w:noWrap w:val="0"/>
            <w:vAlign w:val="center"/>
          </w:tcPr>
          <w:p w14:paraId="006152E5">
            <w:pPr>
              <w:jc w:val="center"/>
              <w:rPr>
                <w:rFonts w:hint="eastAsia" w:ascii="宋体" w:hAnsi="宋体"/>
                <w:szCs w:val="21"/>
              </w:rPr>
            </w:pPr>
          </w:p>
        </w:tc>
      </w:tr>
      <w:tr w14:paraId="1B7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C278AC6">
            <w:pPr>
              <w:jc w:val="center"/>
              <w:rPr>
                <w:rFonts w:hint="eastAsia" w:ascii="宋体" w:hAnsi="宋体"/>
                <w:szCs w:val="21"/>
              </w:rPr>
            </w:pPr>
            <w:r>
              <w:rPr>
                <w:rFonts w:hint="eastAsia" w:ascii="宋体" w:hAnsi="宋体"/>
                <w:szCs w:val="21"/>
              </w:rPr>
              <w:t>承担的工作</w:t>
            </w:r>
          </w:p>
        </w:tc>
        <w:tc>
          <w:tcPr>
            <w:tcW w:w="6095" w:type="dxa"/>
            <w:noWrap w:val="0"/>
            <w:vAlign w:val="center"/>
          </w:tcPr>
          <w:p w14:paraId="55CD5FB1">
            <w:pPr>
              <w:jc w:val="center"/>
              <w:rPr>
                <w:rFonts w:hint="eastAsia" w:ascii="宋体" w:hAnsi="宋体"/>
                <w:szCs w:val="21"/>
              </w:rPr>
            </w:pPr>
          </w:p>
        </w:tc>
      </w:tr>
      <w:tr w14:paraId="1FBC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606057D">
            <w:pPr>
              <w:jc w:val="center"/>
              <w:rPr>
                <w:rFonts w:hint="eastAsia" w:ascii="宋体" w:hAnsi="宋体"/>
                <w:szCs w:val="21"/>
              </w:rPr>
            </w:pPr>
            <w:r>
              <w:rPr>
                <w:rFonts w:hint="eastAsia" w:ascii="宋体" w:hAnsi="宋体"/>
                <w:szCs w:val="21"/>
              </w:rPr>
              <w:t>工程质量</w:t>
            </w:r>
          </w:p>
        </w:tc>
        <w:tc>
          <w:tcPr>
            <w:tcW w:w="6095" w:type="dxa"/>
            <w:noWrap w:val="0"/>
            <w:vAlign w:val="center"/>
          </w:tcPr>
          <w:p w14:paraId="2238A49C">
            <w:pPr>
              <w:jc w:val="center"/>
              <w:rPr>
                <w:rFonts w:hint="eastAsia" w:ascii="宋体" w:hAnsi="宋体"/>
                <w:szCs w:val="21"/>
              </w:rPr>
            </w:pPr>
          </w:p>
        </w:tc>
      </w:tr>
      <w:tr w14:paraId="177E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04EF1FA">
            <w:pPr>
              <w:jc w:val="center"/>
              <w:rPr>
                <w:rFonts w:hint="eastAsia" w:ascii="宋体" w:hAnsi="宋体"/>
                <w:szCs w:val="21"/>
              </w:rPr>
            </w:pPr>
            <w:r>
              <w:rPr>
                <w:rFonts w:hint="eastAsia" w:ascii="宋体" w:hAnsi="宋体"/>
                <w:szCs w:val="21"/>
              </w:rPr>
              <w:t>项目经理</w:t>
            </w:r>
          </w:p>
        </w:tc>
        <w:tc>
          <w:tcPr>
            <w:tcW w:w="6095" w:type="dxa"/>
            <w:noWrap w:val="0"/>
            <w:vAlign w:val="center"/>
          </w:tcPr>
          <w:p w14:paraId="063C3A0B">
            <w:pPr>
              <w:jc w:val="center"/>
              <w:rPr>
                <w:rFonts w:hint="eastAsia" w:ascii="宋体" w:hAnsi="宋体"/>
                <w:szCs w:val="21"/>
              </w:rPr>
            </w:pPr>
          </w:p>
        </w:tc>
      </w:tr>
      <w:tr w14:paraId="3401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FE729FB">
            <w:pPr>
              <w:jc w:val="center"/>
              <w:rPr>
                <w:rFonts w:hint="eastAsia" w:ascii="宋体" w:hAnsi="宋体"/>
                <w:szCs w:val="21"/>
              </w:rPr>
            </w:pPr>
            <w:r>
              <w:rPr>
                <w:rFonts w:hint="eastAsia" w:ascii="宋体" w:hAnsi="宋体"/>
                <w:szCs w:val="21"/>
              </w:rPr>
              <w:t>技术负责人</w:t>
            </w:r>
          </w:p>
        </w:tc>
        <w:tc>
          <w:tcPr>
            <w:tcW w:w="6095" w:type="dxa"/>
            <w:noWrap w:val="0"/>
            <w:vAlign w:val="center"/>
          </w:tcPr>
          <w:p w14:paraId="7EB2213F">
            <w:pPr>
              <w:jc w:val="center"/>
              <w:rPr>
                <w:rFonts w:hint="eastAsia" w:ascii="宋体" w:hAnsi="宋体"/>
                <w:szCs w:val="21"/>
              </w:rPr>
            </w:pPr>
          </w:p>
        </w:tc>
      </w:tr>
      <w:tr w14:paraId="2CD7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9745F9C">
            <w:pPr>
              <w:jc w:val="center"/>
              <w:rPr>
                <w:rFonts w:hint="eastAsia" w:ascii="宋体" w:hAnsi="宋体"/>
                <w:szCs w:val="21"/>
              </w:rPr>
            </w:pPr>
            <w:r>
              <w:rPr>
                <w:rFonts w:hint="eastAsia" w:ascii="宋体" w:hAnsi="宋体"/>
                <w:szCs w:val="21"/>
              </w:rPr>
              <w:t>总监理工程师及电话</w:t>
            </w:r>
          </w:p>
        </w:tc>
        <w:tc>
          <w:tcPr>
            <w:tcW w:w="6095" w:type="dxa"/>
            <w:noWrap w:val="0"/>
            <w:vAlign w:val="center"/>
          </w:tcPr>
          <w:p w14:paraId="23D18B93">
            <w:pPr>
              <w:jc w:val="center"/>
              <w:rPr>
                <w:rFonts w:hint="eastAsia" w:ascii="宋体" w:hAnsi="宋体"/>
                <w:szCs w:val="21"/>
              </w:rPr>
            </w:pPr>
          </w:p>
        </w:tc>
      </w:tr>
      <w:tr w14:paraId="210C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04FD9E52">
            <w:pPr>
              <w:jc w:val="center"/>
              <w:rPr>
                <w:rFonts w:hint="eastAsia" w:ascii="宋体" w:hAnsi="宋体"/>
                <w:szCs w:val="21"/>
              </w:rPr>
            </w:pPr>
            <w:r>
              <w:rPr>
                <w:rFonts w:hint="eastAsia" w:ascii="宋体" w:hAnsi="宋体"/>
                <w:szCs w:val="21"/>
              </w:rPr>
              <w:t>项目描述</w:t>
            </w:r>
          </w:p>
        </w:tc>
        <w:tc>
          <w:tcPr>
            <w:tcW w:w="6095" w:type="dxa"/>
            <w:noWrap w:val="0"/>
            <w:vAlign w:val="center"/>
          </w:tcPr>
          <w:p w14:paraId="4F811223">
            <w:pPr>
              <w:jc w:val="center"/>
              <w:rPr>
                <w:rFonts w:hint="eastAsia" w:ascii="宋体" w:hAnsi="宋体"/>
                <w:szCs w:val="21"/>
              </w:rPr>
            </w:pPr>
          </w:p>
        </w:tc>
      </w:tr>
      <w:tr w14:paraId="2240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1C35462">
            <w:pPr>
              <w:jc w:val="center"/>
              <w:rPr>
                <w:rFonts w:hint="eastAsia" w:ascii="宋体" w:hAnsi="宋体"/>
                <w:szCs w:val="21"/>
              </w:rPr>
            </w:pPr>
            <w:r>
              <w:rPr>
                <w:rFonts w:hint="eastAsia" w:ascii="宋体" w:hAnsi="宋体"/>
                <w:szCs w:val="21"/>
              </w:rPr>
              <w:t>备注</w:t>
            </w:r>
          </w:p>
        </w:tc>
        <w:tc>
          <w:tcPr>
            <w:tcW w:w="6095" w:type="dxa"/>
            <w:noWrap w:val="0"/>
            <w:vAlign w:val="center"/>
          </w:tcPr>
          <w:p w14:paraId="44916C07">
            <w:pPr>
              <w:jc w:val="center"/>
              <w:rPr>
                <w:rFonts w:hint="eastAsia" w:ascii="宋体" w:hAnsi="宋体"/>
                <w:szCs w:val="21"/>
              </w:rPr>
            </w:pPr>
          </w:p>
        </w:tc>
      </w:tr>
    </w:tbl>
    <w:p w14:paraId="6828C5F1">
      <w:pPr>
        <w:ind w:left="945" w:leftChars="150" w:hanging="630" w:hangingChars="300"/>
        <w:rPr>
          <w:rFonts w:hint="eastAsia"/>
          <w:szCs w:val="24"/>
        </w:rPr>
        <w:sectPr>
          <w:footerReference r:id="rId44"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备注：类似项目含义和近年具体要求见投标人须知前附表。</w:t>
      </w:r>
    </w:p>
    <w:p w14:paraId="004A8566">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sectPr>
          <w:footerReference r:id="rId45" w:type="default"/>
          <w:pgSz w:w="11906" w:h="16838"/>
          <w:pgMar w:top="1440" w:right="1800" w:bottom="1440" w:left="1800" w:header="851" w:footer="992" w:gutter="0"/>
          <w:pgNumType w:fmt="decimal"/>
          <w:cols w:space="425" w:num="1"/>
          <w:docGrid w:type="lines" w:linePitch="312" w:charSpace="0"/>
        </w:sectPr>
      </w:pPr>
      <w:bookmarkStart w:id="2312" w:name="_Toc256000430"/>
      <w:bookmarkStart w:id="2313" w:name="_Toc122603098"/>
      <w:r>
        <w:rPr>
          <w:rFonts w:hint="eastAsia"/>
          <w:szCs w:val="24"/>
          <w:lang w:eastAsia="zh-CN"/>
        </w:rPr>
        <w:t>（</w:t>
      </w:r>
      <w:r>
        <w:rPr>
          <w:rFonts w:hint="default"/>
          <w:szCs w:val="24"/>
        </w:rPr>
        <w:t>五</w:t>
      </w:r>
      <w:r>
        <w:rPr>
          <w:rFonts w:hint="eastAsia"/>
          <w:szCs w:val="24"/>
          <w:lang w:eastAsia="zh-CN"/>
        </w:rPr>
        <w:t>）</w:t>
      </w:r>
      <w:r>
        <w:rPr>
          <w:rFonts w:hint="eastAsia"/>
          <w:szCs w:val="24"/>
        </w:rPr>
        <w:t>企业信誉情况</w:t>
      </w:r>
      <w:bookmarkEnd w:id="2312"/>
      <w:bookmarkEnd w:id="2313"/>
    </w:p>
    <w:p w14:paraId="06022312">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u w:val="single"/>
        </w:rPr>
      </w:pPr>
      <w:bookmarkStart w:id="2314" w:name="_Toc256000431"/>
      <w:bookmarkStart w:id="2315" w:name="_Toc122603099"/>
      <w:r>
        <w:rPr>
          <w:rFonts w:hint="eastAsia" w:ascii="黑体" w:hAnsi="黑体" w:eastAsia="黑体" w:cs="黑体"/>
          <w:szCs w:val="21"/>
        </w:rPr>
        <w:t>5-1</w:t>
      </w:r>
      <w:r>
        <w:rPr>
          <w:rFonts w:hint="eastAsia" w:ascii="黑体" w:hAnsi="黑体" w:eastAsia="黑体" w:cs="黑体"/>
          <w:szCs w:val="21"/>
          <w:lang w:val="en-US" w:eastAsia="zh-CN"/>
        </w:rPr>
        <w:t xml:space="preserve"> </w:t>
      </w:r>
      <w:r>
        <w:rPr>
          <w:rFonts w:hint="eastAsia" w:ascii="宋体" w:hAnsi="宋体"/>
          <w:szCs w:val="21"/>
        </w:rPr>
        <w:t>企业信誉声明</w:t>
      </w:r>
      <w:bookmarkEnd w:id="2314"/>
      <w:bookmarkEnd w:id="2315"/>
    </w:p>
    <w:p w14:paraId="54E70F2E">
      <w:pPr>
        <w:rPr>
          <w:rFonts w:hint="eastAsia" w:ascii="宋体" w:hAnsi="宋体"/>
        </w:rPr>
      </w:pPr>
      <w:r>
        <w:rPr>
          <w:rFonts w:hint="eastAsia" w:ascii="宋体" w:hAnsi="宋体"/>
          <w:u w:val="single"/>
        </w:rPr>
        <w:t xml:space="preserve">                     </w:t>
      </w:r>
      <w:r>
        <w:rPr>
          <w:rFonts w:hint="eastAsia" w:ascii="宋体" w:hAnsi="宋体"/>
        </w:rPr>
        <w:t>（招标人名称）：</w:t>
      </w:r>
    </w:p>
    <w:p w14:paraId="2B1F502A">
      <w:pPr>
        <w:rPr>
          <w:rFonts w:hint="eastAsia" w:ascii="宋体" w:hAnsi="宋体"/>
        </w:rPr>
      </w:pPr>
    </w:p>
    <w:p w14:paraId="69D521B1">
      <w:pPr>
        <w:spacing w:line="440" w:lineRule="exact"/>
        <w:ind w:firstLine="420" w:firstLineChars="200"/>
        <w:rPr>
          <w:rFonts w:ascii="宋体" w:hAnsi="宋体"/>
          <w:szCs w:val="21"/>
        </w:rPr>
      </w:pPr>
      <w:r>
        <w:rPr>
          <w:rFonts w:hint="eastAsia" w:ascii="宋体" w:hAnsi="宋体"/>
          <w:szCs w:val="21"/>
        </w:rPr>
        <w:t>我方在此声明，</w:t>
      </w:r>
      <w:r>
        <w:rPr>
          <w:rFonts w:hint="eastAsia" w:ascii="宋体" w:hAnsi="宋体"/>
        </w:rPr>
        <w:t>截止本招标项目投标截止时间，我方处于</w:t>
      </w:r>
      <w:r>
        <w:rPr>
          <w:rFonts w:hint="eastAsia" w:ascii="宋体" w:hAnsi="宋体"/>
          <w:szCs w:val="21"/>
        </w:rPr>
        <w:t>正常的经营状态，不存在下列任何一种情形。</w:t>
      </w:r>
    </w:p>
    <w:p w14:paraId="311B26AB">
      <w:pPr>
        <w:spacing w:line="400" w:lineRule="exact"/>
        <w:ind w:firstLine="420" w:firstLineChars="200"/>
      </w:pPr>
      <w:r>
        <w:rPr>
          <w:rFonts w:hint="eastAsia"/>
        </w:rPr>
        <w:t>1.被依法暂停或取消投标资格；</w:t>
      </w:r>
    </w:p>
    <w:p w14:paraId="2D8474BC">
      <w:pPr>
        <w:spacing w:line="400" w:lineRule="exact"/>
        <w:ind w:firstLine="420" w:firstLineChars="200"/>
      </w:pPr>
      <w:r>
        <w:rPr>
          <w:rFonts w:hint="eastAsia"/>
        </w:rPr>
        <w:t xml:space="preserve">2.被责令停产停业、暂扣或者吊销许可证、暂扣或者吊销执照； </w:t>
      </w:r>
    </w:p>
    <w:p w14:paraId="2891A05E">
      <w:pPr>
        <w:spacing w:line="400" w:lineRule="exact"/>
        <w:ind w:firstLine="420" w:firstLineChars="200"/>
      </w:pPr>
      <w:r>
        <w:rPr>
          <w:rFonts w:hint="eastAsia"/>
        </w:rPr>
        <w:t>3.进入清算程序，或被宣告破产，或其他丧失履约能力的情形；</w:t>
      </w:r>
    </w:p>
    <w:p w14:paraId="4F4C15C6">
      <w:pPr>
        <w:spacing w:line="400" w:lineRule="exact"/>
        <w:ind w:firstLine="420" w:firstLineChars="200"/>
      </w:pPr>
      <w:r>
        <w:rPr>
          <w:rFonts w:hint="eastAsia"/>
        </w:rPr>
        <w:t>4.在最近三年内有骗取中标或严重违约或重大工程质量问题的；</w:t>
      </w:r>
    </w:p>
    <w:p w14:paraId="37B4D4D1">
      <w:pPr>
        <w:spacing w:line="400" w:lineRule="exact"/>
        <w:ind w:firstLine="420" w:firstLineChars="200"/>
      </w:pPr>
      <w:r>
        <w:rPr>
          <w:rFonts w:hint="eastAsia"/>
        </w:rPr>
        <w:t>5.在“国家企业信用信息公示系统”（</w:t>
      </w:r>
      <w:r>
        <w:t xml:space="preserve"> www.gsxt.gov.cn</w:t>
      </w:r>
      <w:r>
        <w:rPr>
          <w:rFonts w:hint="eastAsia"/>
        </w:rPr>
        <w:t>）被列入严重违法失信企业名单；</w:t>
      </w:r>
    </w:p>
    <w:p w14:paraId="426B0AB4">
      <w:pPr>
        <w:spacing w:line="400" w:lineRule="exact"/>
        <w:ind w:firstLine="420" w:firstLineChars="200"/>
      </w:pPr>
      <w:r>
        <w:rPr>
          <w:rFonts w:hint="eastAsia"/>
        </w:rPr>
        <w:t>6.在“信用中国”网站（</w:t>
      </w:r>
      <w:r>
        <w:fldChar w:fldCharType="begin"/>
      </w:r>
      <w:r>
        <w:instrText xml:space="preserve"> HYPERLINK "http://www.creditchina.gov.cn/" </w:instrText>
      </w:r>
      <w:r>
        <w:fldChar w:fldCharType="separate"/>
      </w:r>
      <w:r>
        <w:t>www.creditchina.gov.cn</w:t>
      </w:r>
      <w:r>
        <w:fldChar w:fldCharType="end"/>
      </w:r>
      <w:r>
        <w:rPr>
          <w:rFonts w:hint="eastAsia"/>
        </w:rPr>
        <w:t>）或“中国执行信息公开网”（http://zxgk.court.gov.cn/shixin/）被列入失信被执行人名单；</w:t>
      </w:r>
    </w:p>
    <w:p w14:paraId="7AB7EA7E">
      <w:pPr>
        <w:spacing w:line="400" w:lineRule="exact"/>
        <w:ind w:firstLine="420" w:firstLineChars="200"/>
      </w:pPr>
      <w:r>
        <w:rPr>
          <w:rFonts w:hint="eastAsia"/>
        </w:rPr>
        <w:t>7</w:t>
      </w:r>
      <w:r>
        <w:t>.</w:t>
      </w:r>
      <w:r>
        <w:rPr>
          <w:rFonts w:hint="eastAsia"/>
        </w:rPr>
        <w:t>在辽宁省建设工程招投标监督平台-辽宁建设工程信息网上被列入不良行为记录且在公布期内的；</w:t>
      </w:r>
    </w:p>
    <w:p w14:paraId="2016E0F7">
      <w:pPr>
        <w:spacing w:line="400" w:lineRule="exact"/>
        <w:ind w:firstLine="420" w:firstLineChars="200"/>
      </w:pPr>
      <w:r>
        <w:t>8</w:t>
      </w:r>
      <w:r>
        <w:rPr>
          <w:rFonts w:hint="eastAsia"/>
        </w:rPr>
        <w:t>.投标人须知前附表第1.4.3（17）目规定的其他情形。</w:t>
      </w:r>
    </w:p>
    <w:p w14:paraId="4FAD5364">
      <w:pPr>
        <w:spacing w:line="440" w:lineRule="exact"/>
        <w:ind w:firstLine="420" w:firstLineChars="200"/>
        <w:rPr>
          <w:rFonts w:ascii="宋体" w:hAnsi="宋体"/>
          <w:szCs w:val="21"/>
        </w:rPr>
      </w:pPr>
      <w:r>
        <w:rPr>
          <w:rFonts w:hint="eastAsia" w:ascii="宋体" w:hAnsi="宋体"/>
          <w:szCs w:val="21"/>
        </w:rPr>
        <w:t>我方</w:t>
      </w:r>
      <w:r>
        <w:rPr>
          <w:rFonts w:hint="eastAsia"/>
        </w:rPr>
        <w:t>对上述声明的</w:t>
      </w:r>
      <w:r>
        <w:rPr>
          <w:rFonts w:hint="eastAsia" w:ascii="宋体" w:hAnsi="宋体"/>
          <w:szCs w:val="21"/>
        </w:rPr>
        <w:t>真实性和准确性</w:t>
      </w:r>
      <w:r>
        <w:rPr>
          <w:rFonts w:hint="eastAsia"/>
        </w:rPr>
        <w:t>负责</w:t>
      </w:r>
      <w:r>
        <w:rPr>
          <w:rFonts w:hint="eastAsia" w:ascii="宋体" w:hAnsi="宋体"/>
          <w:szCs w:val="21"/>
        </w:rPr>
        <w:t>，并承担相应的法律责任。</w:t>
      </w:r>
    </w:p>
    <w:p w14:paraId="3BFE52F8">
      <w:pPr>
        <w:spacing w:line="440" w:lineRule="exact"/>
        <w:ind w:firstLine="420" w:firstLineChars="200"/>
        <w:rPr>
          <w:rFonts w:ascii="宋体" w:hAnsi="宋体"/>
          <w:szCs w:val="21"/>
        </w:rPr>
      </w:pPr>
      <w:r>
        <w:rPr>
          <w:rFonts w:hint="eastAsia" w:ascii="宋体" w:hAnsi="宋体"/>
          <w:szCs w:val="21"/>
        </w:rPr>
        <w:t>后附：上述条款5、6、7网站查询结果截图。</w:t>
      </w:r>
    </w:p>
    <w:p w14:paraId="7294FD81">
      <w:pPr>
        <w:spacing w:line="440" w:lineRule="exact"/>
        <w:ind w:firstLine="420" w:firstLineChars="200"/>
        <w:rPr>
          <w:rFonts w:hint="eastAsia" w:ascii="宋体" w:hAnsi="宋体"/>
          <w:szCs w:val="21"/>
        </w:rPr>
      </w:pPr>
    </w:p>
    <w:p w14:paraId="2DDC3423">
      <w:pPr>
        <w:spacing w:line="440" w:lineRule="exact"/>
        <w:ind w:firstLine="3990" w:firstLineChars="19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2CB0B2E6">
      <w:pPr>
        <w:spacing w:line="440" w:lineRule="exact"/>
        <w:ind w:firstLine="2730" w:firstLineChars="130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094C0A70">
      <w:pPr>
        <w:spacing w:line="440" w:lineRule="exact"/>
        <w:ind w:firstLine="420" w:firstLineChars="200"/>
        <w:rPr>
          <w:rFonts w:hint="eastAsia" w:ascii="宋体" w:hAnsi="宋体"/>
          <w:szCs w:val="21"/>
        </w:rPr>
      </w:pPr>
    </w:p>
    <w:p w14:paraId="0969F74B">
      <w:pPr>
        <w:spacing w:line="440" w:lineRule="exact"/>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529ACFBB">
      <w:pPr>
        <w:spacing w:line="440" w:lineRule="exact"/>
        <w:rPr>
          <w:rFonts w:hint="eastAsia" w:ascii="宋体" w:hAnsi="宋体"/>
          <w:szCs w:val="21"/>
        </w:rPr>
      </w:pPr>
    </w:p>
    <w:p w14:paraId="37042B93">
      <w:pPr>
        <w:spacing w:line="440" w:lineRule="exact"/>
        <w:rPr>
          <w:rFonts w:hint="eastAsia" w:ascii="宋体" w:hAnsi="宋体"/>
          <w:szCs w:val="21"/>
        </w:rPr>
      </w:pPr>
    </w:p>
    <w:p w14:paraId="2D89D2F2">
      <w:pPr>
        <w:ind w:left="840" w:hanging="840" w:hangingChars="400"/>
        <w:rPr>
          <w:rFonts w:hint="eastAsia" w:ascii="宋体" w:hAnsi="宋体"/>
        </w:rPr>
      </w:pPr>
      <w:r>
        <w:rPr>
          <w:rFonts w:hint="eastAsia" w:ascii="宋体" w:hAnsi="宋体"/>
        </w:rPr>
        <w:t>备注：1.投标人应针对第二章“投标人须知”第1.4.1项和第1.4.3项的要求，在此对其信誉情况做出说明。如上格式文件所示。</w:t>
      </w:r>
    </w:p>
    <w:p w14:paraId="46CDC1AD">
      <w:pPr>
        <w:sectPr>
          <w:footerReference r:id="rId46"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 xml:space="preserve">      2.联合体投标的，联合体各成员单位均应按要求做出说明。</w:t>
      </w:r>
    </w:p>
    <w:p w14:paraId="60A9DD52">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2316" w:name="_Toc122603100"/>
      <w:bookmarkStart w:id="2317" w:name="_Toc256000432"/>
      <w:r>
        <w:rPr>
          <w:rFonts w:hint="default"/>
          <w:szCs w:val="24"/>
        </w:rPr>
        <w:t>5-2</w:t>
      </w:r>
      <w:r>
        <w:rPr>
          <w:rFonts w:hint="eastAsia"/>
          <w:szCs w:val="24"/>
        </w:rPr>
        <w:t xml:space="preserve"> 近年发生的诉讼和仲裁情况</w:t>
      </w:r>
      <w:bookmarkEnd w:id="2316"/>
      <w:bookmarkEnd w:id="2317"/>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15E32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6E680919">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类别</w:t>
            </w:r>
          </w:p>
        </w:tc>
        <w:tc>
          <w:tcPr>
            <w:tcW w:w="954" w:type="dxa"/>
            <w:noWrap w:val="0"/>
            <w:vAlign w:val="center"/>
          </w:tcPr>
          <w:p w14:paraId="2AE96738">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260" w:type="dxa"/>
            <w:noWrap w:val="0"/>
            <w:vAlign w:val="center"/>
          </w:tcPr>
          <w:p w14:paraId="46265F6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发生时间</w:t>
            </w:r>
          </w:p>
        </w:tc>
        <w:tc>
          <w:tcPr>
            <w:tcW w:w="3600" w:type="dxa"/>
            <w:noWrap w:val="0"/>
            <w:vAlign w:val="center"/>
          </w:tcPr>
          <w:p w14:paraId="21B3900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情况简介</w:t>
            </w:r>
          </w:p>
        </w:tc>
        <w:tc>
          <w:tcPr>
            <w:tcW w:w="1952" w:type="dxa"/>
            <w:noWrap w:val="0"/>
            <w:vAlign w:val="center"/>
          </w:tcPr>
          <w:p w14:paraId="2D260E3D">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证明材料索引</w:t>
            </w:r>
          </w:p>
        </w:tc>
      </w:tr>
      <w:tr w14:paraId="2F2F5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0E65E98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诉</w:t>
            </w:r>
          </w:p>
          <w:p w14:paraId="2750C52A">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讼</w:t>
            </w:r>
          </w:p>
          <w:p w14:paraId="3A2BCBF7">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65042AF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况</w:t>
            </w:r>
          </w:p>
        </w:tc>
        <w:tc>
          <w:tcPr>
            <w:tcW w:w="954" w:type="dxa"/>
            <w:noWrap w:val="0"/>
            <w:vAlign w:val="center"/>
          </w:tcPr>
          <w:p w14:paraId="3AEF6798">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0CA55260">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741C1E91">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67AD0B25">
            <w:pPr>
              <w:keepNext w:val="0"/>
              <w:keepLines w:val="0"/>
              <w:suppressLineNumbers w:val="0"/>
              <w:spacing w:before="0" w:beforeAutospacing="0" w:after="0" w:afterAutospacing="0"/>
              <w:ind w:left="0" w:right="0"/>
              <w:jc w:val="center"/>
              <w:rPr>
                <w:rFonts w:hint="eastAsia" w:ascii="宋体" w:hAnsi="宋体"/>
                <w:szCs w:val="21"/>
              </w:rPr>
            </w:pPr>
          </w:p>
        </w:tc>
      </w:tr>
      <w:tr w14:paraId="1EEBA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D51CB96">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07668725">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0CDEA94">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70EBF483">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500E752E">
            <w:pPr>
              <w:keepNext w:val="0"/>
              <w:keepLines w:val="0"/>
              <w:suppressLineNumbers w:val="0"/>
              <w:spacing w:before="0" w:beforeAutospacing="0" w:after="0" w:afterAutospacing="0"/>
              <w:ind w:left="0" w:right="0"/>
              <w:jc w:val="center"/>
              <w:rPr>
                <w:rFonts w:hint="eastAsia" w:ascii="宋体" w:hAnsi="宋体"/>
                <w:szCs w:val="21"/>
              </w:rPr>
            </w:pPr>
          </w:p>
        </w:tc>
      </w:tr>
      <w:tr w14:paraId="38350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D4B4577">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7DB41EC0">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11D4E48E">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E43D6D7">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5454CAC5">
            <w:pPr>
              <w:keepNext w:val="0"/>
              <w:keepLines w:val="0"/>
              <w:suppressLineNumbers w:val="0"/>
              <w:spacing w:before="0" w:beforeAutospacing="0" w:after="0" w:afterAutospacing="0"/>
              <w:ind w:left="0" w:right="0"/>
              <w:jc w:val="center"/>
              <w:rPr>
                <w:rFonts w:hint="eastAsia" w:ascii="宋体" w:hAnsi="宋体"/>
                <w:szCs w:val="21"/>
              </w:rPr>
            </w:pPr>
          </w:p>
        </w:tc>
      </w:tr>
      <w:tr w14:paraId="39F3C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74125100">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仲</w:t>
            </w:r>
          </w:p>
          <w:p w14:paraId="54DFB162">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裁</w:t>
            </w:r>
          </w:p>
          <w:p w14:paraId="1283F14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2AC5CF6D">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Cs w:val="21"/>
              </w:rPr>
              <w:t>况</w:t>
            </w:r>
          </w:p>
        </w:tc>
        <w:tc>
          <w:tcPr>
            <w:tcW w:w="954" w:type="dxa"/>
            <w:noWrap w:val="0"/>
            <w:vAlign w:val="center"/>
          </w:tcPr>
          <w:p w14:paraId="4A215B11">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8BC7AF3">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553B7DDF">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483CC7AF">
            <w:pPr>
              <w:keepNext w:val="0"/>
              <w:keepLines w:val="0"/>
              <w:suppressLineNumbers w:val="0"/>
              <w:spacing w:before="0" w:beforeAutospacing="0" w:after="0" w:afterAutospacing="0"/>
              <w:ind w:left="0" w:right="0"/>
              <w:jc w:val="center"/>
              <w:rPr>
                <w:rFonts w:hint="eastAsia" w:ascii="宋体" w:hAnsi="宋体"/>
                <w:szCs w:val="21"/>
              </w:rPr>
            </w:pPr>
          </w:p>
        </w:tc>
      </w:tr>
      <w:tr w14:paraId="4C30C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A65A3EA">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32A48B51">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66DFC1A">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613EC202">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859833B">
            <w:pPr>
              <w:keepNext w:val="0"/>
              <w:keepLines w:val="0"/>
              <w:suppressLineNumbers w:val="0"/>
              <w:spacing w:before="0" w:beforeAutospacing="0" w:after="0" w:afterAutospacing="0"/>
              <w:ind w:left="0" w:right="0"/>
              <w:jc w:val="center"/>
              <w:rPr>
                <w:rFonts w:hint="eastAsia" w:ascii="宋体" w:hAnsi="宋体"/>
                <w:szCs w:val="21"/>
              </w:rPr>
            </w:pPr>
          </w:p>
        </w:tc>
      </w:tr>
      <w:tr w14:paraId="378D6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678D0CE">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331F4962">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28608B21">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45F4A12">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6188782B">
            <w:pPr>
              <w:keepNext w:val="0"/>
              <w:keepLines w:val="0"/>
              <w:suppressLineNumbers w:val="0"/>
              <w:spacing w:before="0" w:beforeAutospacing="0" w:after="0" w:afterAutospacing="0"/>
              <w:ind w:left="0" w:right="0"/>
              <w:jc w:val="center"/>
              <w:rPr>
                <w:rFonts w:hint="eastAsia" w:ascii="宋体" w:hAnsi="宋体"/>
                <w:szCs w:val="21"/>
              </w:rPr>
            </w:pPr>
          </w:p>
        </w:tc>
      </w:tr>
    </w:tbl>
    <w:p w14:paraId="3FEC4D6A">
      <w:pPr>
        <w:spacing w:line="400" w:lineRule="exact"/>
        <w:ind w:left="840" w:hanging="840" w:hangingChars="400"/>
        <w:rPr>
          <w:rFonts w:ascii="宋体" w:hAnsi="宋体"/>
          <w:szCs w:val="21"/>
        </w:rPr>
      </w:pPr>
      <w:r>
        <w:rPr>
          <w:rFonts w:hint="eastAsia" w:ascii="宋体" w:hAnsi="宋体"/>
          <w:szCs w:val="21"/>
        </w:rPr>
        <w:t>备注：</w:t>
      </w:r>
      <w:r>
        <w:rPr>
          <w:rFonts w:hint="eastAsia"/>
          <w:szCs w:val="21"/>
        </w:rPr>
        <w:t>1.招标文件将近年发生的诉讼和仲裁情况作为资格条件或评审项或否决条件的，投标人应当如实填报相关情况。没有可不填。</w:t>
      </w:r>
    </w:p>
    <w:p w14:paraId="551EEF7B">
      <w:pPr>
        <w:spacing w:line="400" w:lineRule="exact"/>
        <w:ind w:left="840" w:leftChars="300" w:hanging="210" w:hangingChars="100"/>
        <w:rPr>
          <w:rFonts w:hint="eastAsia"/>
          <w:szCs w:val="21"/>
        </w:rPr>
      </w:pPr>
      <w:r>
        <w:rPr>
          <w:rFonts w:hint="eastAsia"/>
          <w:szCs w:val="21"/>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7BC8E056">
      <w:pPr>
        <w:spacing w:line="400" w:lineRule="exact"/>
        <w:ind w:left="840" w:leftChars="300" w:hanging="210" w:hangingChars="100"/>
        <w:rPr>
          <w:rFonts w:hint="eastAsia" w:ascii="宋体" w:hAnsi="宋体"/>
          <w:szCs w:val="21"/>
        </w:rPr>
        <w:sectPr>
          <w:footerReference r:id="rId47" w:type="default"/>
          <w:pgSz w:w="11906" w:h="16838"/>
          <w:pgMar w:top="1440" w:right="1800" w:bottom="1440" w:left="1800" w:header="851" w:footer="992" w:gutter="0"/>
          <w:pgNumType w:fmt="decimal"/>
          <w:cols w:space="425" w:num="1"/>
          <w:docGrid w:type="lines" w:linePitch="312" w:charSpace="0"/>
        </w:sectPr>
      </w:pPr>
      <w:r>
        <w:rPr>
          <w:rFonts w:hint="eastAsia"/>
          <w:szCs w:val="21"/>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5125A7D0">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2318" w:name="_Toc122603101"/>
      <w:bookmarkStart w:id="2319" w:name="_Toc256000433"/>
      <w:r>
        <w:rPr>
          <w:rFonts w:hint="default"/>
          <w:szCs w:val="24"/>
        </w:rPr>
        <w:t>5-3</w:t>
      </w:r>
      <w:r>
        <w:rPr>
          <w:rFonts w:hint="eastAsia"/>
          <w:szCs w:val="24"/>
        </w:rPr>
        <w:t xml:space="preserve"> 近年投标人工程获奖</w:t>
      </w:r>
      <w:r>
        <w:rPr>
          <w:szCs w:val="24"/>
        </w:rPr>
        <w:t>情况表</w:t>
      </w:r>
      <w:bookmarkEnd w:id="2318"/>
      <w:bookmarkEnd w:id="2319"/>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587B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152AC87">
            <w:pPr>
              <w:topLinePunct/>
              <w:spacing w:line="400" w:lineRule="atLeast"/>
              <w:jc w:val="center"/>
              <w:rPr>
                <w:rFonts w:hint="eastAsia"/>
                <w:szCs w:val="21"/>
              </w:rPr>
            </w:pPr>
            <w:r>
              <w:rPr>
                <w:rFonts w:hint="eastAsia"/>
                <w:szCs w:val="21"/>
              </w:rPr>
              <w:t>序号</w:t>
            </w:r>
          </w:p>
        </w:tc>
        <w:tc>
          <w:tcPr>
            <w:tcW w:w="2402" w:type="dxa"/>
            <w:noWrap w:val="0"/>
            <w:vAlign w:val="top"/>
          </w:tcPr>
          <w:p w14:paraId="04E3C2F4">
            <w:pPr>
              <w:topLinePunct/>
              <w:spacing w:line="400" w:lineRule="atLeast"/>
              <w:jc w:val="center"/>
              <w:rPr>
                <w:rFonts w:hint="eastAsia"/>
                <w:szCs w:val="21"/>
              </w:rPr>
            </w:pPr>
            <w:r>
              <w:rPr>
                <w:rFonts w:hint="eastAsia"/>
                <w:szCs w:val="21"/>
              </w:rPr>
              <w:t>项目名称</w:t>
            </w:r>
          </w:p>
        </w:tc>
        <w:tc>
          <w:tcPr>
            <w:tcW w:w="1800" w:type="dxa"/>
            <w:noWrap w:val="0"/>
            <w:vAlign w:val="top"/>
          </w:tcPr>
          <w:p w14:paraId="38A7CCA5">
            <w:pPr>
              <w:topLinePunct/>
              <w:spacing w:line="400" w:lineRule="atLeast"/>
              <w:jc w:val="center"/>
              <w:rPr>
                <w:rFonts w:hint="eastAsia"/>
                <w:szCs w:val="21"/>
              </w:rPr>
            </w:pPr>
            <w:r>
              <w:rPr>
                <w:rFonts w:hint="eastAsia"/>
                <w:szCs w:val="21"/>
              </w:rPr>
              <w:t>获奖名称</w:t>
            </w:r>
          </w:p>
        </w:tc>
        <w:tc>
          <w:tcPr>
            <w:tcW w:w="1440" w:type="dxa"/>
            <w:noWrap w:val="0"/>
            <w:vAlign w:val="top"/>
          </w:tcPr>
          <w:p w14:paraId="679F63FA">
            <w:pPr>
              <w:topLinePunct/>
              <w:spacing w:line="400" w:lineRule="atLeast"/>
              <w:jc w:val="center"/>
              <w:rPr>
                <w:rFonts w:hint="eastAsia"/>
                <w:szCs w:val="21"/>
              </w:rPr>
            </w:pPr>
            <w:r>
              <w:rPr>
                <w:rFonts w:hint="eastAsia"/>
                <w:szCs w:val="21"/>
              </w:rPr>
              <w:t>获奖日期</w:t>
            </w:r>
          </w:p>
        </w:tc>
        <w:tc>
          <w:tcPr>
            <w:tcW w:w="2160" w:type="dxa"/>
            <w:noWrap w:val="0"/>
            <w:vAlign w:val="top"/>
          </w:tcPr>
          <w:p w14:paraId="3E09E130">
            <w:pPr>
              <w:topLinePunct/>
              <w:spacing w:line="400" w:lineRule="atLeast"/>
              <w:jc w:val="center"/>
              <w:rPr>
                <w:rFonts w:hint="eastAsia"/>
                <w:szCs w:val="21"/>
              </w:rPr>
            </w:pPr>
            <w:r>
              <w:rPr>
                <w:rFonts w:hint="eastAsia"/>
                <w:szCs w:val="21"/>
              </w:rPr>
              <w:t>颁奖单位</w:t>
            </w:r>
          </w:p>
        </w:tc>
      </w:tr>
      <w:tr w14:paraId="68CC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457D4F">
            <w:pPr>
              <w:topLinePunct/>
              <w:spacing w:line="400" w:lineRule="atLeast"/>
              <w:jc w:val="center"/>
              <w:rPr>
                <w:szCs w:val="21"/>
              </w:rPr>
            </w:pPr>
          </w:p>
        </w:tc>
        <w:tc>
          <w:tcPr>
            <w:tcW w:w="2402" w:type="dxa"/>
            <w:noWrap w:val="0"/>
            <w:vAlign w:val="top"/>
          </w:tcPr>
          <w:p w14:paraId="42AEA819">
            <w:pPr>
              <w:topLinePunct/>
              <w:spacing w:line="400" w:lineRule="atLeast"/>
              <w:jc w:val="center"/>
              <w:rPr>
                <w:szCs w:val="21"/>
              </w:rPr>
            </w:pPr>
          </w:p>
        </w:tc>
        <w:tc>
          <w:tcPr>
            <w:tcW w:w="1800" w:type="dxa"/>
            <w:noWrap w:val="0"/>
            <w:vAlign w:val="top"/>
          </w:tcPr>
          <w:p w14:paraId="020D14DD">
            <w:pPr>
              <w:topLinePunct/>
              <w:spacing w:line="400" w:lineRule="atLeast"/>
              <w:jc w:val="center"/>
              <w:rPr>
                <w:szCs w:val="21"/>
              </w:rPr>
            </w:pPr>
          </w:p>
        </w:tc>
        <w:tc>
          <w:tcPr>
            <w:tcW w:w="1440" w:type="dxa"/>
            <w:noWrap w:val="0"/>
            <w:vAlign w:val="top"/>
          </w:tcPr>
          <w:p w14:paraId="493D5AEC">
            <w:pPr>
              <w:topLinePunct/>
              <w:spacing w:line="400" w:lineRule="atLeast"/>
              <w:jc w:val="center"/>
              <w:rPr>
                <w:szCs w:val="21"/>
              </w:rPr>
            </w:pPr>
          </w:p>
        </w:tc>
        <w:tc>
          <w:tcPr>
            <w:tcW w:w="2160" w:type="dxa"/>
            <w:noWrap w:val="0"/>
            <w:vAlign w:val="top"/>
          </w:tcPr>
          <w:p w14:paraId="4707D5C3">
            <w:pPr>
              <w:topLinePunct/>
              <w:spacing w:line="400" w:lineRule="atLeast"/>
              <w:jc w:val="center"/>
              <w:rPr>
                <w:szCs w:val="21"/>
              </w:rPr>
            </w:pPr>
          </w:p>
        </w:tc>
      </w:tr>
      <w:tr w14:paraId="7D1D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6ABF5B">
            <w:pPr>
              <w:topLinePunct/>
              <w:spacing w:line="400" w:lineRule="atLeast"/>
              <w:jc w:val="center"/>
              <w:rPr>
                <w:szCs w:val="21"/>
              </w:rPr>
            </w:pPr>
          </w:p>
        </w:tc>
        <w:tc>
          <w:tcPr>
            <w:tcW w:w="2402" w:type="dxa"/>
            <w:noWrap w:val="0"/>
            <w:vAlign w:val="top"/>
          </w:tcPr>
          <w:p w14:paraId="00CF9BF1">
            <w:pPr>
              <w:topLinePunct/>
              <w:spacing w:line="400" w:lineRule="atLeast"/>
              <w:jc w:val="center"/>
              <w:rPr>
                <w:szCs w:val="21"/>
              </w:rPr>
            </w:pPr>
          </w:p>
        </w:tc>
        <w:tc>
          <w:tcPr>
            <w:tcW w:w="1800" w:type="dxa"/>
            <w:noWrap w:val="0"/>
            <w:vAlign w:val="top"/>
          </w:tcPr>
          <w:p w14:paraId="23448A4A">
            <w:pPr>
              <w:topLinePunct/>
              <w:spacing w:line="400" w:lineRule="atLeast"/>
              <w:jc w:val="center"/>
              <w:rPr>
                <w:szCs w:val="21"/>
              </w:rPr>
            </w:pPr>
          </w:p>
        </w:tc>
        <w:tc>
          <w:tcPr>
            <w:tcW w:w="1440" w:type="dxa"/>
            <w:noWrap w:val="0"/>
            <w:vAlign w:val="top"/>
          </w:tcPr>
          <w:p w14:paraId="762CE304">
            <w:pPr>
              <w:topLinePunct/>
              <w:spacing w:line="400" w:lineRule="atLeast"/>
              <w:jc w:val="center"/>
              <w:rPr>
                <w:szCs w:val="21"/>
              </w:rPr>
            </w:pPr>
          </w:p>
        </w:tc>
        <w:tc>
          <w:tcPr>
            <w:tcW w:w="2160" w:type="dxa"/>
            <w:noWrap w:val="0"/>
            <w:vAlign w:val="top"/>
          </w:tcPr>
          <w:p w14:paraId="6F320E95">
            <w:pPr>
              <w:topLinePunct/>
              <w:spacing w:line="400" w:lineRule="atLeast"/>
              <w:jc w:val="center"/>
              <w:rPr>
                <w:szCs w:val="21"/>
              </w:rPr>
            </w:pPr>
          </w:p>
        </w:tc>
      </w:tr>
      <w:tr w14:paraId="51A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4FD16D4">
            <w:pPr>
              <w:topLinePunct/>
              <w:spacing w:line="400" w:lineRule="atLeast"/>
              <w:jc w:val="center"/>
              <w:rPr>
                <w:szCs w:val="21"/>
              </w:rPr>
            </w:pPr>
          </w:p>
        </w:tc>
        <w:tc>
          <w:tcPr>
            <w:tcW w:w="2402" w:type="dxa"/>
            <w:noWrap w:val="0"/>
            <w:vAlign w:val="top"/>
          </w:tcPr>
          <w:p w14:paraId="76020A28">
            <w:pPr>
              <w:topLinePunct/>
              <w:spacing w:line="400" w:lineRule="atLeast"/>
              <w:jc w:val="center"/>
              <w:rPr>
                <w:szCs w:val="21"/>
              </w:rPr>
            </w:pPr>
          </w:p>
        </w:tc>
        <w:tc>
          <w:tcPr>
            <w:tcW w:w="1800" w:type="dxa"/>
            <w:noWrap w:val="0"/>
            <w:vAlign w:val="top"/>
          </w:tcPr>
          <w:p w14:paraId="6561E921">
            <w:pPr>
              <w:topLinePunct/>
              <w:spacing w:line="400" w:lineRule="atLeast"/>
              <w:jc w:val="center"/>
              <w:rPr>
                <w:szCs w:val="21"/>
              </w:rPr>
            </w:pPr>
          </w:p>
        </w:tc>
        <w:tc>
          <w:tcPr>
            <w:tcW w:w="1440" w:type="dxa"/>
            <w:noWrap w:val="0"/>
            <w:vAlign w:val="top"/>
          </w:tcPr>
          <w:p w14:paraId="096D9070">
            <w:pPr>
              <w:topLinePunct/>
              <w:spacing w:line="400" w:lineRule="atLeast"/>
              <w:jc w:val="center"/>
              <w:rPr>
                <w:szCs w:val="21"/>
              </w:rPr>
            </w:pPr>
          </w:p>
        </w:tc>
        <w:tc>
          <w:tcPr>
            <w:tcW w:w="2160" w:type="dxa"/>
            <w:noWrap w:val="0"/>
            <w:vAlign w:val="top"/>
          </w:tcPr>
          <w:p w14:paraId="45D020EB">
            <w:pPr>
              <w:topLinePunct/>
              <w:spacing w:line="400" w:lineRule="atLeast"/>
              <w:jc w:val="center"/>
              <w:rPr>
                <w:szCs w:val="21"/>
              </w:rPr>
            </w:pPr>
          </w:p>
        </w:tc>
      </w:tr>
      <w:tr w14:paraId="1443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B18FEFF">
            <w:pPr>
              <w:topLinePunct/>
              <w:spacing w:line="400" w:lineRule="atLeast"/>
              <w:jc w:val="center"/>
              <w:rPr>
                <w:szCs w:val="21"/>
              </w:rPr>
            </w:pPr>
          </w:p>
        </w:tc>
        <w:tc>
          <w:tcPr>
            <w:tcW w:w="2402" w:type="dxa"/>
            <w:noWrap w:val="0"/>
            <w:vAlign w:val="top"/>
          </w:tcPr>
          <w:p w14:paraId="7285FC6D">
            <w:pPr>
              <w:topLinePunct/>
              <w:spacing w:line="400" w:lineRule="atLeast"/>
              <w:jc w:val="center"/>
              <w:rPr>
                <w:szCs w:val="21"/>
              </w:rPr>
            </w:pPr>
          </w:p>
        </w:tc>
        <w:tc>
          <w:tcPr>
            <w:tcW w:w="1800" w:type="dxa"/>
            <w:noWrap w:val="0"/>
            <w:vAlign w:val="top"/>
          </w:tcPr>
          <w:p w14:paraId="6F7021C9">
            <w:pPr>
              <w:topLinePunct/>
              <w:spacing w:line="400" w:lineRule="atLeast"/>
              <w:jc w:val="center"/>
              <w:rPr>
                <w:szCs w:val="21"/>
              </w:rPr>
            </w:pPr>
          </w:p>
        </w:tc>
        <w:tc>
          <w:tcPr>
            <w:tcW w:w="1440" w:type="dxa"/>
            <w:noWrap w:val="0"/>
            <w:vAlign w:val="top"/>
          </w:tcPr>
          <w:p w14:paraId="5ED6A881">
            <w:pPr>
              <w:topLinePunct/>
              <w:spacing w:line="400" w:lineRule="atLeast"/>
              <w:jc w:val="center"/>
              <w:rPr>
                <w:szCs w:val="21"/>
              </w:rPr>
            </w:pPr>
          </w:p>
        </w:tc>
        <w:tc>
          <w:tcPr>
            <w:tcW w:w="2160" w:type="dxa"/>
            <w:noWrap w:val="0"/>
            <w:vAlign w:val="top"/>
          </w:tcPr>
          <w:p w14:paraId="72970EA3">
            <w:pPr>
              <w:topLinePunct/>
              <w:spacing w:line="400" w:lineRule="atLeast"/>
              <w:jc w:val="center"/>
              <w:rPr>
                <w:szCs w:val="21"/>
              </w:rPr>
            </w:pPr>
          </w:p>
        </w:tc>
      </w:tr>
      <w:tr w14:paraId="1C41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BF801E7">
            <w:pPr>
              <w:topLinePunct/>
              <w:spacing w:line="400" w:lineRule="atLeast"/>
              <w:jc w:val="center"/>
              <w:rPr>
                <w:szCs w:val="21"/>
              </w:rPr>
            </w:pPr>
          </w:p>
        </w:tc>
        <w:tc>
          <w:tcPr>
            <w:tcW w:w="2402" w:type="dxa"/>
            <w:noWrap w:val="0"/>
            <w:vAlign w:val="top"/>
          </w:tcPr>
          <w:p w14:paraId="2E99F785">
            <w:pPr>
              <w:topLinePunct/>
              <w:spacing w:line="400" w:lineRule="atLeast"/>
              <w:jc w:val="center"/>
              <w:rPr>
                <w:szCs w:val="21"/>
              </w:rPr>
            </w:pPr>
          </w:p>
        </w:tc>
        <w:tc>
          <w:tcPr>
            <w:tcW w:w="1800" w:type="dxa"/>
            <w:noWrap w:val="0"/>
            <w:vAlign w:val="top"/>
          </w:tcPr>
          <w:p w14:paraId="04CF8A27">
            <w:pPr>
              <w:topLinePunct/>
              <w:spacing w:line="400" w:lineRule="atLeast"/>
              <w:jc w:val="center"/>
              <w:rPr>
                <w:szCs w:val="21"/>
              </w:rPr>
            </w:pPr>
          </w:p>
        </w:tc>
        <w:tc>
          <w:tcPr>
            <w:tcW w:w="1440" w:type="dxa"/>
            <w:noWrap w:val="0"/>
            <w:vAlign w:val="top"/>
          </w:tcPr>
          <w:p w14:paraId="7916888A">
            <w:pPr>
              <w:topLinePunct/>
              <w:spacing w:line="400" w:lineRule="atLeast"/>
              <w:jc w:val="center"/>
              <w:rPr>
                <w:szCs w:val="21"/>
              </w:rPr>
            </w:pPr>
          </w:p>
        </w:tc>
        <w:tc>
          <w:tcPr>
            <w:tcW w:w="2160" w:type="dxa"/>
            <w:noWrap w:val="0"/>
            <w:vAlign w:val="top"/>
          </w:tcPr>
          <w:p w14:paraId="3B307277">
            <w:pPr>
              <w:topLinePunct/>
              <w:spacing w:line="400" w:lineRule="atLeast"/>
              <w:jc w:val="center"/>
              <w:rPr>
                <w:szCs w:val="21"/>
              </w:rPr>
            </w:pPr>
          </w:p>
        </w:tc>
      </w:tr>
      <w:tr w14:paraId="13C7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77A888">
            <w:pPr>
              <w:topLinePunct/>
              <w:spacing w:line="400" w:lineRule="atLeast"/>
              <w:jc w:val="center"/>
              <w:rPr>
                <w:szCs w:val="21"/>
              </w:rPr>
            </w:pPr>
          </w:p>
        </w:tc>
        <w:tc>
          <w:tcPr>
            <w:tcW w:w="2402" w:type="dxa"/>
            <w:noWrap w:val="0"/>
            <w:vAlign w:val="top"/>
          </w:tcPr>
          <w:p w14:paraId="40EE50DA">
            <w:pPr>
              <w:topLinePunct/>
              <w:spacing w:line="400" w:lineRule="atLeast"/>
              <w:jc w:val="center"/>
              <w:rPr>
                <w:szCs w:val="21"/>
              </w:rPr>
            </w:pPr>
          </w:p>
        </w:tc>
        <w:tc>
          <w:tcPr>
            <w:tcW w:w="1800" w:type="dxa"/>
            <w:noWrap w:val="0"/>
            <w:vAlign w:val="top"/>
          </w:tcPr>
          <w:p w14:paraId="682C9C90">
            <w:pPr>
              <w:topLinePunct/>
              <w:spacing w:line="400" w:lineRule="atLeast"/>
              <w:jc w:val="center"/>
              <w:rPr>
                <w:szCs w:val="21"/>
              </w:rPr>
            </w:pPr>
          </w:p>
        </w:tc>
        <w:tc>
          <w:tcPr>
            <w:tcW w:w="1440" w:type="dxa"/>
            <w:noWrap w:val="0"/>
            <w:vAlign w:val="top"/>
          </w:tcPr>
          <w:p w14:paraId="1E43C2C8">
            <w:pPr>
              <w:topLinePunct/>
              <w:spacing w:line="400" w:lineRule="atLeast"/>
              <w:jc w:val="center"/>
              <w:rPr>
                <w:szCs w:val="21"/>
              </w:rPr>
            </w:pPr>
          </w:p>
        </w:tc>
        <w:tc>
          <w:tcPr>
            <w:tcW w:w="2160" w:type="dxa"/>
            <w:noWrap w:val="0"/>
            <w:vAlign w:val="top"/>
          </w:tcPr>
          <w:p w14:paraId="14AF9B8C">
            <w:pPr>
              <w:topLinePunct/>
              <w:spacing w:line="400" w:lineRule="atLeast"/>
              <w:jc w:val="center"/>
              <w:rPr>
                <w:szCs w:val="21"/>
              </w:rPr>
            </w:pPr>
          </w:p>
        </w:tc>
      </w:tr>
      <w:tr w14:paraId="5ED0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E40119A">
            <w:pPr>
              <w:topLinePunct/>
              <w:spacing w:line="400" w:lineRule="atLeast"/>
              <w:jc w:val="center"/>
              <w:rPr>
                <w:szCs w:val="21"/>
              </w:rPr>
            </w:pPr>
          </w:p>
        </w:tc>
        <w:tc>
          <w:tcPr>
            <w:tcW w:w="2402" w:type="dxa"/>
            <w:noWrap w:val="0"/>
            <w:vAlign w:val="top"/>
          </w:tcPr>
          <w:p w14:paraId="4FE22667">
            <w:pPr>
              <w:topLinePunct/>
              <w:spacing w:line="400" w:lineRule="atLeast"/>
              <w:jc w:val="center"/>
              <w:rPr>
                <w:szCs w:val="21"/>
              </w:rPr>
            </w:pPr>
          </w:p>
        </w:tc>
        <w:tc>
          <w:tcPr>
            <w:tcW w:w="1800" w:type="dxa"/>
            <w:noWrap w:val="0"/>
            <w:vAlign w:val="top"/>
          </w:tcPr>
          <w:p w14:paraId="7E079C88">
            <w:pPr>
              <w:topLinePunct/>
              <w:spacing w:line="400" w:lineRule="atLeast"/>
              <w:jc w:val="center"/>
              <w:rPr>
                <w:szCs w:val="21"/>
              </w:rPr>
            </w:pPr>
          </w:p>
        </w:tc>
        <w:tc>
          <w:tcPr>
            <w:tcW w:w="1440" w:type="dxa"/>
            <w:noWrap w:val="0"/>
            <w:vAlign w:val="top"/>
          </w:tcPr>
          <w:p w14:paraId="452B32E3">
            <w:pPr>
              <w:topLinePunct/>
              <w:spacing w:line="400" w:lineRule="atLeast"/>
              <w:jc w:val="center"/>
              <w:rPr>
                <w:szCs w:val="21"/>
              </w:rPr>
            </w:pPr>
          </w:p>
        </w:tc>
        <w:tc>
          <w:tcPr>
            <w:tcW w:w="2160" w:type="dxa"/>
            <w:noWrap w:val="0"/>
            <w:vAlign w:val="top"/>
          </w:tcPr>
          <w:p w14:paraId="53ED5633">
            <w:pPr>
              <w:topLinePunct/>
              <w:spacing w:line="400" w:lineRule="atLeast"/>
              <w:jc w:val="center"/>
              <w:rPr>
                <w:szCs w:val="21"/>
              </w:rPr>
            </w:pPr>
          </w:p>
        </w:tc>
      </w:tr>
      <w:tr w14:paraId="0A18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20C82DD">
            <w:pPr>
              <w:topLinePunct/>
              <w:spacing w:line="400" w:lineRule="atLeast"/>
              <w:jc w:val="center"/>
              <w:rPr>
                <w:szCs w:val="21"/>
              </w:rPr>
            </w:pPr>
          </w:p>
        </w:tc>
        <w:tc>
          <w:tcPr>
            <w:tcW w:w="2402" w:type="dxa"/>
            <w:noWrap w:val="0"/>
            <w:vAlign w:val="top"/>
          </w:tcPr>
          <w:p w14:paraId="0D8E1EE0">
            <w:pPr>
              <w:topLinePunct/>
              <w:spacing w:line="400" w:lineRule="atLeast"/>
              <w:jc w:val="center"/>
              <w:rPr>
                <w:szCs w:val="21"/>
              </w:rPr>
            </w:pPr>
          </w:p>
        </w:tc>
        <w:tc>
          <w:tcPr>
            <w:tcW w:w="1800" w:type="dxa"/>
            <w:noWrap w:val="0"/>
            <w:vAlign w:val="top"/>
          </w:tcPr>
          <w:p w14:paraId="4CD2BA91">
            <w:pPr>
              <w:topLinePunct/>
              <w:spacing w:line="400" w:lineRule="atLeast"/>
              <w:jc w:val="center"/>
              <w:rPr>
                <w:szCs w:val="21"/>
              </w:rPr>
            </w:pPr>
          </w:p>
        </w:tc>
        <w:tc>
          <w:tcPr>
            <w:tcW w:w="1440" w:type="dxa"/>
            <w:noWrap w:val="0"/>
            <w:vAlign w:val="top"/>
          </w:tcPr>
          <w:p w14:paraId="330D50D4">
            <w:pPr>
              <w:topLinePunct/>
              <w:spacing w:line="400" w:lineRule="atLeast"/>
              <w:jc w:val="center"/>
              <w:rPr>
                <w:szCs w:val="21"/>
              </w:rPr>
            </w:pPr>
          </w:p>
        </w:tc>
        <w:tc>
          <w:tcPr>
            <w:tcW w:w="2160" w:type="dxa"/>
            <w:noWrap w:val="0"/>
            <w:vAlign w:val="top"/>
          </w:tcPr>
          <w:p w14:paraId="6C79D4ED">
            <w:pPr>
              <w:topLinePunct/>
              <w:spacing w:line="400" w:lineRule="atLeast"/>
              <w:jc w:val="center"/>
              <w:rPr>
                <w:szCs w:val="21"/>
              </w:rPr>
            </w:pPr>
          </w:p>
        </w:tc>
      </w:tr>
      <w:tr w14:paraId="3367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85910B9">
            <w:pPr>
              <w:topLinePunct/>
              <w:spacing w:line="400" w:lineRule="atLeast"/>
              <w:jc w:val="center"/>
              <w:rPr>
                <w:szCs w:val="21"/>
              </w:rPr>
            </w:pPr>
          </w:p>
        </w:tc>
        <w:tc>
          <w:tcPr>
            <w:tcW w:w="2402" w:type="dxa"/>
            <w:noWrap w:val="0"/>
            <w:vAlign w:val="top"/>
          </w:tcPr>
          <w:p w14:paraId="60105CA8">
            <w:pPr>
              <w:topLinePunct/>
              <w:spacing w:line="400" w:lineRule="atLeast"/>
              <w:jc w:val="center"/>
              <w:rPr>
                <w:szCs w:val="21"/>
              </w:rPr>
            </w:pPr>
          </w:p>
        </w:tc>
        <w:tc>
          <w:tcPr>
            <w:tcW w:w="1800" w:type="dxa"/>
            <w:noWrap w:val="0"/>
            <w:vAlign w:val="top"/>
          </w:tcPr>
          <w:p w14:paraId="05CCDB62">
            <w:pPr>
              <w:topLinePunct/>
              <w:spacing w:line="400" w:lineRule="atLeast"/>
              <w:jc w:val="center"/>
              <w:rPr>
                <w:szCs w:val="21"/>
              </w:rPr>
            </w:pPr>
          </w:p>
        </w:tc>
        <w:tc>
          <w:tcPr>
            <w:tcW w:w="1440" w:type="dxa"/>
            <w:noWrap w:val="0"/>
            <w:vAlign w:val="top"/>
          </w:tcPr>
          <w:p w14:paraId="19C7485C">
            <w:pPr>
              <w:topLinePunct/>
              <w:spacing w:line="400" w:lineRule="atLeast"/>
              <w:jc w:val="center"/>
              <w:rPr>
                <w:szCs w:val="21"/>
              </w:rPr>
            </w:pPr>
          </w:p>
        </w:tc>
        <w:tc>
          <w:tcPr>
            <w:tcW w:w="2160" w:type="dxa"/>
            <w:noWrap w:val="0"/>
            <w:vAlign w:val="top"/>
          </w:tcPr>
          <w:p w14:paraId="6C71A3BD">
            <w:pPr>
              <w:topLinePunct/>
              <w:spacing w:line="400" w:lineRule="atLeast"/>
              <w:jc w:val="center"/>
              <w:rPr>
                <w:szCs w:val="21"/>
              </w:rPr>
            </w:pPr>
          </w:p>
        </w:tc>
      </w:tr>
      <w:tr w14:paraId="5855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BBD3430">
            <w:pPr>
              <w:topLinePunct/>
              <w:spacing w:line="400" w:lineRule="atLeast"/>
              <w:jc w:val="center"/>
              <w:rPr>
                <w:szCs w:val="21"/>
              </w:rPr>
            </w:pPr>
          </w:p>
        </w:tc>
        <w:tc>
          <w:tcPr>
            <w:tcW w:w="2402" w:type="dxa"/>
            <w:noWrap w:val="0"/>
            <w:vAlign w:val="top"/>
          </w:tcPr>
          <w:p w14:paraId="26138FB9">
            <w:pPr>
              <w:topLinePunct/>
              <w:spacing w:line="400" w:lineRule="atLeast"/>
              <w:jc w:val="center"/>
              <w:rPr>
                <w:szCs w:val="21"/>
              </w:rPr>
            </w:pPr>
          </w:p>
        </w:tc>
        <w:tc>
          <w:tcPr>
            <w:tcW w:w="1800" w:type="dxa"/>
            <w:noWrap w:val="0"/>
            <w:vAlign w:val="top"/>
          </w:tcPr>
          <w:p w14:paraId="056DEB33">
            <w:pPr>
              <w:topLinePunct/>
              <w:spacing w:line="400" w:lineRule="atLeast"/>
              <w:jc w:val="center"/>
              <w:rPr>
                <w:szCs w:val="21"/>
              </w:rPr>
            </w:pPr>
          </w:p>
        </w:tc>
        <w:tc>
          <w:tcPr>
            <w:tcW w:w="1440" w:type="dxa"/>
            <w:noWrap w:val="0"/>
            <w:vAlign w:val="top"/>
          </w:tcPr>
          <w:p w14:paraId="6085423D">
            <w:pPr>
              <w:topLinePunct/>
              <w:spacing w:line="400" w:lineRule="atLeast"/>
              <w:jc w:val="center"/>
              <w:rPr>
                <w:szCs w:val="21"/>
              </w:rPr>
            </w:pPr>
          </w:p>
        </w:tc>
        <w:tc>
          <w:tcPr>
            <w:tcW w:w="2160" w:type="dxa"/>
            <w:noWrap w:val="0"/>
            <w:vAlign w:val="top"/>
          </w:tcPr>
          <w:p w14:paraId="3ABFBA64">
            <w:pPr>
              <w:topLinePunct/>
              <w:spacing w:line="400" w:lineRule="atLeast"/>
              <w:jc w:val="center"/>
              <w:rPr>
                <w:szCs w:val="21"/>
              </w:rPr>
            </w:pPr>
          </w:p>
        </w:tc>
      </w:tr>
      <w:tr w14:paraId="2BE6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F99AEBC">
            <w:pPr>
              <w:topLinePunct/>
              <w:spacing w:line="400" w:lineRule="atLeast"/>
              <w:jc w:val="center"/>
              <w:rPr>
                <w:szCs w:val="21"/>
              </w:rPr>
            </w:pPr>
          </w:p>
        </w:tc>
        <w:tc>
          <w:tcPr>
            <w:tcW w:w="2402" w:type="dxa"/>
            <w:noWrap w:val="0"/>
            <w:vAlign w:val="top"/>
          </w:tcPr>
          <w:p w14:paraId="0FEB6CB9">
            <w:pPr>
              <w:topLinePunct/>
              <w:spacing w:line="400" w:lineRule="atLeast"/>
              <w:jc w:val="center"/>
              <w:rPr>
                <w:szCs w:val="21"/>
              </w:rPr>
            </w:pPr>
          </w:p>
        </w:tc>
        <w:tc>
          <w:tcPr>
            <w:tcW w:w="1800" w:type="dxa"/>
            <w:noWrap w:val="0"/>
            <w:vAlign w:val="top"/>
          </w:tcPr>
          <w:p w14:paraId="236C3AEB">
            <w:pPr>
              <w:topLinePunct/>
              <w:spacing w:line="400" w:lineRule="atLeast"/>
              <w:jc w:val="center"/>
              <w:rPr>
                <w:szCs w:val="21"/>
              </w:rPr>
            </w:pPr>
          </w:p>
        </w:tc>
        <w:tc>
          <w:tcPr>
            <w:tcW w:w="1440" w:type="dxa"/>
            <w:noWrap w:val="0"/>
            <w:vAlign w:val="top"/>
          </w:tcPr>
          <w:p w14:paraId="7DD49E85">
            <w:pPr>
              <w:topLinePunct/>
              <w:spacing w:line="400" w:lineRule="atLeast"/>
              <w:jc w:val="center"/>
              <w:rPr>
                <w:szCs w:val="21"/>
              </w:rPr>
            </w:pPr>
          </w:p>
        </w:tc>
        <w:tc>
          <w:tcPr>
            <w:tcW w:w="2160" w:type="dxa"/>
            <w:noWrap w:val="0"/>
            <w:vAlign w:val="top"/>
          </w:tcPr>
          <w:p w14:paraId="5E8C7A2E">
            <w:pPr>
              <w:topLinePunct/>
              <w:spacing w:line="400" w:lineRule="atLeast"/>
              <w:jc w:val="center"/>
              <w:rPr>
                <w:szCs w:val="21"/>
              </w:rPr>
            </w:pPr>
          </w:p>
        </w:tc>
      </w:tr>
      <w:tr w14:paraId="754C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C3DFCC9">
            <w:pPr>
              <w:topLinePunct/>
              <w:spacing w:line="400" w:lineRule="atLeast"/>
              <w:jc w:val="center"/>
              <w:rPr>
                <w:szCs w:val="21"/>
              </w:rPr>
            </w:pPr>
          </w:p>
        </w:tc>
        <w:tc>
          <w:tcPr>
            <w:tcW w:w="2402" w:type="dxa"/>
            <w:noWrap w:val="0"/>
            <w:vAlign w:val="top"/>
          </w:tcPr>
          <w:p w14:paraId="4F1C3EA9">
            <w:pPr>
              <w:topLinePunct/>
              <w:spacing w:line="400" w:lineRule="atLeast"/>
              <w:jc w:val="center"/>
              <w:rPr>
                <w:szCs w:val="21"/>
              </w:rPr>
            </w:pPr>
          </w:p>
        </w:tc>
        <w:tc>
          <w:tcPr>
            <w:tcW w:w="1800" w:type="dxa"/>
            <w:noWrap w:val="0"/>
            <w:vAlign w:val="top"/>
          </w:tcPr>
          <w:p w14:paraId="1A68BBE9">
            <w:pPr>
              <w:topLinePunct/>
              <w:spacing w:line="400" w:lineRule="atLeast"/>
              <w:jc w:val="center"/>
              <w:rPr>
                <w:szCs w:val="21"/>
              </w:rPr>
            </w:pPr>
          </w:p>
        </w:tc>
        <w:tc>
          <w:tcPr>
            <w:tcW w:w="1440" w:type="dxa"/>
            <w:noWrap w:val="0"/>
            <w:vAlign w:val="top"/>
          </w:tcPr>
          <w:p w14:paraId="5E7DA7D8">
            <w:pPr>
              <w:topLinePunct/>
              <w:spacing w:line="400" w:lineRule="atLeast"/>
              <w:jc w:val="center"/>
              <w:rPr>
                <w:szCs w:val="21"/>
              </w:rPr>
            </w:pPr>
          </w:p>
        </w:tc>
        <w:tc>
          <w:tcPr>
            <w:tcW w:w="2160" w:type="dxa"/>
            <w:noWrap w:val="0"/>
            <w:vAlign w:val="top"/>
          </w:tcPr>
          <w:p w14:paraId="42EE0A5B">
            <w:pPr>
              <w:topLinePunct/>
              <w:spacing w:line="400" w:lineRule="atLeast"/>
              <w:jc w:val="center"/>
              <w:rPr>
                <w:szCs w:val="21"/>
              </w:rPr>
            </w:pPr>
          </w:p>
        </w:tc>
      </w:tr>
      <w:tr w14:paraId="3405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5851CEB">
            <w:pPr>
              <w:topLinePunct/>
              <w:spacing w:line="400" w:lineRule="atLeast"/>
              <w:jc w:val="center"/>
              <w:rPr>
                <w:szCs w:val="21"/>
              </w:rPr>
            </w:pPr>
          </w:p>
        </w:tc>
        <w:tc>
          <w:tcPr>
            <w:tcW w:w="2402" w:type="dxa"/>
            <w:noWrap w:val="0"/>
            <w:vAlign w:val="top"/>
          </w:tcPr>
          <w:p w14:paraId="1993E7F9">
            <w:pPr>
              <w:topLinePunct/>
              <w:spacing w:line="400" w:lineRule="atLeast"/>
              <w:jc w:val="center"/>
              <w:rPr>
                <w:szCs w:val="21"/>
              </w:rPr>
            </w:pPr>
          </w:p>
        </w:tc>
        <w:tc>
          <w:tcPr>
            <w:tcW w:w="1800" w:type="dxa"/>
            <w:noWrap w:val="0"/>
            <w:vAlign w:val="top"/>
          </w:tcPr>
          <w:p w14:paraId="5B7C34B1">
            <w:pPr>
              <w:topLinePunct/>
              <w:spacing w:line="400" w:lineRule="atLeast"/>
              <w:jc w:val="center"/>
              <w:rPr>
                <w:szCs w:val="21"/>
              </w:rPr>
            </w:pPr>
          </w:p>
        </w:tc>
        <w:tc>
          <w:tcPr>
            <w:tcW w:w="1440" w:type="dxa"/>
            <w:noWrap w:val="0"/>
            <w:vAlign w:val="top"/>
          </w:tcPr>
          <w:p w14:paraId="0433C93D">
            <w:pPr>
              <w:topLinePunct/>
              <w:spacing w:line="400" w:lineRule="atLeast"/>
              <w:jc w:val="center"/>
              <w:rPr>
                <w:szCs w:val="21"/>
              </w:rPr>
            </w:pPr>
          </w:p>
        </w:tc>
        <w:tc>
          <w:tcPr>
            <w:tcW w:w="2160" w:type="dxa"/>
            <w:noWrap w:val="0"/>
            <w:vAlign w:val="top"/>
          </w:tcPr>
          <w:p w14:paraId="5B378904">
            <w:pPr>
              <w:topLinePunct/>
              <w:spacing w:line="400" w:lineRule="atLeast"/>
              <w:jc w:val="center"/>
              <w:rPr>
                <w:szCs w:val="21"/>
              </w:rPr>
            </w:pPr>
          </w:p>
        </w:tc>
      </w:tr>
    </w:tbl>
    <w:p w14:paraId="513B89BD">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1.本表后应附表彰文件、获奖证书及其他证明材料等。以表彰文件、获奖证书的颁发时间为准。</w:t>
      </w:r>
    </w:p>
    <w:p w14:paraId="228BBCAC">
      <w:pPr>
        <w:spacing w:line="400" w:lineRule="atLeast"/>
        <w:ind w:left="630" w:leftChars="300"/>
        <w:rPr>
          <w:szCs w:val="21"/>
        </w:rPr>
      </w:pPr>
      <w:r>
        <w:rPr>
          <w:szCs w:val="21"/>
        </w:rPr>
        <w:t>2</w:t>
      </w:r>
      <w:r>
        <w:rPr>
          <w:rFonts w:hint="eastAsia"/>
          <w:szCs w:val="21"/>
        </w:rPr>
        <w:t>. 颁奖单位应当是国家机关或民政部门注册登记的合法颁奖单位。</w:t>
      </w:r>
    </w:p>
    <w:p w14:paraId="5A6B2C80">
      <w:pPr>
        <w:sectPr>
          <w:footerReference r:id="rId48" w:type="default"/>
          <w:pgSz w:w="11906" w:h="16838"/>
          <w:pgMar w:top="1440" w:right="1800" w:bottom="1440" w:left="1800" w:header="851" w:footer="992" w:gutter="0"/>
          <w:pgNumType w:fmt="decimal"/>
          <w:cols w:space="425" w:num="1"/>
          <w:docGrid w:type="lines" w:linePitch="312" w:charSpace="0"/>
        </w:sectPr>
      </w:pPr>
    </w:p>
    <w:p w14:paraId="57FE4547">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2320" w:name="_Toc256000434"/>
      <w:bookmarkStart w:id="2321" w:name="_Toc122603102"/>
      <w:r>
        <w:rPr>
          <w:rFonts w:hint="default"/>
          <w:szCs w:val="24"/>
        </w:rPr>
        <w:t>5-4</w:t>
      </w:r>
      <w:r>
        <w:rPr>
          <w:rFonts w:hint="eastAsia"/>
          <w:szCs w:val="24"/>
        </w:rPr>
        <w:t xml:space="preserve"> 近年项目经理工程获奖</w:t>
      </w:r>
      <w:r>
        <w:rPr>
          <w:szCs w:val="24"/>
        </w:rPr>
        <w:t>情况表</w:t>
      </w:r>
      <w:bookmarkEnd w:id="2320"/>
      <w:bookmarkEnd w:id="2321"/>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6DC9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563871FB">
            <w:pPr>
              <w:topLinePunct/>
              <w:spacing w:line="400" w:lineRule="atLeast"/>
              <w:jc w:val="center"/>
              <w:rPr>
                <w:rFonts w:hint="eastAsia"/>
                <w:szCs w:val="21"/>
              </w:rPr>
            </w:pPr>
            <w:r>
              <w:rPr>
                <w:rFonts w:hint="eastAsia"/>
                <w:szCs w:val="21"/>
              </w:rPr>
              <w:t>序号</w:t>
            </w:r>
          </w:p>
        </w:tc>
        <w:tc>
          <w:tcPr>
            <w:tcW w:w="2402" w:type="dxa"/>
            <w:noWrap w:val="0"/>
            <w:vAlign w:val="top"/>
          </w:tcPr>
          <w:p w14:paraId="009DFCC9">
            <w:pPr>
              <w:topLinePunct/>
              <w:spacing w:line="400" w:lineRule="atLeast"/>
              <w:jc w:val="center"/>
              <w:rPr>
                <w:rFonts w:hint="eastAsia"/>
                <w:szCs w:val="21"/>
              </w:rPr>
            </w:pPr>
            <w:r>
              <w:rPr>
                <w:rFonts w:hint="eastAsia"/>
                <w:szCs w:val="21"/>
              </w:rPr>
              <w:t>项目名称</w:t>
            </w:r>
          </w:p>
        </w:tc>
        <w:tc>
          <w:tcPr>
            <w:tcW w:w="1800" w:type="dxa"/>
            <w:noWrap w:val="0"/>
            <w:vAlign w:val="top"/>
          </w:tcPr>
          <w:p w14:paraId="0F61333F">
            <w:pPr>
              <w:topLinePunct/>
              <w:spacing w:line="400" w:lineRule="atLeast"/>
              <w:jc w:val="center"/>
              <w:rPr>
                <w:rFonts w:hint="eastAsia"/>
                <w:szCs w:val="21"/>
              </w:rPr>
            </w:pPr>
            <w:r>
              <w:rPr>
                <w:rFonts w:hint="eastAsia"/>
                <w:szCs w:val="21"/>
              </w:rPr>
              <w:t>获奖名称</w:t>
            </w:r>
          </w:p>
        </w:tc>
        <w:tc>
          <w:tcPr>
            <w:tcW w:w="1440" w:type="dxa"/>
            <w:noWrap w:val="0"/>
            <w:vAlign w:val="top"/>
          </w:tcPr>
          <w:p w14:paraId="20A838C1">
            <w:pPr>
              <w:topLinePunct/>
              <w:spacing w:line="400" w:lineRule="atLeast"/>
              <w:jc w:val="center"/>
              <w:rPr>
                <w:rFonts w:hint="eastAsia"/>
                <w:szCs w:val="21"/>
              </w:rPr>
            </w:pPr>
            <w:r>
              <w:rPr>
                <w:rFonts w:hint="eastAsia"/>
                <w:szCs w:val="21"/>
              </w:rPr>
              <w:t>获奖日期</w:t>
            </w:r>
          </w:p>
        </w:tc>
        <w:tc>
          <w:tcPr>
            <w:tcW w:w="2160" w:type="dxa"/>
            <w:noWrap w:val="0"/>
            <w:vAlign w:val="top"/>
          </w:tcPr>
          <w:p w14:paraId="7C611B52">
            <w:pPr>
              <w:topLinePunct/>
              <w:spacing w:line="400" w:lineRule="atLeast"/>
              <w:jc w:val="center"/>
              <w:rPr>
                <w:rFonts w:hint="eastAsia"/>
                <w:szCs w:val="21"/>
              </w:rPr>
            </w:pPr>
            <w:r>
              <w:rPr>
                <w:rFonts w:hint="eastAsia"/>
                <w:szCs w:val="21"/>
              </w:rPr>
              <w:t>颁奖单位</w:t>
            </w:r>
          </w:p>
        </w:tc>
      </w:tr>
      <w:tr w14:paraId="5829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22924E5">
            <w:pPr>
              <w:topLinePunct/>
              <w:spacing w:line="400" w:lineRule="atLeast"/>
              <w:jc w:val="center"/>
              <w:rPr>
                <w:szCs w:val="21"/>
              </w:rPr>
            </w:pPr>
          </w:p>
        </w:tc>
        <w:tc>
          <w:tcPr>
            <w:tcW w:w="2402" w:type="dxa"/>
            <w:noWrap w:val="0"/>
            <w:vAlign w:val="top"/>
          </w:tcPr>
          <w:p w14:paraId="582A171B">
            <w:pPr>
              <w:topLinePunct/>
              <w:spacing w:line="400" w:lineRule="atLeast"/>
              <w:jc w:val="center"/>
              <w:rPr>
                <w:szCs w:val="21"/>
              </w:rPr>
            </w:pPr>
          </w:p>
        </w:tc>
        <w:tc>
          <w:tcPr>
            <w:tcW w:w="1800" w:type="dxa"/>
            <w:noWrap w:val="0"/>
            <w:vAlign w:val="top"/>
          </w:tcPr>
          <w:p w14:paraId="03C7A94B">
            <w:pPr>
              <w:topLinePunct/>
              <w:spacing w:line="400" w:lineRule="atLeast"/>
              <w:jc w:val="center"/>
              <w:rPr>
                <w:szCs w:val="21"/>
              </w:rPr>
            </w:pPr>
          </w:p>
        </w:tc>
        <w:tc>
          <w:tcPr>
            <w:tcW w:w="1440" w:type="dxa"/>
            <w:noWrap w:val="0"/>
            <w:vAlign w:val="top"/>
          </w:tcPr>
          <w:p w14:paraId="637B6AD2">
            <w:pPr>
              <w:topLinePunct/>
              <w:spacing w:line="400" w:lineRule="atLeast"/>
              <w:jc w:val="center"/>
              <w:rPr>
                <w:szCs w:val="21"/>
              </w:rPr>
            </w:pPr>
          </w:p>
        </w:tc>
        <w:tc>
          <w:tcPr>
            <w:tcW w:w="2160" w:type="dxa"/>
            <w:noWrap w:val="0"/>
            <w:vAlign w:val="top"/>
          </w:tcPr>
          <w:p w14:paraId="3F50C415">
            <w:pPr>
              <w:topLinePunct/>
              <w:spacing w:line="400" w:lineRule="atLeast"/>
              <w:jc w:val="center"/>
              <w:rPr>
                <w:szCs w:val="21"/>
              </w:rPr>
            </w:pPr>
          </w:p>
        </w:tc>
      </w:tr>
      <w:tr w14:paraId="1F46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C55B57">
            <w:pPr>
              <w:topLinePunct/>
              <w:spacing w:line="400" w:lineRule="atLeast"/>
              <w:jc w:val="center"/>
              <w:rPr>
                <w:szCs w:val="21"/>
              </w:rPr>
            </w:pPr>
          </w:p>
        </w:tc>
        <w:tc>
          <w:tcPr>
            <w:tcW w:w="2402" w:type="dxa"/>
            <w:noWrap w:val="0"/>
            <w:vAlign w:val="top"/>
          </w:tcPr>
          <w:p w14:paraId="3D47568F">
            <w:pPr>
              <w:topLinePunct/>
              <w:spacing w:line="400" w:lineRule="atLeast"/>
              <w:jc w:val="center"/>
              <w:rPr>
                <w:szCs w:val="21"/>
              </w:rPr>
            </w:pPr>
          </w:p>
        </w:tc>
        <w:tc>
          <w:tcPr>
            <w:tcW w:w="1800" w:type="dxa"/>
            <w:noWrap w:val="0"/>
            <w:vAlign w:val="top"/>
          </w:tcPr>
          <w:p w14:paraId="03D0287F">
            <w:pPr>
              <w:topLinePunct/>
              <w:spacing w:line="400" w:lineRule="atLeast"/>
              <w:jc w:val="center"/>
              <w:rPr>
                <w:szCs w:val="21"/>
              </w:rPr>
            </w:pPr>
          </w:p>
        </w:tc>
        <w:tc>
          <w:tcPr>
            <w:tcW w:w="1440" w:type="dxa"/>
            <w:noWrap w:val="0"/>
            <w:vAlign w:val="top"/>
          </w:tcPr>
          <w:p w14:paraId="6E9C9411">
            <w:pPr>
              <w:topLinePunct/>
              <w:spacing w:line="400" w:lineRule="atLeast"/>
              <w:jc w:val="center"/>
              <w:rPr>
                <w:szCs w:val="21"/>
              </w:rPr>
            </w:pPr>
          </w:p>
        </w:tc>
        <w:tc>
          <w:tcPr>
            <w:tcW w:w="2160" w:type="dxa"/>
            <w:noWrap w:val="0"/>
            <w:vAlign w:val="top"/>
          </w:tcPr>
          <w:p w14:paraId="27BB56F2">
            <w:pPr>
              <w:topLinePunct/>
              <w:spacing w:line="400" w:lineRule="atLeast"/>
              <w:jc w:val="center"/>
              <w:rPr>
                <w:szCs w:val="21"/>
              </w:rPr>
            </w:pPr>
          </w:p>
        </w:tc>
      </w:tr>
      <w:tr w14:paraId="7183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4BF80F02">
            <w:pPr>
              <w:topLinePunct/>
              <w:spacing w:line="400" w:lineRule="atLeast"/>
              <w:jc w:val="center"/>
              <w:rPr>
                <w:szCs w:val="21"/>
              </w:rPr>
            </w:pPr>
          </w:p>
        </w:tc>
        <w:tc>
          <w:tcPr>
            <w:tcW w:w="2402" w:type="dxa"/>
            <w:noWrap w:val="0"/>
            <w:vAlign w:val="top"/>
          </w:tcPr>
          <w:p w14:paraId="4589F76F">
            <w:pPr>
              <w:topLinePunct/>
              <w:spacing w:line="400" w:lineRule="atLeast"/>
              <w:jc w:val="center"/>
              <w:rPr>
                <w:szCs w:val="21"/>
              </w:rPr>
            </w:pPr>
          </w:p>
        </w:tc>
        <w:tc>
          <w:tcPr>
            <w:tcW w:w="1800" w:type="dxa"/>
            <w:noWrap w:val="0"/>
            <w:vAlign w:val="top"/>
          </w:tcPr>
          <w:p w14:paraId="75F5BB52">
            <w:pPr>
              <w:topLinePunct/>
              <w:spacing w:line="400" w:lineRule="atLeast"/>
              <w:jc w:val="center"/>
              <w:rPr>
                <w:szCs w:val="21"/>
              </w:rPr>
            </w:pPr>
          </w:p>
        </w:tc>
        <w:tc>
          <w:tcPr>
            <w:tcW w:w="1440" w:type="dxa"/>
            <w:noWrap w:val="0"/>
            <w:vAlign w:val="top"/>
          </w:tcPr>
          <w:p w14:paraId="7883FFEC">
            <w:pPr>
              <w:topLinePunct/>
              <w:spacing w:line="400" w:lineRule="atLeast"/>
              <w:jc w:val="center"/>
              <w:rPr>
                <w:szCs w:val="21"/>
              </w:rPr>
            </w:pPr>
          </w:p>
        </w:tc>
        <w:tc>
          <w:tcPr>
            <w:tcW w:w="2160" w:type="dxa"/>
            <w:noWrap w:val="0"/>
            <w:vAlign w:val="top"/>
          </w:tcPr>
          <w:p w14:paraId="0CF166E3">
            <w:pPr>
              <w:topLinePunct/>
              <w:spacing w:line="400" w:lineRule="atLeast"/>
              <w:jc w:val="center"/>
              <w:rPr>
                <w:szCs w:val="21"/>
              </w:rPr>
            </w:pPr>
          </w:p>
        </w:tc>
      </w:tr>
      <w:tr w14:paraId="2DD1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1EB8340A">
            <w:pPr>
              <w:topLinePunct/>
              <w:spacing w:line="400" w:lineRule="atLeast"/>
              <w:jc w:val="center"/>
              <w:rPr>
                <w:szCs w:val="21"/>
              </w:rPr>
            </w:pPr>
          </w:p>
        </w:tc>
        <w:tc>
          <w:tcPr>
            <w:tcW w:w="2402" w:type="dxa"/>
            <w:noWrap w:val="0"/>
            <w:vAlign w:val="top"/>
          </w:tcPr>
          <w:p w14:paraId="4832582A">
            <w:pPr>
              <w:topLinePunct/>
              <w:spacing w:line="400" w:lineRule="atLeast"/>
              <w:jc w:val="center"/>
              <w:rPr>
                <w:szCs w:val="21"/>
              </w:rPr>
            </w:pPr>
          </w:p>
        </w:tc>
        <w:tc>
          <w:tcPr>
            <w:tcW w:w="1800" w:type="dxa"/>
            <w:noWrap w:val="0"/>
            <w:vAlign w:val="top"/>
          </w:tcPr>
          <w:p w14:paraId="104ECA45">
            <w:pPr>
              <w:topLinePunct/>
              <w:spacing w:line="400" w:lineRule="atLeast"/>
              <w:jc w:val="center"/>
              <w:rPr>
                <w:szCs w:val="21"/>
              </w:rPr>
            </w:pPr>
          </w:p>
        </w:tc>
        <w:tc>
          <w:tcPr>
            <w:tcW w:w="1440" w:type="dxa"/>
            <w:noWrap w:val="0"/>
            <w:vAlign w:val="top"/>
          </w:tcPr>
          <w:p w14:paraId="65604BE8">
            <w:pPr>
              <w:topLinePunct/>
              <w:spacing w:line="400" w:lineRule="atLeast"/>
              <w:jc w:val="center"/>
              <w:rPr>
                <w:szCs w:val="21"/>
              </w:rPr>
            </w:pPr>
          </w:p>
        </w:tc>
        <w:tc>
          <w:tcPr>
            <w:tcW w:w="2160" w:type="dxa"/>
            <w:noWrap w:val="0"/>
            <w:vAlign w:val="top"/>
          </w:tcPr>
          <w:p w14:paraId="546807F8">
            <w:pPr>
              <w:topLinePunct/>
              <w:spacing w:line="400" w:lineRule="atLeast"/>
              <w:jc w:val="center"/>
              <w:rPr>
                <w:szCs w:val="21"/>
              </w:rPr>
            </w:pPr>
          </w:p>
        </w:tc>
      </w:tr>
      <w:tr w14:paraId="1895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7C5DAAAA">
            <w:pPr>
              <w:topLinePunct/>
              <w:spacing w:line="400" w:lineRule="atLeast"/>
              <w:jc w:val="center"/>
              <w:rPr>
                <w:szCs w:val="21"/>
              </w:rPr>
            </w:pPr>
          </w:p>
        </w:tc>
        <w:tc>
          <w:tcPr>
            <w:tcW w:w="2402" w:type="dxa"/>
            <w:noWrap w:val="0"/>
            <w:vAlign w:val="top"/>
          </w:tcPr>
          <w:p w14:paraId="56CA2525">
            <w:pPr>
              <w:topLinePunct/>
              <w:spacing w:line="400" w:lineRule="atLeast"/>
              <w:jc w:val="center"/>
              <w:rPr>
                <w:szCs w:val="21"/>
              </w:rPr>
            </w:pPr>
          </w:p>
        </w:tc>
        <w:tc>
          <w:tcPr>
            <w:tcW w:w="1800" w:type="dxa"/>
            <w:noWrap w:val="0"/>
            <w:vAlign w:val="top"/>
          </w:tcPr>
          <w:p w14:paraId="4AD281CC">
            <w:pPr>
              <w:topLinePunct/>
              <w:spacing w:line="400" w:lineRule="atLeast"/>
              <w:jc w:val="center"/>
              <w:rPr>
                <w:szCs w:val="21"/>
              </w:rPr>
            </w:pPr>
          </w:p>
        </w:tc>
        <w:tc>
          <w:tcPr>
            <w:tcW w:w="1440" w:type="dxa"/>
            <w:noWrap w:val="0"/>
            <w:vAlign w:val="top"/>
          </w:tcPr>
          <w:p w14:paraId="77FC5330">
            <w:pPr>
              <w:topLinePunct/>
              <w:spacing w:line="400" w:lineRule="atLeast"/>
              <w:jc w:val="center"/>
              <w:rPr>
                <w:szCs w:val="21"/>
              </w:rPr>
            </w:pPr>
          </w:p>
        </w:tc>
        <w:tc>
          <w:tcPr>
            <w:tcW w:w="2160" w:type="dxa"/>
            <w:noWrap w:val="0"/>
            <w:vAlign w:val="top"/>
          </w:tcPr>
          <w:p w14:paraId="183C5E0B">
            <w:pPr>
              <w:topLinePunct/>
              <w:spacing w:line="400" w:lineRule="atLeast"/>
              <w:jc w:val="center"/>
              <w:rPr>
                <w:szCs w:val="21"/>
              </w:rPr>
            </w:pPr>
          </w:p>
        </w:tc>
      </w:tr>
      <w:tr w14:paraId="1EBC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0D1D89E1">
            <w:pPr>
              <w:topLinePunct/>
              <w:spacing w:line="400" w:lineRule="atLeast"/>
              <w:jc w:val="center"/>
              <w:rPr>
                <w:szCs w:val="21"/>
              </w:rPr>
            </w:pPr>
          </w:p>
        </w:tc>
        <w:tc>
          <w:tcPr>
            <w:tcW w:w="2402" w:type="dxa"/>
            <w:noWrap w:val="0"/>
            <w:vAlign w:val="top"/>
          </w:tcPr>
          <w:p w14:paraId="79DE2265">
            <w:pPr>
              <w:topLinePunct/>
              <w:spacing w:line="400" w:lineRule="atLeast"/>
              <w:jc w:val="center"/>
              <w:rPr>
                <w:szCs w:val="21"/>
              </w:rPr>
            </w:pPr>
          </w:p>
        </w:tc>
        <w:tc>
          <w:tcPr>
            <w:tcW w:w="1800" w:type="dxa"/>
            <w:noWrap w:val="0"/>
            <w:vAlign w:val="top"/>
          </w:tcPr>
          <w:p w14:paraId="5C6E6067">
            <w:pPr>
              <w:topLinePunct/>
              <w:spacing w:line="400" w:lineRule="atLeast"/>
              <w:jc w:val="center"/>
              <w:rPr>
                <w:szCs w:val="21"/>
              </w:rPr>
            </w:pPr>
          </w:p>
        </w:tc>
        <w:tc>
          <w:tcPr>
            <w:tcW w:w="1440" w:type="dxa"/>
            <w:noWrap w:val="0"/>
            <w:vAlign w:val="top"/>
          </w:tcPr>
          <w:p w14:paraId="43BA7748">
            <w:pPr>
              <w:topLinePunct/>
              <w:spacing w:line="400" w:lineRule="atLeast"/>
              <w:jc w:val="center"/>
              <w:rPr>
                <w:szCs w:val="21"/>
              </w:rPr>
            </w:pPr>
          </w:p>
        </w:tc>
        <w:tc>
          <w:tcPr>
            <w:tcW w:w="2160" w:type="dxa"/>
            <w:noWrap w:val="0"/>
            <w:vAlign w:val="top"/>
          </w:tcPr>
          <w:p w14:paraId="12A8DCD4">
            <w:pPr>
              <w:topLinePunct/>
              <w:spacing w:line="400" w:lineRule="atLeast"/>
              <w:jc w:val="center"/>
              <w:rPr>
                <w:szCs w:val="21"/>
              </w:rPr>
            </w:pPr>
          </w:p>
        </w:tc>
      </w:tr>
      <w:tr w14:paraId="29B8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72ABE7E9">
            <w:pPr>
              <w:topLinePunct/>
              <w:spacing w:line="400" w:lineRule="atLeast"/>
              <w:jc w:val="center"/>
              <w:rPr>
                <w:szCs w:val="21"/>
              </w:rPr>
            </w:pPr>
          </w:p>
        </w:tc>
        <w:tc>
          <w:tcPr>
            <w:tcW w:w="2402" w:type="dxa"/>
            <w:noWrap w:val="0"/>
            <w:vAlign w:val="top"/>
          </w:tcPr>
          <w:p w14:paraId="224B4004">
            <w:pPr>
              <w:topLinePunct/>
              <w:spacing w:line="400" w:lineRule="atLeast"/>
              <w:jc w:val="center"/>
              <w:rPr>
                <w:szCs w:val="21"/>
              </w:rPr>
            </w:pPr>
          </w:p>
        </w:tc>
        <w:tc>
          <w:tcPr>
            <w:tcW w:w="1800" w:type="dxa"/>
            <w:noWrap w:val="0"/>
            <w:vAlign w:val="top"/>
          </w:tcPr>
          <w:p w14:paraId="3F4A98BD">
            <w:pPr>
              <w:topLinePunct/>
              <w:spacing w:line="400" w:lineRule="atLeast"/>
              <w:jc w:val="center"/>
              <w:rPr>
                <w:szCs w:val="21"/>
              </w:rPr>
            </w:pPr>
          </w:p>
        </w:tc>
        <w:tc>
          <w:tcPr>
            <w:tcW w:w="1440" w:type="dxa"/>
            <w:noWrap w:val="0"/>
            <w:vAlign w:val="top"/>
          </w:tcPr>
          <w:p w14:paraId="44C5D65C">
            <w:pPr>
              <w:topLinePunct/>
              <w:spacing w:line="400" w:lineRule="atLeast"/>
              <w:jc w:val="center"/>
              <w:rPr>
                <w:szCs w:val="21"/>
              </w:rPr>
            </w:pPr>
          </w:p>
        </w:tc>
        <w:tc>
          <w:tcPr>
            <w:tcW w:w="2160" w:type="dxa"/>
            <w:noWrap w:val="0"/>
            <w:vAlign w:val="top"/>
          </w:tcPr>
          <w:p w14:paraId="6837F9D4">
            <w:pPr>
              <w:topLinePunct/>
              <w:spacing w:line="400" w:lineRule="atLeast"/>
              <w:jc w:val="center"/>
              <w:rPr>
                <w:szCs w:val="21"/>
              </w:rPr>
            </w:pPr>
          </w:p>
        </w:tc>
      </w:tr>
      <w:tr w14:paraId="0DF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98F71CA">
            <w:pPr>
              <w:topLinePunct/>
              <w:spacing w:line="400" w:lineRule="atLeast"/>
              <w:jc w:val="center"/>
              <w:rPr>
                <w:szCs w:val="21"/>
              </w:rPr>
            </w:pPr>
          </w:p>
        </w:tc>
        <w:tc>
          <w:tcPr>
            <w:tcW w:w="2402" w:type="dxa"/>
            <w:noWrap w:val="0"/>
            <w:vAlign w:val="top"/>
          </w:tcPr>
          <w:p w14:paraId="57D9DE24">
            <w:pPr>
              <w:topLinePunct/>
              <w:spacing w:line="400" w:lineRule="atLeast"/>
              <w:jc w:val="center"/>
              <w:rPr>
                <w:szCs w:val="21"/>
              </w:rPr>
            </w:pPr>
          </w:p>
        </w:tc>
        <w:tc>
          <w:tcPr>
            <w:tcW w:w="1800" w:type="dxa"/>
            <w:noWrap w:val="0"/>
            <w:vAlign w:val="top"/>
          </w:tcPr>
          <w:p w14:paraId="03C4BB69">
            <w:pPr>
              <w:topLinePunct/>
              <w:spacing w:line="400" w:lineRule="atLeast"/>
              <w:jc w:val="center"/>
              <w:rPr>
                <w:szCs w:val="21"/>
              </w:rPr>
            </w:pPr>
          </w:p>
        </w:tc>
        <w:tc>
          <w:tcPr>
            <w:tcW w:w="1440" w:type="dxa"/>
            <w:noWrap w:val="0"/>
            <w:vAlign w:val="top"/>
          </w:tcPr>
          <w:p w14:paraId="2805C84F">
            <w:pPr>
              <w:topLinePunct/>
              <w:spacing w:line="400" w:lineRule="atLeast"/>
              <w:jc w:val="center"/>
              <w:rPr>
                <w:szCs w:val="21"/>
              </w:rPr>
            </w:pPr>
          </w:p>
        </w:tc>
        <w:tc>
          <w:tcPr>
            <w:tcW w:w="2160" w:type="dxa"/>
            <w:noWrap w:val="0"/>
            <w:vAlign w:val="top"/>
          </w:tcPr>
          <w:p w14:paraId="16009818">
            <w:pPr>
              <w:topLinePunct/>
              <w:spacing w:line="400" w:lineRule="atLeast"/>
              <w:jc w:val="center"/>
              <w:rPr>
                <w:szCs w:val="21"/>
              </w:rPr>
            </w:pPr>
          </w:p>
        </w:tc>
      </w:tr>
      <w:tr w14:paraId="274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7D10EB4">
            <w:pPr>
              <w:topLinePunct/>
              <w:spacing w:line="400" w:lineRule="atLeast"/>
              <w:jc w:val="center"/>
              <w:rPr>
                <w:szCs w:val="21"/>
              </w:rPr>
            </w:pPr>
          </w:p>
        </w:tc>
        <w:tc>
          <w:tcPr>
            <w:tcW w:w="2402" w:type="dxa"/>
            <w:noWrap w:val="0"/>
            <w:vAlign w:val="top"/>
          </w:tcPr>
          <w:p w14:paraId="5B739A50">
            <w:pPr>
              <w:topLinePunct/>
              <w:spacing w:line="400" w:lineRule="atLeast"/>
              <w:jc w:val="center"/>
              <w:rPr>
                <w:szCs w:val="21"/>
              </w:rPr>
            </w:pPr>
          </w:p>
        </w:tc>
        <w:tc>
          <w:tcPr>
            <w:tcW w:w="1800" w:type="dxa"/>
            <w:noWrap w:val="0"/>
            <w:vAlign w:val="top"/>
          </w:tcPr>
          <w:p w14:paraId="6141B847">
            <w:pPr>
              <w:topLinePunct/>
              <w:spacing w:line="400" w:lineRule="atLeast"/>
              <w:jc w:val="center"/>
              <w:rPr>
                <w:szCs w:val="21"/>
              </w:rPr>
            </w:pPr>
          </w:p>
        </w:tc>
        <w:tc>
          <w:tcPr>
            <w:tcW w:w="1440" w:type="dxa"/>
            <w:noWrap w:val="0"/>
            <w:vAlign w:val="top"/>
          </w:tcPr>
          <w:p w14:paraId="51D8054C">
            <w:pPr>
              <w:topLinePunct/>
              <w:spacing w:line="400" w:lineRule="atLeast"/>
              <w:jc w:val="center"/>
              <w:rPr>
                <w:szCs w:val="21"/>
              </w:rPr>
            </w:pPr>
          </w:p>
        </w:tc>
        <w:tc>
          <w:tcPr>
            <w:tcW w:w="2160" w:type="dxa"/>
            <w:noWrap w:val="0"/>
            <w:vAlign w:val="top"/>
          </w:tcPr>
          <w:p w14:paraId="1C51DEDB">
            <w:pPr>
              <w:topLinePunct/>
              <w:spacing w:line="400" w:lineRule="atLeast"/>
              <w:jc w:val="center"/>
              <w:rPr>
                <w:szCs w:val="21"/>
              </w:rPr>
            </w:pPr>
          </w:p>
        </w:tc>
      </w:tr>
      <w:tr w14:paraId="73D6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3B48CA3">
            <w:pPr>
              <w:topLinePunct/>
              <w:spacing w:line="400" w:lineRule="atLeast"/>
              <w:jc w:val="center"/>
              <w:rPr>
                <w:szCs w:val="21"/>
              </w:rPr>
            </w:pPr>
          </w:p>
        </w:tc>
        <w:tc>
          <w:tcPr>
            <w:tcW w:w="2402" w:type="dxa"/>
            <w:noWrap w:val="0"/>
            <w:vAlign w:val="top"/>
          </w:tcPr>
          <w:p w14:paraId="7AC55CB6">
            <w:pPr>
              <w:topLinePunct/>
              <w:spacing w:line="400" w:lineRule="atLeast"/>
              <w:jc w:val="center"/>
              <w:rPr>
                <w:szCs w:val="21"/>
              </w:rPr>
            </w:pPr>
          </w:p>
        </w:tc>
        <w:tc>
          <w:tcPr>
            <w:tcW w:w="1800" w:type="dxa"/>
            <w:noWrap w:val="0"/>
            <w:vAlign w:val="top"/>
          </w:tcPr>
          <w:p w14:paraId="6890C44D">
            <w:pPr>
              <w:topLinePunct/>
              <w:spacing w:line="400" w:lineRule="atLeast"/>
              <w:jc w:val="center"/>
              <w:rPr>
                <w:szCs w:val="21"/>
              </w:rPr>
            </w:pPr>
          </w:p>
        </w:tc>
        <w:tc>
          <w:tcPr>
            <w:tcW w:w="1440" w:type="dxa"/>
            <w:noWrap w:val="0"/>
            <w:vAlign w:val="top"/>
          </w:tcPr>
          <w:p w14:paraId="060CB7D7">
            <w:pPr>
              <w:topLinePunct/>
              <w:spacing w:line="400" w:lineRule="atLeast"/>
              <w:jc w:val="center"/>
              <w:rPr>
                <w:szCs w:val="21"/>
              </w:rPr>
            </w:pPr>
          </w:p>
        </w:tc>
        <w:tc>
          <w:tcPr>
            <w:tcW w:w="2160" w:type="dxa"/>
            <w:noWrap w:val="0"/>
            <w:vAlign w:val="top"/>
          </w:tcPr>
          <w:p w14:paraId="5894E0DE">
            <w:pPr>
              <w:topLinePunct/>
              <w:spacing w:line="400" w:lineRule="atLeast"/>
              <w:jc w:val="center"/>
              <w:rPr>
                <w:szCs w:val="21"/>
              </w:rPr>
            </w:pPr>
          </w:p>
        </w:tc>
      </w:tr>
      <w:tr w14:paraId="726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E430608">
            <w:pPr>
              <w:topLinePunct/>
              <w:spacing w:line="400" w:lineRule="atLeast"/>
              <w:jc w:val="center"/>
              <w:rPr>
                <w:szCs w:val="21"/>
              </w:rPr>
            </w:pPr>
          </w:p>
        </w:tc>
        <w:tc>
          <w:tcPr>
            <w:tcW w:w="2402" w:type="dxa"/>
            <w:noWrap w:val="0"/>
            <w:vAlign w:val="top"/>
          </w:tcPr>
          <w:p w14:paraId="42BD535A">
            <w:pPr>
              <w:topLinePunct/>
              <w:spacing w:line="400" w:lineRule="atLeast"/>
              <w:jc w:val="center"/>
              <w:rPr>
                <w:szCs w:val="21"/>
              </w:rPr>
            </w:pPr>
          </w:p>
        </w:tc>
        <w:tc>
          <w:tcPr>
            <w:tcW w:w="1800" w:type="dxa"/>
            <w:noWrap w:val="0"/>
            <w:vAlign w:val="top"/>
          </w:tcPr>
          <w:p w14:paraId="76393395">
            <w:pPr>
              <w:topLinePunct/>
              <w:spacing w:line="400" w:lineRule="atLeast"/>
              <w:jc w:val="center"/>
              <w:rPr>
                <w:szCs w:val="21"/>
              </w:rPr>
            </w:pPr>
          </w:p>
        </w:tc>
        <w:tc>
          <w:tcPr>
            <w:tcW w:w="1440" w:type="dxa"/>
            <w:noWrap w:val="0"/>
            <w:vAlign w:val="top"/>
          </w:tcPr>
          <w:p w14:paraId="33142189">
            <w:pPr>
              <w:topLinePunct/>
              <w:spacing w:line="400" w:lineRule="atLeast"/>
              <w:jc w:val="center"/>
              <w:rPr>
                <w:szCs w:val="21"/>
              </w:rPr>
            </w:pPr>
          </w:p>
        </w:tc>
        <w:tc>
          <w:tcPr>
            <w:tcW w:w="2160" w:type="dxa"/>
            <w:noWrap w:val="0"/>
            <w:vAlign w:val="top"/>
          </w:tcPr>
          <w:p w14:paraId="7F70861F">
            <w:pPr>
              <w:topLinePunct/>
              <w:spacing w:line="400" w:lineRule="atLeast"/>
              <w:jc w:val="center"/>
              <w:rPr>
                <w:szCs w:val="21"/>
              </w:rPr>
            </w:pPr>
          </w:p>
        </w:tc>
      </w:tr>
      <w:tr w14:paraId="424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CB67E63">
            <w:pPr>
              <w:topLinePunct/>
              <w:spacing w:line="400" w:lineRule="atLeast"/>
              <w:jc w:val="center"/>
              <w:rPr>
                <w:szCs w:val="21"/>
              </w:rPr>
            </w:pPr>
          </w:p>
        </w:tc>
        <w:tc>
          <w:tcPr>
            <w:tcW w:w="2402" w:type="dxa"/>
            <w:noWrap w:val="0"/>
            <w:vAlign w:val="top"/>
          </w:tcPr>
          <w:p w14:paraId="64BC7D4C">
            <w:pPr>
              <w:topLinePunct/>
              <w:spacing w:line="400" w:lineRule="atLeast"/>
              <w:jc w:val="center"/>
              <w:rPr>
                <w:szCs w:val="21"/>
              </w:rPr>
            </w:pPr>
          </w:p>
        </w:tc>
        <w:tc>
          <w:tcPr>
            <w:tcW w:w="1800" w:type="dxa"/>
            <w:noWrap w:val="0"/>
            <w:vAlign w:val="top"/>
          </w:tcPr>
          <w:p w14:paraId="2337EFE3">
            <w:pPr>
              <w:topLinePunct/>
              <w:spacing w:line="400" w:lineRule="atLeast"/>
              <w:jc w:val="center"/>
              <w:rPr>
                <w:szCs w:val="21"/>
              </w:rPr>
            </w:pPr>
          </w:p>
        </w:tc>
        <w:tc>
          <w:tcPr>
            <w:tcW w:w="1440" w:type="dxa"/>
            <w:noWrap w:val="0"/>
            <w:vAlign w:val="top"/>
          </w:tcPr>
          <w:p w14:paraId="3129AAC9">
            <w:pPr>
              <w:topLinePunct/>
              <w:spacing w:line="400" w:lineRule="atLeast"/>
              <w:jc w:val="center"/>
              <w:rPr>
                <w:szCs w:val="21"/>
              </w:rPr>
            </w:pPr>
          </w:p>
        </w:tc>
        <w:tc>
          <w:tcPr>
            <w:tcW w:w="2160" w:type="dxa"/>
            <w:noWrap w:val="0"/>
            <w:vAlign w:val="top"/>
          </w:tcPr>
          <w:p w14:paraId="2E0FDD80">
            <w:pPr>
              <w:topLinePunct/>
              <w:spacing w:line="400" w:lineRule="atLeast"/>
              <w:jc w:val="center"/>
              <w:rPr>
                <w:szCs w:val="21"/>
              </w:rPr>
            </w:pPr>
          </w:p>
        </w:tc>
      </w:tr>
      <w:tr w14:paraId="0F54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19D1571">
            <w:pPr>
              <w:topLinePunct/>
              <w:spacing w:line="400" w:lineRule="atLeast"/>
              <w:jc w:val="center"/>
              <w:rPr>
                <w:szCs w:val="21"/>
              </w:rPr>
            </w:pPr>
          </w:p>
        </w:tc>
        <w:tc>
          <w:tcPr>
            <w:tcW w:w="2402" w:type="dxa"/>
            <w:noWrap w:val="0"/>
            <w:vAlign w:val="top"/>
          </w:tcPr>
          <w:p w14:paraId="70658736">
            <w:pPr>
              <w:topLinePunct/>
              <w:spacing w:line="400" w:lineRule="atLeast"/>
              <w:jc w:val="center"/>
              <w:rPr>
                <w:szCs w:val="21"/>
              </w:rPr>
            </w:pPr>
          </w:p>
        </w:tc>
        <w:tc>
          <w:tcPr>
            <w:tcW w:w="1800" w:type="dxa"/>
            <w:noWrap w:val="0"/>
            <w:vAlign w:val="top"/>
          </w:tcPr>
          <w:p w14:paraId="69B19BF0">
            <w:pPr>
              <w:topLinePunct/>
              <w:spacing w:line="400" w:lineRule="atLeast"/>
              <w:jc w:val="center"/>
              <w:rPr>
                <w:szCs w:val="21"/>
              </w:rPr>
            </w:pPr>
          </w:p>
        </w:tc>
        <w:tc>
          <w:tcPr>
            <w:tcW w:w="1440" w:type="dxa"/>
            <w:noWrap w:val="0"/>
            <w:vAlign w:val="top"/>
          </w:tcPr>
          <w:p w14:paraId="7E78660C">
            <w:pPr>
              <w:topLinePunct/>
              <w:spacing w:line="400" w:lineRule="atLeast"/>
              <w:jc w:val="center"/>
              <w:rPr>
                <w:szCs w:val="21"/>
              </w:rPr>
            </w:pPr>
          </w:p>
        </w:tc>
        <w:tc>
          <w:tcPr>
            <w:tcW w:w="2160" w:type="dxa"/>
            <w:noWrap w:val="0"/>
            <w:vAlign w:val="top"/>
          </w:tcPr>
          <w:p w14:paraId="7F46B99D">
            <w:pPr>
              <w:topLinePunct/>
              <w:spacing w:line="400" w:lineRule="atLeast"/>
              <w:jc w:val="center"/>
              <w:rPr>
                <w:szCs w:val="21"/>
              </w:rPr>
            </w:pPr>
          </w:p>
        </w:tc>
      </w:tr>
    </w:tbl>
    <w:p w14:paraId="6699706D">
      <w:pPr>
        <w:ind w:left="945" w:hanging="945" w:hangingChars="450"/>
        <w:rPr>
          <w:szCs w:val="21"/>
        </w:rPr>
      </w:pPr>
      <w:r>
        <w:rPr>
          <w:rFonts w:hint="eastAsia"/>
        </w:rPr>
        <w:t>备</w:t>
      </w:r>
      <w:r>
        <w:t>注：</w:t>
      </w:r>
      <w:r>
        <w:rPr>
          <w:rFonts w:hint="eastAsia"/>
          <w:szCs w:val="21"/>
        </w:rPr>
        <w:t>1.本表后应附表彰文件、获奖证书及其他证明材料等。</w:t>
      </w:r>
    </w:p>
    <w:p w14:paraId="7D860B41">
      <w:pPr>
        <w:spacing w:line="400" w:lineRule="atLeast"/>
        <w:ind w:left="840" w:leftChars="300" w:hanging="210" w:hangingChars="100"/>
        <w:sectPr>
          <w:footerReference r:id="rId49"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 颁奖单位应当是国家机关或民政部门注册登记的合法颁奖单位。</w:t>
      </w:r>
    </w:p>
    <w:p w14:paraId="36D1D9D1">
      <w:pPr>
        <w:pStyle w:val="25"/>
        <w:jc w:val="center"/>
        <w:outlineLvl w:val="3"/>
        <w:rPr>
          <w:rFonts w:hint="eastAsia"/>
          <w:szCs w:val="24"/>
        </w:rPr>
      </w:pPr>
      <w:bookmarkStart w:id="2322" w:name="_Toc122603103"/>
      <w:bookmarkStart w:id="2323" w:name="_Toc256000435"/>
      <w:r>
        <w:rPr>
          <w:rFonts w:hint="default"/>
          <w:szCs w:val="24"/>
        </w:rPr>
        <w:t>5-5</w:t>
      </w:r>
      <w:r>
        <w:rPr>
          <w:rFonts w:hint="eastAsia"/>
          <w:szCs w:val="24"/>
        </w:rPr>
        <w:t xml:space="preserve"> 近年获表彰</w:t>
      </w:r>
      <w:r>
        <w:rPr>
          <w:szCs w:val="24"/>
        </w:rPr>
        <w:t>情况表</w:t>
      </w:r>
      <w:bookmarkEnd w:id="2322"/>
      <w:bookmarkEnd w:id="2323"/>
    </w:p>
    <w:p w14:paraId="7F446C89">
      <w:pPr>
        <w:spacing w:line="440" w:lineRule="exact"/>
        <w:rPr>
          <w:rFonts w:hint="eastAsia" w:ascii="宋体" w:hAnsi="宋体"/>
          <w:szCs w:val="21"/>
        </w:rPr>
      </w:pPr>
    </w:p>
    <w:tbl>
      <w:tblPr>
        <w:tblStyle w:val="1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045D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21E5AA5C">
            <w:pPr>
              <w:topLinePunct/>
              <w:spacing w:line="400" w:lineRule="atLeast"/>
              <w:jc w:val="center"/>
              <w:rPr>
                <w:rFonts w:hint="eastAsia"/>
                <w:szCs w:val="21"/>
              </w:rPr>
            </w:pPr>
            <w:r>
              <w:rPr>
                <w:rFonts w:hint="eastAsia"/>
                <w:szCs w:val="21"/>
              </w:rPr>
              <w:t>序号</w:t>
            </w:r>
          </w:p>
        </w:tc>
        <w:tc>
          <w:tcPr>
            <w:tcW w:w="2466" w:type="dxa"/>
            <w:noWrap w:val="0"/>
            <w:vAlign w:val="top"/>
          </w:tcPr>
          <w:p w14:paraId="1F5A1920">
            <w:pPr>
              <w:topLinePunct/>
              <w:spacing w:line="400" w:lineRule="atLeast"/>
              <w:jc w:val="center"/>
              <w:rPr>
                <w:rFonts w:hint="eastAsia"/>
                <w:szCs w:val="21"/>
              </w:rPr>
            </w:pPr>
            <w:r>
              <w:rPr>
                <w:rFonts w:hint="eastAsia"/>
                <w:szCs w:val="21"/>
              </w:rPr>
              <w:t>获奖</w:t>
            </w:r>
            <w:r>
              <w:rPr>
                <w:rFonts w:hint="eastAsia"/>
                <w:szCs w:val="21"/>
                <w:lang w:val="en-US" w:eastAsia="zh-CN"/>
              </w:rPr>
              <w:t>主体</w:t>
            </w:r>
            <w:r>
              <w:rPr>
                <w:rFonts w:hint="eastAsia"/>
                <w:szCs w:val="21"/>
              </w:rPr>
              <w:t>名称</w:t>
            </w:r>
          </w:p>
        </w:tc>
        <w:tc>
          <w:tcPr>
            <w:tcW w:w="1868" w:type="dxa"/>
            <w:noWrap w:val="0"/>
            <w:vAlign w:val="top"/>
          </w:tcPr>
          <w:p w14:paraId="4928723B">
            <w:pPr>
              <w:topLinePunct/>
              <w:spacing w:line="400" w:lineRule="atLeast"/>
              <w:jc w:val="center"/>
              <w:rPr>
                <w:rFonts w:hint="eastAsia"/>
                <w:szCs w:val="21"/>
              </w:rPr>
            </w:pPr>
            <w:r>
              <w:rPr>
                <w:rFonts w:hint="eastAsia"/>
                <w:szCs w:val="21"/>
              </w:rPr>
              <w:t>获奖名称</w:t>
            </w:r>
          </w:p>
        </w:tc>
        <w:tc>
          <w:tcPr>
            <w:tcW w:w="1814" w:type="dxa"/>
            <w:noWrap w:val="0"/>
            <w:vAlign w:val="top"/>
          </w:tcPr>
          <w:p w14:paraId="1BE74DB1">
            <w:pPr>
              <w:topLinePunct/>
              <w:spacing w:line="400" w:lineRule="atLeast"/>
              <w:jc w:val="center"/>
              <w:rPr>
                <w:rFonts w:hint="eastAsia"/>
                <w:szCs w:val="21"/>
              </w:rPr>
            </w:pPr>
            <w:r>
              <w:rPr>
                <w:rFonts w:hint="eastAsia"/>
                <w:szCs w:val="21"/>
              </w:rPr>
              <w:t>获奖日期</w:t>
            </w:r>
          </w:p>
        </w:tc>
        <w:tc>
          <w:tcPr>
            <w:tcW w:w="1659" w:type="dxa"/>
            <w:noWrap w:val="0"/>
            <w:vAlign w:val="top"/>
          </w:tcPr>
          <w:p w14:paraId="23E0159B">
            <w:pPr>
              <w:topLinePunct/>
              <w:spacing w:line="400" w:lineRule="atLeast"/>
              <w:jc w:val="center"/>
              <w:rPr>
                <w:rFonts w:hint="eastAsia"/>
                <w:szCs w:val="21"/>
              </w:rPr>
            </w:pPr>
            <w:r>
              <w:rPr>
                <w:rFonts w:hint="eastAsia"/>
                <w:szCs w:val="21"/>
              </w:rPr>
              <w:t>颁奖单位</w:t>
            </w:r>
          </w:p>
        </w:tc>
      </w:tr>
      <w:tr w14:paraId="2F88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F59A2F9">
            <w:pPr>
              <w:topLinePunct/>
              <w:spacing w:line="400" w:lineRule="atLeast"/>
              <w:jc w:val="center"/>
              <w:rPr>
                <w:szCs w:val="21"/>
              </w:rPr>
            </w:pPr>
          </w:p>
        </w:tc>
        <w:tc>
          <w:tcPr>
            <w:tcW w:w="2466" w:type="dxa"/>
            <w:noWrap w:val="0"/>
            <w:vAlign w:val="top"/>
          </w:tcPr>
          <w:p w14:paraId="3B176A7B">
            <w:pPr>
              <w:topLinePunct/>
              <w:spacing w:line="400" w:lineRule="atLeast"/>
              <w:jc w:val="center"/>
              <w:rPr>
                <w:szCs w:val="21"/>
              </w:rPr>
            </w:pPr>
          </w:p>
        </w:tc>
        <w:tc>
          <w:tcPr>
            <w:tcW w:w="1868" w:type="dxa"/>
            <w:noWrap w:val="0"/>
            <w:vAlign w:val="top"/>
          </w:tcPr>
          <w:p w14:paraId="71A0AAF7">
            <w:pPr>
              <w:topLinePunct/>
              <w:spacing w:line="400" w:lineRule="atLeast"/>
              <w:jc w:val="center"/>
              <w:rPr>
                <w:szCs w:val="21"/>
              </w:rPr>
            </w:pPr>
          </w:p>
        </w:tc>
        <w:tc>
          <w:tcPr>
            <w:tcW w:w="1814" w:type="dxa"/>
            <w:noWrap w:val="0"/>
            <w:vAlign w:val="top"/>
          </w:tcPr>
          <w:p w14:paraId="69DCC8C7">
            <w:pPr>
              <w:topLinePunct/>
              <w:spacing w:line="400" w:lineRule="atLeast"/>
              <w:jc w:val="center"/>
              <w:rPr>
                <w:szCs w:val="21"/>
              </w:rPr>
            </w:pPr>
          </w:p>
        </w:tc>
        <w:tc>
          <w:tcPr>
            <w:tcW w:w="1659" w:type="dxa"/>
            <w:noWrap w:val="0"/>
            <w:vAlign w:val="top"/>
          </w:tcPr>
          <w:p w14:paraId="288834D5">
            <w:pPr>
              <w:topLinePunct/>
              <w:spacing w:line="400" w:lineRule="atLeast"/>
              <w:jc w:val="center"/>
              <w:rPr>
                <w:szCs w:val="21"/>
              </w:rPr>
            </w:pPr>
          </w:p>
        </w:tc>
      </w:tr>
      <w:tr w14:paraId="1F71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B9D813">
            <w:pPr>
              <w:topLinePunct/>
              <w:spacing w:line="400" w:lineRule="atLeast"/>
              <w:jc w:val="center"/>
              <w:rPr>
                <w:szCs w:val="21"/>
              </w:rPr>
            </w:pPr>
          </w:p>
        </w:tc>
        <w:tc>
          <w:tcPr>
            <w:tcW w:w="2466" w:type="dxa"/>
            <w:noWrap w:val="0"/>
            <w:vAlign w:val="top"/>
          </w:tcPr>
          <w:p w14:paraId="3FFE0848">
            <w:pPr>
              <w:topLinePunct/>
              <w:spacing w:line="400" w:lineRule="atLeast"/>
              <w:jc w:val="center"/>
              <w:rPr>
                <w:szCs w:val="21"/>
              </w:rPr>
            </w:pPr>
          </w:p>
        </w:tc>
        <w:tc>
          <w:tcPr>
            <w:tcW w:w="1868" w:type="dxa"/>
            <w:noWrap w:val="0"/>
            <w:vAlign w:val="top"/>
          </w:tcPr>
          <w:p w14:paraId="5723C34E">
            <w:pPr>
              <w:topLinePunct/>
              <w:spacing w:line="400" w:lineRule="atLeast"/>
              <w:jc w:val="center"/>
              <w:rPr>
                <w:szCs w:val="21"/>
              </w:rPr>
            </w:pPr>
          </w:p>
        </w:tc>
        <w:tc>
          <w:tcPr>
            <w:tcW w:w="1814" w:type="dxa"/>
            <w:noWrap w:val="0"/>
            <w:vAlign w:val="top"/>
          </w:tcPr>
          <w:p w14:paraId="1F272F0A">
            <w:pPr>
              <w:topLinePunct/>
              <w:spacing w:line="400" w:lineRule="atLeast"/>
              <w:jc w:val="center"/>
              <w:rPr>
                <w:szCs w:val="21"/>
              </w:rPr>
            </w:pPr>
          </w:p>
        </w:tc>
        <w:tc>
          <w:tcPr>
            <w:tcW w:w="1659" w:type="dxa"/>
            <w:noWrap w:val="0"/>
            <w:vAlign w:val="top"/>
          </w:tcPr>
          <w:p w14:paraId="763906CA">
            <w:pPr>
              <w:topLinePunct/>
              <w:spacing w:line="400" w:lineRule="atLeast"/>
              <w:jc w:val="center"/>
              <w:rPr>
                <w:szCs w:val="21"/>
              </w:rPr>
            </w:pPr>
          </w:p>
        </w:tc>
      </w:tr>
      <w:tr w14:paraId="2695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593EAFA">
            <w:pPr>
              <w:topLinePunct/>
              <w:spacing w:line="400" w:lineRule="atLeast"/>
              <w:jc w:val="center"/>
              <w:rPr>
                <w:szCs w:val="21"/>
              </w:rPr>
            </w:pPr>
          </w:p>
        </w:tc>
        <w:tc>
          <w:tcPr>
            <w:tcW w:w="2466" w:type="dxa"/>
            <w:noWrap w:val="0"/>
            <w:vAlign w:val="top"/>
          </w:tcPr>
          <w:p w14:paraId="7D5BDBE5">
            <w:pPr>
              <w:topLinePunct/>
              <w:spacing w:line="400" w:lineRule="atLeast"/>
              <w:jc w:val="center"/>
              <w:rPr>
                <w:szCs w:val="21"/>
              </w:rPr>
            </w:pPr>
          </w:p>
        </w:tc>
        <w:tc>
          <w:tcPr>
            <w:tcW w:w="1868" w:type="dxa"/>
            <w:noWrap w:val="0"/>
            <w:vAlign w:val="top"/>
          </w:tcPr>
          <w:p w14:paraId="4C3592F0">
            <w:pPr>
              <w:topLinePunct/>
              <w:spacing w:line="400" w:lineRule="atLeast"/>
              <w:jc w:val="center"/>
              <w:rPr>
                <w:szCs w:val="21"/>
              </w:rPr>
            </w:pPr>
          </w:p>
        </w:tc>
        <w:tc>
          <w:tcPr>
            <w:tcW w:w="1814" w:type="dxa"/>
            <w:noWrap w:val="0"/>
            <w:vAlign w:val="top"/>
          </w:tcPr>
          <w:p w14:paraId="72897B38">
            <w:pPr>
              <w:topLinePunct/>
              <w:spacing w:line="400" w:lineRule="atLeast"/>
              <w:jc w:val="center"/>
              <w:rPr>
                <w:szCs w:val="21"/>
              </w:rPr>
            </w:pPr>
          </w:p>
        </w:tc>
        <w:tc>
          <w:tcPr>
            <w:tcW w:w="1659" w:type="dxa"/>
            <w:noWrap w:val="0"/>
            <w:vAlign w:val="top"/>
          </w:tcPr>
          <w:p w14:paraId="14CE2860">
            <w:pPr>
              <w:topLinePunct/>
              <w:spacing w:line="400" w:lineRule="atLeast"/>
              <w:jc w:val="center"/>
              <w:rPr>
                <w:szCs w:val="21"/>
              </w:rPr>
            </w:pPr>
          </w:p>
        </w:tc>
      </w:tr>
      <w:tr w14:paraId="5C2C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11" w:type="dxa"/>
            <w:noWrap w:val="0"/>
            <w:vAlign w:val="top"/>
          </w:tcPr>
          <w:p w14:paraId="4C1CD8B1">
            <w:pPr>
              <w:topLinePunct/>
              <w:spacing w:line="400" w:lineRule="atLeast"/>
              <w:jc w:val="center"/>
              <w:rPr>
                <w:szCs w:val="21"/>
              </w:rPr>
            </w:pPr>
          </w:p>
        </w:tc>
        <w:tc>
          <w:tcPr>
            <w:tcW w:w="2466" w:type="dxa"/>
            <w:noWrap w:val="0"/>
            <w:vAlign w:val="top"/>
          </w:tcPr>
          <w:p w14:paraId="354EB221">
            <w:pPr>
              <w:topLinePunct/>
              <w:spacing w:line="400" w:lineRule="atLeast"/>
              <w:jc w:val="center"/>
              <w:rPr>
                <w:szCs w:val="21"/>
              </w:rPr>
            </w:pPr>
          </w:p>
        </w:tc>
        <w:tc>
          <w:tcPr>
            <w:tcW w:w="1868" w:type="dxa"/>
            <w:noWrap w:val="0"/>
            <w:vAlign w:val="top"/>
          </w:tcPr>
          <w:p w14:paraId="5805540B">
            <w:pPr>
              <w:topLinePunct/>
              <w:spacing w:line="400" w:lineRule="atLeast"/>
              <w:jc w:val="center"/>
              <w:rPr>
                <w:szCs w:val="21"/>
              </w:rPr>
            </w:pPr>
          </w:p>
        </w:tc>
        <w:tc>
          <w:tcPr>
            <w:tcW w:w="1814" w:type="dxa"/>
            <w:noWrap w:val="0"/>
            <w:vAlign w:val="top"/>
          </w:tcPr>
          <w:p w14:paraId="4FC427FB">
            <w:pPr>
              <w:topLinePunct/>
              <w:spacing w:line="400" w:lineRule="atLeast"/>
              <w:jc w:val="center"/>
              <w:rPr>
                <w:szCs w:val="21"/>
              </w:rPr>
            </w:pPr>
          </w:p>
        </w:tc>
        <w:tc>
          <w:tcPr>
            <w:tcW w:w="1659" w:type="dxa"/>
            <w:noWrap w:val="0"/>
            <w:vAlign w:val="top"/>
          </w:tcPr>
          <w:p w14:paraId="53488F46">
            <w:pPr>
              <w:topLinePunct/>
              <w:spacing w:line="400" w:lineRule="atLeast"/>
              <w:jc w:val="center"/>
              <w:rPr>
                <w:szCs w:val="21"/>
              </w:rPr>
            </w:pPr>
          </w:p>
        </w:tc>
      </w:tr>
      <w:tr w14:paraId="54E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E1DC34B">
            <w:pPr>
              <w:topLinePunct/>
              <w:spacing w:line="400" w:lineRule="atLeast"/>
              <w:jc w:val="center"/>
              <w:rPr>
                <w:szCs w:val="21"/>
              </w:rPr>
            </w:pPr>
          </w:p>
        </w:tc>
        <w:tc>
          <w:tcPr>
            <w:tcW w:w="2466" w:type="dxa"/>
            <w:noWrap w:val="0"/>
            <w:vAlign w:val="top"/>
          </w:tcPr>
          <w:p w14:paraId="6B09FD43">
            <w:pPr>
              <w:topLinePunct/>
              <w:spacing w:line="400" w:lineRule="atLeast"/>
              <w:jc w:val="center"/>
              <w:rPr>
                <w:szCs w:val="21"/>
              </w:rPr>
            </w:pPr>
          </w:p>
        </w:tc>
        <w:tc>
          <w:tcPr>
            <w:tcW w:w="1868" w:type="dxa"/>
            <w:noWrap w:val="0"/>
            <w:vAlign w:val="top"/>
          </w:tcPr>
          <w:p w14:paraId="44136560">
            <w:pPr>
              <w:topLinePunct/>
              <w:spacing w:line="400" w:lineRule="atLeast"/>
              <w:jc w:val="center"/>
              <w:rPr>
                <w:szCs w:val="21"/>
              </w:rPr>
            </w:pPr>
          </w:p>
        </w:tc>
        <w:tc>
          <w:tcPr>
            <w:tcW w:w="1814" w:type="dxa"/>
            <w:noWrap w:val="0"/>
            <w:vAlign w:val="top"/>
          </w:tcPr>
          <w:p w14:paraId="2BB96BEE">
            <w:pPr>
              <w:topLinePunct/>
              <w:spacing w:line="400" w:lineRule="atLeast"/>
              <w:jc w:val="center"/>
              <w:rPr>
                <w:szCs w:val="21"/>
              </w:rPr>
            </w:pPr>
          </w:p>
        </w:tc>
        <w:tc>
          <w:tcPr>
            <w:tcW w:w="1659" w:type="dxa"/>
            <w:noWrap w:val="0"/>
            <w:vAlign w:val="top"/>
          </w:tcPr>
          <w:p w14:paraId="2BFE1F58">
            <w:pPr>
              <w:topLinePunct/>
              <w:spacing w:line="400" w:lineRule="atLeast"/>
              <w:jc w:val="center"/>
              <w:rPr>
                <w:szCs w:val="21"/>
              </w:rPr>
            </w:pPr>
          </w:p>
        </w:tc>
      </w:tr>
      <w:tr w14:paraId="6976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88983E4">
            <w:pPr>
              <w:topLinePunct/>
              <w:spacing w:line="400" w:lineRule="atLeast"/>
              <w:jc w:val="center"/>
              <w:rPr>
                <w:szCs w:val="21"/>
              </w:rPr>
            </w:pPr>
          </w:p>
        </w:tc>
        <w:tc>
          <w:tcPr>
            <w:tcW w:w="2466" w:type="dxa"/>
            <w:noWrap w:val="0"/>
            <w:vAlign w:val="top"/>
          </w:tcPr>
          <w:p w14:paraId="001F7635">
            <w:pPr>
              <w:topLinePunct/>
              <w:spacing w:line="400" w:lineRule="atLeast"/>
              <w:jc w:val="center"/>
              <w:rPr>
                <w:szCs w:val="21"/>
              </w:rPr>
            </w:pPr>
          </w:p>
        </w:tc>
        <w:tc>
          <w:tcPr>
            <w:tcW w:w="1868" w:type="dxa"/>
            <w:noWrap w:val="0"/>
            <w:vAlign w:val="top"/>
          </w:tcPr>
          <w:p w14:paraId="7D609033">
            <w:pPr>
              <w:topLinePunct/>
              <w:spacing w:line="400" w:lineRule="atLeast"/>
              <w:jc w:val="center"/>
              <w:rPr>
                <w:szCs w:val="21"/>
              </w:rPr>
            </w:pPr>
          </w:p>
        </w:tc>
        <w:tc>
          <w:tcPr>
            <w:tcW w:w="1814" w:type="dxa"/>
            <w:noWrap w:val="0"/>
            <w:vAlign w:val="top"/>
          </w:tcPr>
          <w:p w14:paraId="51BB3FC3">
            <w:pPr>
              <w:topLinePunct/>
              <w:spacing w:line="400" w:lineRule="atLeast"/>
              <w:jc w:val="center"/>
              <w:rPr>
                <w:szCs w:val="21"/>
              </w:rPr>
            </w:pPr>
          </w:p>
        </w:tc>
        <w:tc>
          <w:tcPr>
            <w:tcW w:w="1659" w:type="dxa"/>
            <w:noWrap w:val="0"/>
            <w:vAlign w:val="top"/>
          </w:tcPr>
          <w:p w14:paraId="453FD972">
            <w:pPr>
              <w:topLinePunct/>
              <w:spacing w:line="400" w:lineRule="atLeast"/>
              <w:jc w:val="center"/>
              <w:rPr>
                <w:szCs w:val="21"/>
              </w:rPr>
            </w:pPr>
          </w:p>
        </w:tc>
      </w:tr>
      <w:tr w14:paraId="4330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719ACFB">
            <w:pPr>
              <w:topLinePunct/>
              <w:spacing w:line="400" w:lineRule="atLeast"/>
              <w:jc w:val="center"/>
              <w:rPr>
                <w:szCs w:val="21"/>
              </w:rPr>
            </w:pPr>
          </w:p>
        </w:tc>
        <w:tc>
          <w:tcPr>
            <w:tcW w:w="2466" w:type="dxa"/>
            <w:noWrap w:val="0"/>
            <w:vAlign w:val="top"/>
          </w:tcPr>
          <w:p w14:paraId="3FB4F9EB">
            <w:pPr>
              <w:topLinePunct/>
              <w:spacing w:line="400" w:lineRule="atLeast"/>
              <w:jc w:val="center"/>
              <w:rPr>
                <w:szCs w:val="21"/>
              </w:rPr>
            </w:pPr>
          </w:p>
        </w:tc>
        <w:tc>
          <w:tcPr>
            <w:tcW w:w="1868" w:type="dxa"/>
            <w:noWrap w:val="0"/>
            <w:vAlign w:val="top"/>
          </w:tcPr>
          <w:p w14:paraId="55CD4EB2">
            <w:pPr>
              <w:topLinePunct/>
              <w:spacing w:line="400" w:lineRule="atLeast"/>
              <w:jc w:val="center"/>
              <w:rPr>
                <w:szCs w:val="21"/>
              </w:rPr>
            </w:pPr>
          </w:p>
        </w:tc>
        <w:tc>
          <w:tcPr>
            <w:tcW w:w="1814" w:type="dxa"/>
            <w:noWrap w:val="0"/>
            <w:vAlign w:val="top"/>
          </w:tcPr>
          <w:p w14:paraId="5E46CA5F">
            <w:pPr>
              <w:topLinePunct/>
              <w:spacing w:line="400" w:lineRule="atLeast"/>
              <w:jc w:val="center"/>
              <w:rPr>
                <w:szCs w:val="21"/>
              </w:rPr>
            </w:pPr>
          </w:p>
        </w:tc>
        <w:tc>
          <w:tcPr>
            <w:tcW w:w="1659" w:type="dxa"/>
            <w:noWrap w:val="0"/>
            <w:vAlign w:val="top"/>
          </w:tcPr>
          <w:p w14:paraId="1637745D">
            <w:pPr>
              <w:topLinePunct/>
              <w:spacing w:line="400" w:lineRule="atLeast"/>
              <w:jc w:val="center"/>
              <w:rPr>
                <w:szCs w:val="21"/>
              </w:rPr>
            </w:pPr>
          </w:p>
        </w:tc>
      </w:tr>
      <w:tr w14:paraId="731E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462049A">
            <w:pPr>
              <w:topLinePunct/>
              <w:spacing w:line="400" w:lineRule="atLeast"/>
              <w:jc w:val="center"/>
              <w:rPr>
                <w:szCs w:val="21"/>
              </w:rPr>
            </w:pPr>
          </w:p>
        </w:tc>
        <w:tc>
          <w:tcPr>
            <w:tcW w:w="2466" w:type="dxa"/>
            <w:noWrap w:val="0"/>
            <w:vAlign w:val="top"/>
          </w:tcPr>
          <w:p w14:paraId="02050144">
            <w:pPr>
              <w:topLinePunct/>
              <w:spacing w:line="400" w:lineRule="atLeast"/>
              <w:jc w:val="center"/>
              <w:rPr>
                <w:szCs w:val="21"/>
              </w:rPr>
            </w:pPr>
          </w:p>
        </w:tc>
        <w:tc>
          <w:tcPr>
            <w:tcW w:w="1868" w:type="dxa"/>
            <w:noWrap w:val="0"/>
            <w:vAlign w:val="top"/>
          </w:tcPr>
          <w:p w14:paraId="33B30D3F">
            <w:pPr>
              <w:topLinePunct/>
              <w:spacing w:line="400" w:lineRule="atLeast"/>
              <w:jc w:val="center"/>
              <w:rPr>
                <w:szCs w:val="21"/>
              </w:rPr>
            </w:pPr>
          </w:p>
        </w:tc>
        <w:tc>
          <w:tcPr>
            <w:tcW w:w="1814" w:type="dxa"/>
            <w:noWrap w:val="0"/>
            <w:vAlign w:val="top"/>
          </w:tcPr>
          <w:p w14:paraId="687CB23F">
            <w:pPr>
              <w:topLinePunct/>
              <w:spacing w:line="400" w:lineRule="atLeast"/>
              <w:jc w:val="center"/>
              <w:rPr>
                <w:szCs w:val="21"/>
              </w:rPr>
            </w:pPr>
          </w:p>
        </w:tc>
        <w:tc>
          <w:tcPr>
            <w:tcW w:w="1659" w:type="dxa"/>
            <w:noWrap w:val="0"/>
            <w:vAlign w:val="top"/>
          </w:tcPr>
          <w:p w14:paraId="4448985C">
            <w:pPr>
              <w:topLinePunct/>
              <w:spacing w:line="400" w:lineRule="atLeast"/>
              <w:jc w:val="center"/>
              <w:rPr>
                <w:szCs w:val="21"/>
              </w:rPr>
            </w:pPr>
          </w:p>
        </w:tc>
      </w:tr>
      <w:tr w14:paraId="157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F0F493C">
            <w:pPr>
              <w:topLinePunct/>
              <w:spacing w:line="400" w:lineRule="atLeast"/>
              <w:jc w:val="center"/>
              <w:rPr>
                <w:szCs w:val="21"/>
              </w:rPr>
            </w:pPr>
          </w:p>
        </w:tc>
        <w:tc>
          <w:tcPr>
            <w:tcW w:w="2466" w:type="dxa"/>
            <w:noWrap w:val="0"/>
            <w:vAlign w:val="top"/>
          </w:tcPr>
          <w:p w14:paraId="3DEE272F">
            <w:pPr>
              <w:topLinePunct/>
              <w:spacing w:line="400" w:lineRule="atLeast"/>
              <w:jc w:val="center"/>
              <w:rPr>
                <w:szCs w:val="21"/>
              </w:rPr>
            </w:pPr>
          </w:p>
        </w:tc>
        <w:tc>
          <w:tcPr>
            <w:tcW w:w="1868" w:type="dxa"/>
            <w:noWrap w:val="0"/>
            <w:vAlign w:val="top"/>
          </w:tcPr>
          <w:p w14:paraId="7C9A682E">
            <w:pPr>
              <w:topLinePunct/>
              <w:spacing w:line="400" w:lineRule="atLeast"/>
              <w:jc w:val="center"/>
              <w:rPr>
                <w:szCs w:val="21"/>
              </w:rPr>
            </w:pPr>
          </w:p>
        </w:tc>
        <w:tc>
          <w:tcPr>
            <w:tcW w:w="1814" w:type="dxa"/>
            <w:noWrap w:val="0"/>
            <w:vAlign w:val="top"/>
          </w:tcPr>
          <w:p w14:paraId="63C9E059">
            <w:pPr>
              <w:topLinePunct/>
              <w:spacing w:line="400" w:lineRule="atLeast"/>
              <w:jc w:val="center"/>
              <w:rPr>
                <w:szCs w:val="21"/>
              </w:rPr>
            </w:pPr>
          </w:p>
        </w:tc>
        <w:tc>
          <w:tcPr>
            <w:tcW w:w="1659" w:type="dxa"/>
            <w:noWrap w:val="0"/>
            <w:vAlign w:val="top"/>
          </w:tcPr>
          <w:p w14:paraId="2E35AF36">
            <w:pPr>
              <w:topLinePunct/>
              <w:spacing w:line="400" w:lineRule="atLeast"/>
              <w:jc w:val="center"/>
              <w:rPr>
                <w:szCs w:val="21"/>
              </w:rPr>
            </w:pPr>
          </w:p>
        </w:tc>
      </w:tr>
    </w:tbl>
    <w:p w14:paraId="4BAF7B87">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w:t>
      </w:r>
    </w:p>
    <w:p w14:paraId="2C1526E4">
      <w:pPr>
        <w:spacing w:line="400" w:lineRule="atLeast"/>
        <w:ind w:left="840" w:leftChars="300" w:hanging="210" w:hangingChars="100"/>
        <w:sectPr>
          <w:headerReference r:id="rId50" w:type="default"/>
          <w:footerReference r:id="rId51"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.颁奖单位应当是国家机关或民政部门注册登记的合法颁奖单位。</w:t>
      </w:r>
    </w:p>
    <w:p w14:paraId="1623D069">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rPr>
      </w:pPr>
      <w:bookmarkStart w:id="2324" w:name="_Toc256000436"/>
      <w:bookmarkStart w:id="2325" w:name="_Toc27201"/>
      <w:r>
        <w:rPr>
          <w:rFonts w:hint="default"/>
        </w:rPr>
        <w:t>六</w:t>
      </w:r>
      <w:r>
        <w:rPr>
          <w:rFonts w:hint="eastAsia"/>
        </w:rPr>
        <w:t>、已标价工程量清单</w:t>
      </w:r>
      <w:bookmarkEnd w:id="2324"/>
      <w:bookmarkEnd w:id="2325"/>
    </w:p>
    <w:p w14:paraId="0412234E">
      <w:pPr>
        <w:spacing w:line="460" w:lineRule="exact"/>
        <w:rPr>
          <w:rFonts w:hint="eastAsia" w:ascii="黑体" w:hAnsi="宋体" w:eastAsia="黑体"/>
          <w:szCs w:val="21"/>
        </w:rPr>
      </w:pPr>
    </w:p>
    <w:p w14:paraId="130509BE">
      <w:pPr>
        <w:spacing w:line="460" w:lineRule="exact"/>
        <w:rPr>
          <w:rFonts w:ascii="宋体" w:hAnsi="宋体"/>
          <w:szCs w:val="21"/>
        </w:rPr>
      </w:pPr>
      <w:r>
        <w:rPr>
          <w:rFonts w:hint="eastAsia" w:ascii="宋体" w:hAnsi="宋体"/>
          <w:szCs w:val="21"/>
        </w:rPr>
        <w:t>说明：已标价工程量清单按第五章“工程量清单”中的相关清单表格式填写。</w:t>
      </w:r>
    </w:p>
    <w:p w14:paraId="1850457A">
      <w:pPr>
        <w:spacing w:line="460" w:lineRule="exact"/>
        <w:ind w:firstLine="630" w:firstLineChars="300"/>
        <w:rPr>
          <w:rFonts w:ascii="宋体" w:hAnsi="宋体"/>
          <w:szCs w:val="21"/>
        </w:rPr>
      </w:pPr>
      <w:r>
        <w:rPr>
          <w:rFonts w:hint="eastAsia" w:ascii="宋体" w:hAnsi="宋体"/>
          <w:szCs w:val="21"/>
        </w:rPr>
        <w:t>构成合同文件的已标价工程量清单包括第五章“工程量清单”有关工程量清单、投标报价以及其他说明的内容。</w:t>
      </w:r>
    </w:p>
    <w:p w14:paraId="5E7B2E3F">
      <w:r>
        <w:br w:type="page"/>
      </w:r>
    </w:p>
    <w:p w14:paraId="598079D5">
      <w:pPr>
        <w:pStyle w:val="25"/>
      </w:pPr>
      <w:bookmarkStart w:id="2326" w:name="_Toc426495639"/>
      <w:bookmarkStart w:id="2327" w:name="_Toc256000437"/>
      <w:bookmarkStart w:id="2328" w:name="_Toc173867058"/>
      <w:r>
        <w:rPr>
          <w:rFonts w:hint="eastAsia"/>
        </w:rPr>
        <w:t>已标价工程量清单（投标总价）封面</w:t>
      </w:r>
      <w:bookmarkEnd w:id="2326"/>
      <w:bookmarkEnd w:id="2327"/>
      <w:bookmarkEnd w:id="2328"/>
    </w:p>
    <w:p w14:paraId="470BDE92">
      <w:pPr>
        <w:spacing w:line="460" w:lineRule="exact"/>
        <w:rPr>
          <w:rFonts w:hint="eastAsia" w:ascii="宋体" w:hAnsi="宋体"/>
          <w:szCs w:val="21"/>
        </w:rPr>
      </w:pPr>
    </w:p>
    <w:p w14:paraId="62093548">
      <w:pPr>
        <w:spacing w:line="460" w:lineRule="exact"/>
        <w:jc w:val="center"/>
        <w:rPr>
          <w:rFonts w:hint="default" w:eastAsia="黑体"/>
          <w:sz w:val="32"/>
          <w:u w:val="single"/>
        </w:rPr>
      </w:pPr>
      <w:r>
        <w:rPr>
          <w:rFonts w:hint="eastAsia" w:ascii="宋体" w:hAnsi="宋体" w:cs="宋体"/>
          <w:sz w:val="28"/>
          <w:szCs w:val="22"/>
          <w:u w:val="single"/>
          <w:lang w:val="en-US" w:eastAsia="zh-CN"/>
        </w:rPr>
        <w:t xml:space="preserve">                            </w:t>
      </w:r>
      <w:r>
        <w:rPr>
          <w:rFonts w:hint="eastAsia" w:ascii="宋体" w:hAnsi="宋体" w:eastAsia="宋体" w:cs="宋体"/>
          <w:sz w:val="32"/>
          <w:szCs w:val="24"/>
          <w:u w:val="none"/>
          <w:lang w:val="en-US" w:eastAsia="zh-CN"/>
        </w:rPr>
        <w:t>工程</w:t>
      </w:r>
    </w:p>
    <w:p w14:paraId="17DC352E">
      <w:pPr>
        <w:spacing w:line="460" w:lineRule="exact"/>
        <w:rPr>
          <w:rFonts w:eastAsia="黑体"/>
          <w:sz w:val="32"/>
          <w:u w:val="single"/>
        </w:rPr>
      </w:pPr>
    </w:p>
    <w:p w14:paraId="112B20D6">
      <w:pPr>
        <w:spacing w:line="460" w:lineRule="exact"/>
        <w:rPr>
          <w:rFonts w:eastAsia="黑体"/>
          <w:sz w:val="32"/>
          <w:u w:val="single"/>
        </w:rPr>
      </w:pPr>
    </w:p>
    <w:p w14:paraId="378F8A9E">
      <w:pPr>
        <w:spacing w:line="460" w:lineRule="exact"/>
        <w:rPr>
          <w:rFonts w:eastAsia="黑体"/>
          <w:sz w:val="32"/>
          <w:u w:val="single"/>
        </w:rPr>
      </w:pPr>
    </w:p>
    <w:p w14:paraId="4AC0FF3B">
      <w:pPr>
        <w:spacing w:line="460" w:lineRule="exact"/>
        <w:rPr>
          <w:rFonts w:hint="eastAsia" w:ascii="宋体" w:hAnsi="宋体"/>
          <w:szCs w:val="21"/>
        </w:rPr>
      </w:pPr>
    </w:p>
    <w:p w14:paraId="47F4E538">
      <w:pPr>
        <w:spacing w:line="360" w:lineRule="auto"/>
        <w:jc w:val="center"/>
        <w:rPr>
          <w:rFonts w:eastAsia="黑体"/>
          <w:sz w:val="44"/>
          <w:szCs w:val="44"/>
        </w:rPr>
      </w:pPr>
    </w:p>
    <w:p w14:paraId="57EAE40A">
      <w:pPr>
        <w:spacing w:line="360" w:lineRule="auto"/>
        <w:jc w:val="center"/>
        <w:rPr>
          <w:rFonts w:eastAsia="黑体"/>
          <w:sz w:val="44"/>
          <w:szCs w:val="44"/>
        </w:rPr>
      </w:pPr>
      <w:r>
        <w:rPr>
          <w:rFonts w:hint="eastAsia" w:eastAsia="黑体"/>
          <w:sz w:val="44"/>
          <w:szCs w:val="44"/>
        </w:rPr>
        <w:t>投标总价</w:t>
      </w:r>
    </w:p>
    <w:p w14:paraId="31619DB8">
      <w:pPr>
        <w:spacing w:line="460" w:lineRule="exact"/>
        <w:jc w:val="center"/>
        <w:rPr>
          <w:rFonts w:eastAsia="黑体"/>
          <w:sz w:val="44"/>
          <w:szCs w:val="44"/>
        </w:rPr>
      </w:pPr>
    </w:p>
    <w:p w14:paraId="2CABCD18">
      <w:pPr>
        <w:spacing w:line="460" w:lineRule="exact"/>
        <w:jc w:val="center"/>
        <w:rPr>
          <w:rFonts w:eastAsia="黑体"/>
          <w:sz w:val="44"/>
          <w:szCs w:val="44"/>
        </w:rPr>
      </w:pPr>
    </w:p>
    <w:p w14:paraId="2620ACEB">
      <w:pPr>
        <w:spacing w:line="460" w:lineRule="exact"/>
        <w:jc w:val="center"/>
        <w:rPr>
          <w:rFonts w:eastAsia="黑体"/>
          <w:sz w:val="44"/>
          <w:szCs w:val="44"/>
        </w:rPr>
      </w:pPr>
    </w:p>
    <w:p w14:paraId="5D00D34C">
      <w:pPr>
        <w:spacing w:line="460" w:lineRule="exact"/>
        <w:jc w:val="center"/>
        <w:rPr>
          <w:rFonts w:eastAsia="黑体"/>
          <w:sz w:val="44"/>
          <w:szCs w:val="44"/>
        </w:rPr>
      </w:pPr>
    </w:p>
    <w:p w14:paraId="630F536F">
      <w:pPr>
        <w:spacing w:line="460" w:lineRule="exact"/>
        <w:jc w:val="center"/>
        <w:rPr>
          <w:rFonts w:eastAsia="黑体"/>
          <w:sz w:val="44"/>
          <w:szCs w:val="44"/>
        </w:rPr>
      </w:pPr>
    </w:p>
    <w:p w14:paraId="4A7AD0B1">
      <w:pPr>
        <w:spacing w:line="460" w:lineRule="exact"/>
        <w:jc w:val="center"/>
        <w:rPr>
          <w:rFonts w:eastAsia="黑体"/>
          <w:sz w:val="44"/>
          <w:szCs w:val="44"/>
        </w:rPr>
      </w:pPr>
    </w:p>
    <w:p w14:paraId="4133E044">
      <w:pPr>
        <w:spacing w:line="460" w:lineRule="exact"/>
        <w:jc w:val="center"/>
        <w:rPr>
          <w:rFonts w:eastAsia="黑体"/>
          <w:sz w:val="44"/>
          <w:szCs w:val="44"/>
        </w:rPr>
      </w:pPr>
    </w:p>
    <w:p w14:paraId="746CF153">
      <w:pPr>
        <w:spacing w:line="600" w:lineRule="exact"/>
        <w:ind w:firstLine="1260" w:firstLineChars="600"/>
        <w:rPr>
          <w:rFonts w:ascii="黑体" w:eastAsia="黑体"/>
        </w:rPr>
      </w:pPr>
    </w:p>
    <w:p w14:paraId="01AC1F48">
      <w:pPr>
        <w:spacing w:line="320" w:lineRule="exact"/>
        <w:ind w:firstLine="1680" w:firstLineChars="600"/>
        <w:rPr>
          <w:rFonts w:hint="eastAsia"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p>
    <w:p w14:paraId="2BA4128E">
      <w:pPr>
        <w:spacing w:line="320" w:lineRule="exact"/>
        <w:ind w:firstLine="4200" w:firstLineChars="1500"/>
        <w:rPr>
          <w:rFonts w:hint="eastAsia" w:ascii="宋体" w:hAnsi="宋体"/>
          <w:sz w:val="28"/>
          <w:szCs w:val="28"/>
        </w:rPr>
      </w:pPr>
      <w:r>
        <w:rPr>
          <w:rFonts w:hint="eastAsia" w:ascii="宋体" w:hAnsi="宋体"/>
          <w:sz w:val="28"/>
          <w:szCs w:val="28"/>
        </w:rPr>
        <w:t>（单位盖章）</w:t>
      </w:r>
    </w:p>
    <w:p w14:paraId="0F8A3721">
      <w:pPr>
        <w:spacing w:line="380" w:lineRule="exact"/>
        <w:ind w:firstLine="420" w:firstLineChars="200"/>
        <w:rPr>
          <w:rFonts w:hint="eastAsia" w:ascii="宋体" w:hAnsi="宋体"/>
        </w:rPr>
      </w:pPr>
    </w:p>
    <w:p w14:paraId="63F41ABB">
      <w:pPr>
        <w:spacing w:line="380" w:lineRule="exact"/>
        <w:ind w:firstLine="560" w:firstLineChars="200"/>
        <w:rPr>
          <w:rFonts w:hint="eastAsia" w:ascii="宋体" w:hAnsi="宋体"/>
          <w:sz w:val="28"/>
          <w:szCs w:val="28"/>
        </w:rPr>
      </w:pPr>
    </w:p>
    <w:p w14:paraId="381A3755">
      <w:pPr>
        <w:spacing w:line="380" w:lineRule="exact"/>
        <w:ind w:firstLine="560" w:firstLineChars="200"/>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年      月      日</w:t>
      </w:r>
    </w:p>
    <w:p w14:paraId="723C420E">
      <w:pPr>
        <w:spacing w:line="460" w:lineRule="exact"/>
        <w:jc w:val="center"/>
        <w:rPr>
          <w:rFonts w:eastAsia="黑体"/>
          <w:sz w:val="44"/>
          <w:szCs w:val="44"/>
        </w:rPr>
      </w:pPr>
    </w:p>
    <w:p w14:paraId="093A84F6">
      <w:pPr>
        <w:spacing w:line="460" w:lineRule="exact"/>
        <w:jc w:val="center"/>
        <w:rPr>
          <w:rFonts w:eastAsia="黑体"/>
          <w:sz w:val="44"/>
          <w:szCs w:val="44"/>
        </w:rPr>
      </w:pPr>
    </w:p>
    <w:p w14:paraId="3AF007CF">
      <w:pPr>
        <w:widowControl/>
        <w:jc w:val="left"/>
        <w:rPr>
          <w:rFonts w:hint="eastAsia" w:ascii="宋体" w:hAnsi="宋体"/>
          <w:szCs w:val="21"/>
        </w:rPr>
      </w:pPr>
      <w:r>
        <w:rPr>
          <w:rFonts w:ascii="宋体" w:hAnsi="宋体"/>
          <w:szCs w:val="21"/>
        </w:rPr>
        <w:br w:type="page"/>
      </w:r>
    </w:p>
    <w:p w14:paraId="2DBF6D6F">
      <w:pPr>
        <w:spacing w:line="460" w:lineRule="exact"/>
        <w:jc w:val="center"/>
        <w:rPr>
          <w:rFonts w:hint="eastAsia" w:ascii="宋体" w:hAnsi="宋体"/>
          <w:szCs w:val="21"/>
        </w:rPr>
      </w:pPr>
    </w:p>
    <w:p w14:paraId="03570C74">
      <w:pPr>
        <w:pStyle w:val="25"/>
      </w:pPr>
      <w:bookmarkStart w:id="2329" w:name="_Toc256000438"/>
      <w:bookmarkStart w:id="2330" w:name="_Toc173867059"/>
      <w:bookmarkStart w:id="2331" w:name="_Toc426495640"/>
      <w:r>
        <w:rPr>
          <w:rFonts w:hint="eastAsia"/>
        </w:rPr>
        <w:t>投标总价扉页</w:t>
      </w:r>
      <w:bookmarkEnd w:id="2329"/>
      <w:bookmarkEnd w:id="2330"/>
      <w:bookmarkEnd w:id="2331"/>
    </w:p>
    <w:p w14:paraId="4641099F">
      <w:pPr>
        <w:spacing w:line="380" w:lineRule="exact"/>
        <w:ind w:firstLine="480" w:firstLineChars="200"/>
        <w:rPr>
          <w:rFonts w:ascii="黑体" w:eastAsia="黑体"/>
          <w:sz w:val="24"/>
        </w:rPr>
      </w:pPr>
    </w:p>
    <w:p w14:paraId="642C3527">
      <w:pPr>
        <w:spacing w:line="460" w:lineRule="exact"/>
        <w:jc w:val="center"/>
        <w:rPr>
          <w:rFonts w:hint="default" w:eastAsia="黑体"/>
          <w:sz w:val="32"/>
          <w:u w:val="single"/>
        </w:rPr>
      </w:pPr>
      <w:r>
        <w:rPr>
          <w:rFonts w:hint="eastAsia" w:ascii="宋体" w:hAnsi="宋体" w:cs="宋体"/>
          <w:sz w:val="28"/>
          <w:szCs w:val="22"/>
          <w:u w:val="single"/>
          <w:lang w:val="en-US" w:eastAsia="zh-CN"/>
        </w:rPr>
        <w:t xml:space="preserve">                            </w:t>
      </w:r>
      <w:r>
        <w:rPr>
          <w:rFonts w:hint="eastAsia" w:ascii="宋体" w:hAnsi="宋体" w:eastAsia="宋体" w:cs="宋体"/>
          <w:sz w:val="32"/>
          <w:szCs w:val="24"/>
          <w:u w:val="none"/>
          <w:lang w:val="en-US" w:eastAsia="zh-CN"/>
        </w:rPr>
        <w:t>工程</w:t>
      </w:r>
    </w:p>
    <w:p w14:paraId="5FE1EFCD">
      <w:pPr>
        <w:spacing w:line="380" w:lineRule="exact"/>
        <w:ind w:firstLine="480" w:firstLineChars="200"/>
        <w:rPr>
          <w:rFonts w:ascii="黑体" w:eastAsia="黑体"/>
          <w:sz w:val="24"/>
        </w:rPr>
      </w:pPr>
    </w:p>
    <w:p w14:paraId="0D850516">
      <w:pPr>
        <w:spacing w:line="380" w:lineRule="exact"/>
        <w:ind w:firstLine="480" w:firstLineChars="200"/>
        <w:rPr>
          <w:rFonts w:ascii="黑体" w:eastAsia="黑体"/>
          <w:sz w:val="24"/>
        </w:rPr>
      </w:pPr>
    </w:p>
    <w:p w14:paraId="2FDAEF66">
      <w:pPr>
        <w:spacing w:after="480" w:afterLines="200" w:line="380" w:lineRule="exact"/>
        <w:ind w:firstLine="720" w:firstLineChars="200"/>
        <w:jc w:val="center"/>
        <w:rPr>
          <w:rFonts w:ascii="黑体" w:eastAsia="黑体"/>
          <w:spacing w:val="20"/>
          <w:sz w:val="32"/>
          <w:szCs w:val="32"/>
        </w:rPr>
      </w:pPr>
      <w:r>
        <w:rPr>
          <w:rFonts w:hint="eastAsia" w:ascii="黑体" w:eastAsia="黑体"/>
          <w:spacing w:val="20"/>
          <w:sz w:val="32"/>
          <w:szCs w:val="32"/>
        </w:rPr>
        <w:t>投标总价</w:t>
      </w:r>
    </w:p>
    <w:p w14:paraId="0816CABF">
      <w:pPr>
        <w:spacing w:line="600" w:lineRule="exact"/>
        <w:ind w:firstLine="420" w:firstLineChars="200"/>
        <w:rPr>
          <w:rFonts w:hint="eastAsia" w:ascii="宋体" w:hAnsi="宋体"/>
          <w:u w:val="single"/>
        </w:rPr>
      </w:pPr>
      <w:r>
        <w:rPr>
          <w:rFonts w:hint="eastAsia" w:ascii="宋体" w:hAnsi="宋体"/>
        </w:rPr>
        <w:t>招 标 人：</w:t>
      </w:r>
      <w:r>
        <w:rPr>
          <w:rFonts w:hint="eastAsia" w:ascii="宋体" w:hAnsi="宋体"/>
          <w:u w:val="single"/>
        </w:rPr>
        <w:t xml:space="preserve">                                                               </w:t>
      </w:r>
    </w:p>
    <w:p w14:paraId="2A14CD5B">
      <w:pPr>
        <w:spacing w:line="600" w:lineRule="exact"/>
        <w:ind w:firstLine="420" w:firstLineChars="200"/>
        <w:rPr>
          <w:rFonts w:hint="eastAsia" w:ascii="宋体" w:hAnsi="宋体"/>
        </w:rPr>
      </w:pPr>
      <w:r>
        <w:rPr>
          <w:rFonts w:hint="eastAsia" w:ascii="宋体" w:hAnsi="宋体"/>
        </w:rPr>
        <w:t>工程名称：</w:t>
      </w:r>
      <w:r>
        <w:rPr>
          <w:rFonts w:hint="eastAsia" w:ascii="宋体" w:hAnsi="宋体"/>
          <w:u w:val="single"/>
        </w:rPr>
        <w:t xml:space="preserve">                                                               </w:t>
      </w:r>
    </w:p>
    <w:p w14:paraId="51B8190B">
      <w:pPr>
        <w:spacing w:line="600" w:lineRule="exact"/>
        <w:ind w:firstLine="420" w:firstLineChars="200"/>
        <w:rPr>
          <w:rFonts w:hint="eastAsia" w:ascii="宋体" w:hAnsi="宋体"/>
        </w:rPr>
      </w:pPr>
      <w:r>
        <w:rPr>
          <w:rFonts w:hint="eastAsia" w:ascii="宋体" w:hAnsi="宋体"/>
        </w:rPr>
        <w:t>投标总价（小写） ：</w:t>
      </w:r>
      <w:r>
        <w:rPr>
          <w:rFonts w:hint="eastAsia" w:ascii="宋体" w:hAnsi="宋体"/>
          <w:u w:val="single"/>
        </w:rPr>
        <w:t xml:space="preserve">                                                   </w:t>
      </w:r>
      <w:r>
        <w:rPr>
          <w:rFonts w:hint="eastAsia" w:ascii="宋体" w:hAnsi="宋体"/>
        </w:rPr>
        <w:t xml:space="preserve">元   </w:t>
      </w:r>
    </w:p>
    <w:p w14:paraId="0BDCD37E">
      <w:pPr>
        <w:spacing w:line="600" w:lineRule="exact"/>
        <w:ind w:firstLine="1260" w:firstLineChars="600"/>
        <w:rPr>
          <w:rFonts w:hint="eastAsia" w:ascii="宋体" w:hAnsi="宋体"/>
          <w:u w:val="single"/>
        </w:rPr>
      </w:pPr>
      <w:r>
        <w:rPr>
          <w:rFonts w:hint="eastAsia" w:ascii="宋体" w:hAnsi="宋体"/>
        </w:rPr>
        <w:t>（大写） ：</w:t>
      </w:r>
      <w:r>
        <w:rPr>
          <w:rFonts w:hint="eastAsia" w:ascii="宋体" w:hAnsi="宋体"/>
          <w:u w:val="single"/>
        </w:rPr>
        <w:t xml:space="preserve">                                                   </w:t>
      </w:r>
      <w:r>
        <w:rPr>
          <w:rFonts w:hint="eastAsia" w:ascii="宋体" w:hAnsi="宋体"/>
        </w:rPr>
        <w:t xml:space="preserve">元   </w:t>
      </w:r>
    </w:p>
    <w:p w14:paraId="2CDA3174">
      <w:pPr>
        <w:spacing w:line="600" w:lineRule="exact"/>
        <w:ind w:firstLine="1260" w:firstLineChars="600"/>
        <w:rPr>
          <w:rFonts w:hint="eastAsia" w:ascii="宋体" w:hAnsi="宋体"/>
        </w:rPr>
      </w:pPr>
    </w:p>
    <w:p w14:paraId="134E4E95">
      <w:pPr>
        <w:spacing w:line="320" w:lineRule="exact"/>
        <w:ind w:firstLine="420" w:firstLineChars="200"/>
        <w:rPr>
          <w:rFonts w:hint="eastAsia" w:ascii="宋体" w:hAnsi="宋体"/>
        </w:rPr>
      </w:pPr>
      <w:r>
        <w:rPr>
          <w:rFonts w:hint="eastAsia" w:ascii="宋体" w:hAnsi="宋体"/>
        </w:rPr>
        <w:t>投 标 人：</w:t>
      </w:r>
      <w:r>
        <w:rPr>
          <w:rFonts w:hint="eastAsia" w:ascii="宋体" w:hAnsi="宋体"/>
          <w:u w:val="single"/>
        </w:rPr>
        <w:t xml:space="preserve">                                                               </w:t>
      </w:r>
    </w:p>
    <w:p w14:paraId="7E602387">
      <w:pPr>
        <w:spacing w:line="320" w:lineRule="exact"/>
        <w:ind w:firstLine="4200" w:firstLineChars="2000"/>
        <w:rPr>
          <w:rFonts w:hint="eastAsia" w:ascii="宋体" w:hAnsi="宋体"/>
        </w:rPr>
      </w:pPr>
      <w:r>
        <w:rPr>
          <w:rFonts w:hint="eastAsia" w:ascii="宋体" w:hAnsi="宋体"/>
        </w:rPr>
        <w:t>（单位盖章）</w:t>
      </w:r>
    </w:p>
    <w:p w14:paraId="46B36D9A">
      <w:pPr>
        <w:spacing w:line="380" w:lineRule="exact"/>
        <w:ind w:firstLine="420" w:firstLineChars="200"/>
        <w:rPr>
          <w:rFonts w:hint="eastAsia" w:ascii="宋体" w:hAnsi="宋体"/>
        </w:rPr>
      </w:pPr>
    </w:p>
    <w:p w14:paraId="346FDA65">
      <w:pPr>
        <w:spacing w:after="72" w:afterLines="30" w:line="380" w:lineRule="exact"/>
        <w:ind w:firstLine="420" w:firstLineChars="200"/>
        <w:rPr>
          <w:rFonts w:hint="eastAsia" w:ascii="宋体" w:hAnsi="宋体"/>
        </w:rPr>
      </w:pPr>
      <w:r>
        <w:rPr>
          <w:rFonts w:hint="eastAsia" w:ascii="宋体" w:hAnsi="宋体"/>
        </w:rPr>
        <w:t>法定代表人</w:t>
      </w:r>
    </w:p>
    <w:p w14:paraId="5F26150E">
      <w:pPr>
        <w:spacing w:line="320" w:lineRule="exact"/>
        <w:ind w:firstLine="420" w:firstLineChars="200"/>
        <w:rPr>
          <w:rFonts w:hint="eastAsia" w:ascii="宋体" w:hAnsi="宋体"/>
          <w:u w:val="single"/>
        </w:rPr>
      </w:pPr>
      <w:r>
        <w:rPr>
          <w:rFonts w:hint="eastAsia" w:ascii="宋体" w:hAnsi="宋体"/>
        </w:rPr>
        <w:t>或其授权人：</w:t>
      </w:r>
      <w:r>
        <w:rPr>
          <w:rFonts w:hint="eastAsia" w:ascii="宋体" w:hAnsi="宋体"/>
          <w:u w:val="single"/>
        </w:rPr>
        <w:t xml:space="preserve">                                                             </w:t>
      </w:r>
    </w:p>
    <w:p w14:paraId="628E3249">
      <w:pPr>
        <w:spacing w:line="320" w:lineRule="exact"/>
        <w:ind w:firstLine="3990" w:firstLineChars="1900"/>
        <w:rPr>
          <w:rFonts w:hint="eastAsia" w:ascii="宋体" w:hAnsi="宋体"/>
        </w:rPr>
      </w:pPr>
      <w:r>
        <w:rPr>
          <w:rFonts w:hint="eastAsia" w:ascii="宋体" w:hAnsi="宋体"/>
        </w:rPr>
        <w:t>（签字或盖章）</w:t>
      </w:r>
    </w:p>
    <w:p w14:paraId="65DF3049">
      <w:pPr>
        <w:spacing w:line="320" w:lineRule="exact"/>
        <w:ind w:firstLine="3990" w:firstLineChars="1900"/>
        <w:rPr>
          <w:rFonts w:hint="eastAsia" w:ascii="宋体" w:hAnsi="宋体"/>
        </w:rPr>
      </w:pPr>
    </w:p>
    <w:p w14:paraId="6DA7FD93">
      <w:pPr>
        <w:spacing w:line="320" w:lineRule="exact"/>
        <w:ind w:firstLine="3990" w:firstLineChars="1900"/>
        <w:rPr>
          <w:rFonts w:hint="eastAsia" w:ascii="宋体" w:hAnsi="宋体"/>
        </w:rPr>
      </w:pPr>
    </w:p>
    <w:p w14:paraId="334511D9">
      <w:pPr>
        <w:spacing w:line="320" w:lineRule="exact"/>
        <w:ind w:firstLine="420" w:firstLineChars="200"/>
        <w:rPr>
          <w:rFonts w:hint="eastAsia" w:ascii="宋体" w:hAnsi="宋体"/>
        </w:rPr>
      </w:pPr>
      <w:r>
        <w:rPr>
          <w:rFonts w:hint="eastAsia" w:ascii="宋体" w:hAnsi="宋体"/>
        </w:rPr>
        <w:t>编制人：</w:t>
      </w:r>
      <w:r>
        <w:rPr>
          <w:rFonts w:hint="eastAsia" w:ascii="宋体" w:hAnsi="宋体"/>
          <w:u w:val="single"/>
        </w:rPr>
        <w:t xml:space="preserve">                                                                 </w:t>
      </w:r>
    </w:p>
    <w:p w14:paraId="1D5300F0">
      <w:pPr>
        <w:spacing w:line="320" w:lineRule="exact"/>
        <w:ind w:firstLine="3570" w:firstLineChars="1700"/>
        <w:rPr>
          <w:rFonts w:hint="eastAsia" w:ascii="宋体" w:hAnsi="宋体"/>
        </w:rPr>
      </w:pPr>
      <w:r>
        <w:rPr>
          <w:rFonts w:hint="eastAsia" w:ascii="宋体" w:hAnsi="宋体"/>
        </w:rPr>
        <w:t>（造价人员签字或盖章）</w:t>
      </w:r>
    </w:p>
    <w:p w14:paraId="7AE18D15">
      <w:pPr>
        <w:spacing w:line="380" w:lineRule="exact"/>
        <w:ind w:firstLine="420" w:firstLineChars="200"/>
        <w:rPr>
          <w:rFonts w:hint="eastAsia" w:ascii="宋体" w:hAnsi="宋体"/>
        </w:rPr>
      </w:pPr>
    </w:p>
    <w:p w14:paraId="7C316B47">
      <w:pPr>
        <w:spacing w:line="380" w:lineRule="exact"/>
        <w:ind w:firstLine="420" w:firstLineChars="200"/>
        <w:rPr>
          <w:rFonts w:hint="eastAsia" w:ascii="宋体" w:hAnsi="宋体"/>
        </w:rPr>
      </w:pPr>
    </w:p>
    <w:p w14:paraId="1D23E6C2">
      <w:pPr>
        <w:spacing w:line="380" w:lineRule="exact"/>
        <w:ind w:firstLine="420" w:firstLineChars="200"/>
        <w:rPr>
          <w:rFonts w:hint="eastAsia" w:ascii="宋体" w:hAnsi="宋体"/>
        </w:rPr>
      </w:pPr>
      <w:r>
        <w:rPr>
          <w:rFonts w:hint="eastAsia" w:ascii="宋体" w:hAnsi="宋体"/>
        </w:rPr>
        <w:t>编制时间：                        年      月      日</w:t>
      </w:r>
    </w:p>
    <w:p w14:paraId="289C55D0">
      <w:pPr>
        <w:spacing w:line="380" w:lineRule="exact"/>
        <w:ind w:firstLine="420" w:firstLineChars="200"/>
        <w:rPr>
          <w:rFonts w:ascii="黑体" w:eastAsia="黑体"/>
        </w:rPr>
      </w:pPr>
    </w:p>
    <w:p w14:paraId="5C672029">
      <w:pPr>
        <w:spacing w:line="380" w:lineRule="exact"/>
        <w:ind w:firstLine="420" w:firstLineChars="200"/>
        <w:rPr>
          <w:rFonts w:ascii="黑体" w:eastAsia="黑体"/>
        </w:rPr>
      </w:pPr>
    </w:p>
    <w:p w14:paraId="052EB0DC">
      <w:pPr>
        <w:spacing w:line="380" w:lineRule="exact"/>
        <w:ind w:firstLine="420" w:firstLineChars="200"/>
        <w:rPr>
          <w:rFonts w:hint="eastAsia" w:ascii="宋体" w:hAnsi="宋体"/>
        </w:rPr>
      </w:pPr>
      <w:r>
        <w:rPr>
          <w:rFonts w:hint="eastAsia" w:ascii="宋体" w:hAnsi="宋体"/>
        </w:rPr>
        <w:t>备注：1</w:t>
      </w:r>
      <w:r>
        <w:rPr>
          <w:rFonts w:ascii="宋体" w:hAnsi="宋体"/>
        </w:rPr>
        <w:t>.</w:t>
      </w:r>
      <w:r>
        <w:rPr>
          <w:rFonts w:hint="eastAsia" w:ascii="宋体" w:hAnsi="宋体"/>
        </w:rPr>
        <w:t>投标总价可按四舍五入精确到小数点后两位。</w:t>
      </w:r>
    </w:p>
    <w:p w14:paraId="4E33D3BB">
      <w:pPr>
        <w:spacing w:line="380" w:lineRule="exact"/>
        <w:ind w:left="1365" w:leftChars="200" w:hanging="945" w:hangingChars="450"/>
        <w:rPr>
          <w:rFonts w:hint="eastAsia" w:ascii="宋体" w:hAnsi="宋体"/>
        </w:rPr>
      </w:pPr>
      <w:r>
        <w:rPr>
          <w:rFonts w:hint="eastAsia" w:ascii="宋体" w:hAnsi="宋体"/>
        </w:rPr>
        <w:t xml:space="preserve">      2</w:t>
      </w:r>
      <w:r>
        <w:rPr>
          <w:rFonts w:ascii="宋体" w:hAnsi="宋体"/>
        </w:rPr>
        <w:t>.</w:t>
      </w:r>
      <w:r>
        <w:rPr>
          <w:rFonts w:hint="eastAsia" w:ascii="宋体" w:hAnsi="宋体"/>
        </w:rPr>
        <w:t>已标价工程量清单的内容和制作按第五章“工程量清单”和第二章“投标人须知”</w:t>
      </w:r>
      <w:r>
        <w:rPr>
          <w:rFonts w:hint="eastAsia"/>
        </w:rPr>
        <w:t xml:space="preserve"> </w:t>
      </w:r>
      <w:r>
        <w:rPr>
          <w:rFonts w:hint="eastAsia" w:ascii="宋体" w:hAnsi="宋体"/>
        </w:rPr>
        <w:t>第3.7.3（</w:t>
      </w:r>
      <w:r>
        <w:rPr>
          <w:rFonts w:ascii="宋体" w:hAnsi="宋体"/>
        </w:rPr>
        <w:t>5</w:t>
      </w:r>
      <w:r>
        <w:rPr>
          <w:rFonts w:hint="eastAsia" w:ascii="宋体" w:hAnsi="宋体"/>
        </w:rPr>
        <w:t>）目的要求填报和制作。</w:t>
      </w:r>
    </w:p>
    <w:p w14:paraId="24BF9C19">
      <w:pPr>
        <w:sectPr>
          <w:footerReference r:id="rId52" w:type="default"/>
          <w:pgSz w:w="11906" w:h="16838"/>
          <w:pgMar w:top="1440" w:right="1800" w:bottom="1440" w:left="1800" w:header="851" w:footer="992" w:gutter="0"/>
          <w:pgNumType w:fmt="decimal"/>
          <w:cols w:space="425" w:num="1"/>
          <w:docGrid w:type="lines" w:linePitch="312" w:charSpace="0"/>
        </w:sectPr>
      </w:pPr>
    </w:p>
    <w:p w14:paraId="1B77417D">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Cs w:val="28"/>
          <w:highlight w:val="none"/>
          <w:lang w:eastAsia="zh-CN"/>
        </w:rPr>
      </w:pPr>
      <w:bookmarkStart w:id="2332" w:name="_Toc5291"/>
      <w:bookmarkStart w:id="2333" w:name="_Toc256000441"/>
      <w:bookmarkStart w:id="2334" w:name="_Toc256000439"/>
      <w:bookmarkStart w:id="2335" w:name="_Toc29735"/>
      <w:r>
        <w:rPr>
          <w:rFonts w:hint="eastAsia"/>
          <w:highlight w:val="none"/>
          <w:lang w:val="en-US" w:eastAsia="zh-CN"/>
        </w:rPr>
        <w:t>七</w:t>
      </w:r>
      <w:r>
        <w:rPr>
          <w:rFonts w:hint="eastAsia"/>
          <w:highlight w:val="none"/>
        </w:rPr>
        <w:t>、施工组织设计</w:t>
      </w:r>
      <w:bookmarkEnd w:id="2332"/>
      <w:r>
        <w:rPr>
          <w:rFonts w:hint="eastAsia"/>
          <w:highlight w:val="none"/>
          <w:lang w:eastAsia="zh-CN"/>
        </w:rPr>
        <w:t>（</w:t>
      </w:r>
      <w:r>
        <w:rPr>
          <w:rFonts w:hint="eastAsia"/>
          <w:highlight w:val="none"/>
          <w:lang w:val="en-US" w:eastAsia="zh-CN"/>
        </w:rPr>
        <w:t>暗标</w:t>
      </w:r>
      <w:r>
        <w:rPr>
          <w:rFonts w:hint="eastAsia"/>
          <w:highlight w:val="none"/>
          <w:lang w:eastAsia="zh-CN"/>
        </w:rPr>
        <w:t>）</w:t>
      </w:r>
      <w:bookmarkEnd w:id="2333"/>
      <w:bookmarkEnd w:id="2334"/>
      <w:bookmarkEnd w:id="2335"/>
    </w:p>
    <w:p w14:paraId="3BCCBD7C">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编制内容如下：</w:t>
      </w:r>
    </w:p>
    <w:p w14:paraId="00A262A3">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1、质量管理体系与措施。</w:t>
      </w:r>
    </w:p>
    <w:p w14:paraId="70D447C1">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2、应急预案。</w:t>
      </w:r>
    </w:p>
    <w:p w14:paraId="5B708570">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3、成本控制措施。</w:t>
      </w:r>
    </w:p>
    <w:p w14:paraId="3B5D4373">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4、风险防范措施。</w:t>
      </w:r>
    </w:p>
    <w:p w14:paraId="1DF18B56">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5、合理化建议。</w:t>
      </w:r>
    </w:p>
    <w:p w14:paraId="50933571">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6、扬尘污染治理方案。</w:t>
      </w:r>
    </w:p>
    <w:p w14:paraId="6CE66423">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7、环保管理体系与措施。</w:t>
      </w:r>
    </w:p>
    <w:p w14:paraId="22762DF8">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8、文明施工体系及保证措施。</w:t>
      </w:r>
    </w:p>
    <w:p w14:paraId="13D98D07">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9、安全管理体系与措施。</w:t>
      </w:r>
    </w:p>
    <w:p w14:paraId="514F36B5">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10、管理组织架构。</w:t>
      </w:r>
    </w:p>
    <w:p w14:paraId="02C57A06">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11、技术重点、难点及相应解决方案。</w:t>
      </w:r>
    </w:p>
    <w:p w14:paraId="04561768">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12、总体概述。</w:t>
      </w:r>
    </w:p>
    <w:p w14:paraId="6A2EC96C">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13、施工进度计划。</w:t>
      </w:r>
    </w:p>
    <w:p w14:paraId="73AC9613">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14、施工技术方案。</w:t>
      </w:r>
    </w:p>
    <w:p w14:paraId="06876A4D">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15、材料投入计划。</w:t>
      </w:r>
    </w:p>
    <w:p w14:paraId="233422DB">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16、劳动力安排计划。</w:t>
      </w:r>
    </w:p>
    <w:p w14:paraId="703FA26D">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lang w:val="en-US" w:eastAsia="zh-CN"/>
        </w:rPr>
        <w:t>17、施工机械设备投入。</w:t>
      </w:r>
    </w:p>
    <w:p w14:paraId="4A8365C4">
      <w:pPr>
        <w:spacing w:line="420" w:lineRule="exact"/>
        <w:ind w:left="630" w:leftChars="200" w:hanging="210" w:hangingChars="100"/>
        <w:rPr>
          <w:rFonts w:hint="eastAsia" w:ascii="宋体" w:hAnsi="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szCs w:val="21"/>
          <w:highlight w:val="none"/>
          <w:lang w:val="en-US" w:eastAsia="zh-CN"/>
        </w:rPr>
        <w:t>18、施工总平面布置。</w:t>
      </w:r>
    </w:p>
    <w:p w14:paraId="3074196E">
      <w:pPr>
        <w:widowControl/>
        <w:snapToGrid w:val="0"/>
        <w:spacing w:line="360" w:lineRule="auto"/>
        <w:ind w:left="839"/>
        <w:jc w:val="left"/>
        <w:rPr>
          <w:rFonts w:ascii="宋体" w:hAnsi="宋体" w:cs="宋体"/>
          <w:kern w:val="0"/>
          <w:szCs w:val="20"/>
          <w:lang w:bidi="ar"/>
        </w:rPr>
      </w:pPr>
    </w:p>
    <w:p w14:paraId="42905275">
      <w:pPr>
        <w:widowControl/>
        <w:snapToGrid w:val="0"/>
        <w:spacing w:line="360" w:lineRule="auto"/>
        <w:ind w:left="839"/>
        <w:jc w:val="left"/>
        <w:rPr>
          <w:rFonts w:ascii="宋体" w:hAnsi="宋体" w:cs="宋体"/>
          <w:kern w:val="0"/>
          <w:szCs w:val="20"/>
          <w:lang w:bidi="ar"/>
        </w:rPr>
      </w:pPr>
    </w:p>
    <w:p w14:paraId="68D4C825">
      <w:pPr>
        <w:widowControl/>
        <w:snapToGrid w:val="0"/>
        <w:spacing w:line="360" w:lineRule="auto"/>
        <w:ind w:left="839"/>
        <w:jc w:val="left"/>
        <w:rPr>
          <w:rFonts w:ascii="宋体" w:hAnsi="宋体" w:cs="宋体"/>
          <w:kern w:val="0"/>
          <w:szCs w:val="20"/>
          <w:lang w:bidi="ar"/>
        </w:rPr>
      </w:pPr>
    </w:p>
    <w:p w14:paraId="09D31741">
      <w:pPr>
        <w:widowControl/>
        <w:snapToGrid w:val="0"/>
        <w:spacing w:line="360" w:lineRule="auto"/>
        <w:ind w:left="839"/>
        <w:jc w:val="left"/>
        <w:rPr>
          <w:rFonts w:ascii="宋体" w:hAnsi="宋体" w:cs="宋体"/>
          <w:kern w:val="0"/>
          <w:szCs w:val="20"/>
          <w:lang w:bidi="ar"/>
        </w:rPr>
      </w:pPr>
    </w:p>
    <w:p w14:paraId="77581C39">
      <w:pPr>
        <w:widowControl/>
        <w:snapToGrid w:val="0"/>
        <w:spacing w:line="360" w:lineRule="auto"/>
        <w:ind w:left="839"/>
        <w:jc w:val="left"/>
        <w:rPr>
          <w:rFonts w:ascii="宋体" w:hAnsi="宋体" w:cs="宋体"/>
          <w:kern w:val="0"/>
          <w:szCs w:val="20"/>
          <w:lang w:bidi="ar"/>
        </w:rPr>
      </w:pPr>
    </w:p>
    <w:p w14:paraId="21C746A9">
      <w:pPr>
        <w:widowControl/>
        <w:snapToGrid w:val="0"/>
        <w:spacing w:line="360" w:lineRule="auto"/>
        <w:ind w:left="839"/>
        <w:jc w:val="left"/>
        <w:rPr>
          <w:rFonts w:ascii="宋体" w:hAnsi="宋体" w:cs="宋体"/>
          <w:kern w:val="0"/>
          <w:szCs w:val="20"/>
          <w:lang w:bidi="ar"/>
        </w:rPr>
      </w:pPr>
    </w:p>
    <w:p w14:paraId="5472F8D6">
      <w:pPr>
        <w:widowControl/>
        <w:snapToGrid w:val="0"/>
        <w:spacing w:line="360" w:lineRule="auto"/>
        <w:ind w:left="839"/>
        <w:jc w:val="center"/>
        <w:rPr>
          <w:rFonts w:ascii="宋体" w:hAnsi="宋体" w:cs="宋体"/>
          <w:kern w:val="0"/>
          <w:szCs w:val="20"/>
          <w:lang w:bidi="ar"/>
        </w:rPr>
      </w:pPr>
    </w:p>
    <w:p w14:paraId="5992E0B1">
      <w:pPr>
        <w:pStyle w:val="23"/>
        <w:jc w:val="center"/>
        <w:rPr>
          <w:rFonts w:ascii="黑体" w:hAnsi="宋体"/>
          <w:szCs w:val="28"/>
        </w:rPr>
      </w:pPr>
      <w:bookmarkStart w:id="2336" w:name="_Toc149058114"/>
      <w:bookmarkStart w:id="2337" w:name="_Toc256000440"/>
      <w:r>
        <w:rPr>
          <w:rFonts w:hint="default"/>
        </w:rPr>
        <w:t>八</w:t>
      </w:r>
      <w:r>
        <w:rPr>
          <w:rFonts w:hint="eastAsia"/>
        </w:rPr>
        <w:t>、其他</w:t>
      </w:r>
      <w:bookmarkEnd w:id="2336"/>
      <w:r>
        <w:rPr>
          <w:rFonts w:hint="eastAsia"/>
          <w:lang w:val="en-US" w:eastAsia="zh-CN"/>
        </w:rPr>
        <w:t>材料</w:t>
      </w:r>
      <w:bookmarkEnd w:id="2337"/>
    </w:p>
    <w:p w14:paraId="029CAB0D">
      <w:pPr>
        <w:spacing w:line="500" w:lineRule="exact"/>
        <w:jc w:val="left"/>
        <w:rPr>
          <w:rFonts w:ascii="宋体" w:hAnsi="宋体"/>
          <w:szCs w:val="21"/>
        </w:rPr>
      </w:pPr>
    </w:p>
    <w:p w14:paraId="217A06B1">
      <w:pPr>
        <w:rPr>
          <w:rFonts w:ascii="黑体" w:eastAsia="黑体"/>
          <w:sz w:val="24"/>
        </w:rPr>
      </w:pPr>
    </w:p>
    <w:p w14:paraId="09ED87A0">
      <w:pPr>
        <w:rPr>
          <w:rFonts w:ascii="黑体" w:eastAsia="黑体"/>
          <w:sz w:val="24"/>
        </w:rPr>
      </w:pPr>
    </w:p>
    <w:p w14:paraId="1714C697"/>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98AE">
    <w:pPr>
      <w:pStyle w:val="11"/>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F1FA">
    <w:pPr>
      <w:pStyle w:val="11"/>
      <w:framePr w:wrap="around" w:vAnchor="text" w:hAnchor="margin" w:xAlign="center" w:y="1"/>
      <w:rPr>
        <w:rStyle w:val="20"/>
        <w:rFonts w:ascii="仿宋_GB2312" w:eastAsia="仿宋_GB2312"/>
        <w:sz w:val="21"/>
        <w:szCs w:val="21"/>
      </w:rPr>
    </w:pPr>
    <w:r>
      <w:rPr>
        <w:rStyle w:val="20"/>
        <w:rFonts w:hint="eastAsia" w:ascii="仿宋_GB2312" w:eastAsia="仿宋_GB2312"/>
        <w:sz w:val="21"/>
        <w:szCs w:val="21"/>
      </w:rPr>
      <w:fldChar w:fldCharType="begin"/>
    </w:r>
    <w:r>
      <w:rPr>
        <w:rStyle w:val="20"/>
        <w:rFonts w:hint="eastAsia" w:ascii="仿宋_GB2312" w:eastAsia="仿宋_GB2312"/>
        <w:sz w:val="21"/>
        <w:szCs w:val="21"/>
      </w:rPr>
      <w:instrText xml:space="preserve">PAGE  </w:instrText>
    </w:r>
    <w:r>
      <w:rPr>
        <w:rStyle w:val="20"/>
        <w:rFonts w:hint="eastAsia" w:ascii="仿宋_GB2312" w:eastAsia="仿宋_GB2312"/>
        <w:sz w:val="21"/>
        <w:szCs w:val="21"/>
      </w:rPr>
      <w:fldChar w:fldCharType="separate"/>
    </w:r>
    <w:r>
      <w:rPr>
        <w:rStyle w:val="20"/>
        <w:rFonts w:hint="eastAsia" w:ascii="仿宋_GB2312" w:eastAsia="仿宋_GB2312"/>
        <w:sz w:val="21"/>
        <w:szCs w:val="21"/>
      </w:rPr>
      <w:t>84</w:t>
    </w:r>
    <w:r>
      <w:rPr>
        <w:rStyle w:val="20"/>
        <w:rFonts w:hint="eastAsia" w:ascii="仿宋_GB2312" w:eastAsia="仿宋_GB2312"/>
        <w:sz w:val="21"/>
        <w:szCs w:val="21"/>
      </w:rPr>
      <w:fldChar w:fldCharType="end"/>
    </w:r>
  </w:p>
  <w:p w14:paraId="787BF4B2">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962CC">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fldChar w:fldCharType="end"/>
    </w:r>
  </w:p>
  <w:p w14:paraId="4493F32B">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6850">
    <w:pPr>
      <w:pStyle w:val="11"/>
      <w:framePr w:wrap="around" w:vAnchor="text" w:hAnchor="margin" w:xAlign="center" w:y="1"/>
      <w:rPr>
        <w:rStyle w:val="20"/>
        <w:rFonts w:ascii="仿宋_GB2312" w:eastAsia="仿宋_GB2312"/>
        <w:sz w:val="21"/>
        <w:szCs w:val="21"/>
      </w:rPr>
    </w:pPr>
    <w:r>
      <w:rPr>
        <w:rStyle w:val="20"/>
        <w:rFonts w:hint="eastAsia" w:ascii="仿宋_GB2312" w:eastAsia="仿宋_GB2312"/>
        <w:sz w:val="21"/>
        <w:szCs w:val="21"/>
      </w:rPr>
      <w:fldChar w:fldCharType="begin"/>
    </w:r>
    <w:r>
      <w:rPr>
        <w:rStyle w:val="20"/>
        <w:rFonts w:hint="eastAsia" w:ascii="仿宋_GB2312" w:eastAsia="仿宋_GB2312"/>
        <w:sz w:val="21"/>
        <w:szCs w:val="21"/>
      </w:rPr>
      <w:instrText xml:space="preserve">PAGE  </w:instrText>
    </w:r>
    <w:r>
      <w:rPr>
        <w:rStyle w:val="20"/>
        <w:rFonts w:hint="eastAsia" w:ascii="仿宋_GB2312" w:eastAsia="仿宋_GB2312"/>
        <w:sz w:val="21"/>
        <w:szCs w:val="21"/>
      </w:rPr>
      <w:fldChar w:fldCharType="separate"/>
    </w:r>
    <w:r>
      <w:rPr>
        <w:rStyle w:val="20"/>
        <w:rFonts w:hint="eastAsia" w:ascii="仿宋_GB2312" w:eastAsia="仿宋_GB2312"/>
        <w:sz w:val="21"/>
        <w:szCs w:val="21"/>
      </w:rPr>
      <w:t>86</w:t>
    </w:r>
    <w:r>
      <w:rPr>
        <w:rStyle w:val="20"/>
        <w:rFonts w:hint="eastAsia" w:ascii="仿宋_GB2312" w:eastAsia="仿宋_GB2312"/>
        <w:sz w:val="21"/>
        <w:szCs w:val="21"/>
      </w:rPr>
      <w:fldChar w:fldCharType="end"/>
    </w:r>
  </w:p>
  <w:p w14:paraId="56798C58">
    <w:pPr>
      <w:pStyle w:val="1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6F06">
    <w:pPr>
      <w:pStyle w:val="11"/>
      <w:framePr w:wrap="around" w:vAnchor="text" w:hAnchor="margin" w:xAlign="center" w:y="1"/>
      <w:rPr>
        <w:rStyle w:val="20"/>
        <w:rFonts w:ascii="仿宋_GB2312" w:eastAsia="仿宋_GB2312"/>
      </w:rPr>
    </w:pPr>
    <w:r>
      <w:rPr>
        <w:rStyle w:val="20"/>
        <w:rFonts w:hint="eastAsia" w:ascii="仿宋_GB2312" w:eastAsia="仿宋_GB2312"/>
      </w:rPr>
      <w:fldChar w:fldCharType="begin"/>
    </w:r>
    <w:r>
      <w:rPr>
        <w:rStyle w:val="20"/>
        <w:rFonts w:hint="eastAsia" w:ascii="仿宋_GB2312" w:eastAsia="仿宋_GB2312"/>
      </w:rPr>
      <w:instrText xml:space="preserve">PAGE  </w:instrText>
    </w:r>
    <w:r>
      <w:rPr>
        <w:rStyle w:val="20"/>
        <w:rFonts w:hint="eastAsia" w:ascii="仿宋_GB2312" w:eastAsia="仿宋_GB2312"/>
      </w:rPr>
      <w:fldChar w:fldCharType="separate"/>
    </w:r>
    <w:r>
      <w:rPr>
        <w:rStyle w:val="20"/>
        <w:rFonts w:hint="eastAsia" w:ascii="仿宋_GB2312" w:eastAsia="仿宋_GB2312"/>
      </w:rPr>
      <w:t>181</w:t>
    </w:r>
    <w:r>
      <w:rPr>
        <w:rStyle w:val="20"/>
        <w:rFonts w:hint="eastAsia" w:ascii="仿宋_GB2312" w:eastAsia="仿宋_GB2312"/>
      </w:rPr>
      <w:fldChar w:fldCharType="end"/>
    </w:r>
  </w:p>
  <w:p w14:paraId="158A6190">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C44D">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fldChar w:fldCharType="end"/>
    </w:r>
  </w:p>
  <w:p w14:paraId="2F83B2CB">
    <w:pPr>
      <w:pStyle w:val="1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B593">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61719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58991">
                          <w:pPr>
                            <w:pStyle w:val="11"/>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6KgY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m/Hw7fDmakyJ&#10;ZgqFP/34fvr56/T4jQyjTLX1U0RvLOJD8840aJ7+3OMwsm8Kp+IXvAj8EPl4EVk0gfB4aTKaTFK4&#10;OHz9BvjJ03XrfHgvjCLRyKhDFVtx2WHtQxfah8Rs2qwqKdtKSk3qjI6vrt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W+ioGNAIAAF0EAAAOAAAAAAAAAAEAIAAAAB8BAABkcnMvZTJvRG9jLnhtbFBL&#10;BQYAAAAABgAGAFkBAADFBQAAAAA=&#10;">
              <v:fill on="f" focussize="0,0"/>
              <v:stroke on="f" weight="0.5pt"/>
              <v:imagedata o:title=""/>
              <o:lock v:ext="edit" aspectratio="f"/>
              <v:textbox inset="0mm,0mm,0mm,0mm" style="mso-fit-shape-to-text:t;">
                <w:txbxContent>
                  <w:p w14:paraId="68E58991">
                    <w:pPr>
                      <w:pStyle w:val="11"/>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96A3">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64862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951A">
                          <w:pPr>
                            <w:pStyle w:val="11"/>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7Pe5kyAgAAX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s97mTICAABdBAAADgAAAAAAAAABACAAAAAfAQAAZHJzL2Uyb0RvYy54bWxQSwUG&#10;AAAAAAYABgBZAQAAwwUAAAAA&#10;">
              <v:fill on="f" focussize="0,0"/>
              <v:stroke on="f" weight="0.5pt"/>
              <v:imagedata o:title=""/>
              <o:lock v:ext="edit" aspectratio="f"/>
              <v:textbox inset="0mm,0mm,0mm,0mm" style="mso-fit-shape-to-text:t;">
                <w:txbxContent>
                  <w:p w14:paraId="2227951A">
                    <w:pPr>
                      <w:pStyle w:val="11"/>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81CB">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32247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2DE6B">
                          <w:pPr>
                            <w:pStyle w:val="11"/>
                            <w:rPr>
                              <w:rFonts w:hint="default"/>
                            </w:rPr>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RhxQ0AgAAXQQAAA4AAABkcnMvZTJvRG9jLnhtbK1UzY7TMBC+I/EO&#10;lu80aXcp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wUYcUNAIAAF0EAAAOAAAAAAAAAAEAIAAAAB8BAABkcnMvZTJvRG9jLnhtbFBL&#10;BQYAAAAABgAGAFkBAADFBQAAAAA=&#10;">
              <v:fill on="f" focussize="0,0"/>
              <v:stroke on="f" weight="0.5pt"/>
              <v:imagedata o:title=""/>
              <o:lock v:ext="edit" aspectratio="f"/>
              <v:textbox inset="0mm,0mm,0mm,0mm" style="mso-fit-shape-to-text:t;">
                <w:txbxContent>
                  <w:p w14:paraId="7692DE6B">
                    <w:pPr>
                      <w:pStyle w:val="11"/>
                      <w:rPr>
                        <w:rFonts w:hint="default"/>
                      </w:rPr>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1E42">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98405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CDC07">
                          <w:pPr>
                            <w:pStyle w:val="11"/>
                            <w:rPr>
                              <w:rFonts w:hint="default"/>
                            </w:rPr>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Ke9g0AgAAXgQAAA4AAABkcnMvZTJvRG9jLnhtbK1UzY7aMBC+V+o7&#10;WL6XBHYXUU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SnvYNAIAAF4EAAAOAAAAAAAAAAEAIAAAAB8BAABkcnMvZTJvRG9jLnhtbFBL&#10;BQYAAAAABgAGAFkBAADFBQAAAAA=&#10;">
              <v:fill on="f" focussize="0,0"/>
              <v:stroke on="f" weight="0.5pt"/>
              <v:imagedata o:title=""/>
              <o:lock v:ext="edit" aspectratio="f"/>
              <v:textbox inset="0mm,0mm,0mm,0mm" style="mso-fit-shape-to-text:t;">
                <w:txbxContent>
                  <w:p w14:paraId="537CDC07">
                    <w:pPr>
                      <w:pStyle w:val="11"/>
                      <w:rPr>
                        <w:rFonts w:hint="default"/>
                      </w:rPr>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2799">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60357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38C7">
                          <w:pPr>
                            <w:pStyle w:val="11"/>
                            <w:rPr>
                              <w:rFonts w:hint="default"/>
                            </w:rPr>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j5CSNAIAAF4EAAAOAAAAAAAAAAEAIAAAAB8BAABkcnMvZTJvRG9jLnhtbFBL&#10;BQYAAAAABgAGAFkBAADFBQAAAAA=&#10;">
              <v:fill on="f" focussize="0,0"/>
              <v:stroke on="f" weight="0.5pt"/>
              <v:imagedata o:title=""/>
              <o:lock v:ext="edit" aspectratio="f"/>
              <v:textbox inset="0mm,0mm,0mm,0mm" style="mso-fit-shape-to-text:t;">
                <w:txbxContent>
                  <w:p w14:paraId="455938C7">
                    <w:pPr>
                      <w:pStyle w:val="11"/>
                      <w:rPr>
                        <w:rFonts w:hint="default"/>
                      </w:rPr>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79B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66BB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366BB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D38F">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7501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4409F">
                          <w:pPr>
                            <w:pStyle w:val="11"/>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bwxozAgAAXAQAAA4AAAAAAAAAAQAgAAAAHwEAAGRycy9lMm9Eb2MueG1sUEsF&#10;BgAAAAAGAAYAWQEAAMQFAAAAAA==&#10;">
              <v:fill on="f" focussize="0,0"/>
              <v:stroke on="f" weight="0.5pt"/>
              <v:imagedata o:title=""/>
              <o:lock v:ext="edit" aspectratio="f"/>
              <v:textbox inset="0mm,0mm,0mm,0mm" style="mso-fit-shape-to-text:t;">
                <w:txbxContent>
                  <w:p w14:paraId="5594409F">
                    <w:pPr>
                      <w:pStyle w:val="11"/>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936B">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6795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E6403">
                          <w:pPr>
                            <w:pStyle w:val="11"/>
                            <w:rPr>
                              <w:rFonts w:hint="default"/>
                            </w:rPr>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ruVgczAgAAXQQAAA4AAAAAAAAAAQAgAAAAHwEAAGRycy9lMm9Eb2MueG1sUEsF&#10;BgAAAAAGAAYAWQEAAMQFAAAAAA==&#10;">
              <v:fill on="f" focussize="0,0"/>
              <v:stroke on="f" weight="0.5pt"/>
              <v:imagedata o:title=""/>
              <o:lock v:ext="edit" aspectratio="f"/>
              <v:textbox inset="0mm,0mm,0mm,0mm" style="mso-fit-shape-to-text:t;">
                <w:txbxContent>
                  <w:p w14:paraId="100E6403">
                    <w:pPr>
                      <w:pStyle w:val="11"/>
                      <w:rPr>
                        <w:rFonts w:hint="default"/>
                      </w:rPr>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90C0">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6733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D2F4">
                          <w:pPr>
                            <w:pStyle w:val="11"/>
                            <w:rPr>
                              <w:rFonts w:hint="default"/>
                            </w:rPr>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F7Dg0zAgAAXAQAAA4AAAAAAAAAAQAgAAAAHwEAAGRycy9lMm9Eb2MueG1sUEsF&#10;BgAAAAAGAAYAWQEAAMQFAAAAAA==&#10;">
              <v:fill on="f" focussize="0,0"/>
              <v:stroke on="f" weight="0.5pt"/>
              <v:imagedata o:title=""/>
              <o:lock v:ext="edit" aspectratio="f"/>
              <v:textbox inset="0mm,0mm,0mm,0mm" style="mso-fit-shape-to-text:t;">
                <w:txbxContent>
                  <w:p w14:paraId="2B9FD2F4">
                    <w:pPr>
                      <w:pStyle w:val="11"/>
                      <w:rPr>
                        <w:rFonts w:hint="default"/>
                      </w:rPr>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67D0">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68008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3037">
                          <w:pPr>
                            <w:pStyle w:val="11"/>
                            <w:rPr>
                              <w:rFonts w:hint="default"/>
                            </w:rPr>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u9mMQIAAF0EAAAOAAAAAAAAAAEAIAAAAB8BAABkcnMvZTJvRG9jLnhtbFBLBQYA&#10;AAAABgAGAFkBAADCBQAAAAA=&#10;">
              <v:fill on="f" focussize="0,0"/>
              <v:stroke on="f" weight="0.5pt"/>
              <v:imagedata o:title=""/>
              <o:lock v:ext="edit" aspectratio="f"/>
              <v:textbox inset="0mm,0mm,0mm,0mm" style="mso-fit-shape-to-text:t;">
                <w:txbxContent>
                  <w:p w14:paraId="4B453037">
                    <w:pPr>
                      <w:pStyle w:val="11"/>
                      <w:rPr>
                        <w:rFonts w:hint="default"/>
                      </w:rPr>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DF50D">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00134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A0936">
                          <w:pPr>
                            <w:pStyle w:val="11"/>
                            <w:rPr>
                              <w:rFonts w:hint="default"/>
                            </w:rPr>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8BzczAgAAXgQAAA4AAABkcnMvZTJvRG9jLnhtbK1UzY7TMBC+I/EO&#10;lu80aQtV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K8BzczAgAAXgQAAA4AAAAAAAAAAQAgAAAAHwEAAGRycy9lMm9Eb2MueG1sUEsF&#10;BgAAAAAGAAYAWQEAAMQFAAAAAA==&#10;">
              <v:fill on="f" focussize="0,0"/>
              <v:stroke on="f" weight="0.5pt"/>
              <v:imagedata o:title=""/>
              <o:lock v:ext="edit" aspectratio="f"/>
              <v:textbox inset="0mm,0mm,0mm,0mm" style="mso-fit-shape-to-text:t;">
                <w:txbxContent>
                  <w:p w14:paraId="3C6A0936">
                    <w:pPr>
                      <w:pStyle w:val="11"/>
                      <w:rPr>
                        <w:rFonts w:hint="default"/>
                      </w:rPr>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A6921">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22763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071BF">
                          <w:pPr>
                            <w:pStyle w:val="11"/>
                            <w:rPr>
                              <w:rFonts w:hint="default"/>
                            </w:rPr>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ym4pMzAgAAXQQAAA4AAAAAAAAAAQAgAAAAHwEAAGRycy9lMm9Eb2MueG1sUEsF&#10;BgAAAAAGAAYAWQEAAMQFAAAAAA==&#10;">
              <v:fill on="f" focussize="0,0"/>
              <v:stroke on="f" weight="0.5pt"/>
              <v:imagedata o:title=""/>
              <o:lock v:ext="edit" aspectratio="f"/>
              <v:textbox inset="0mm,0mm,0mm,0mm" style="mso-fit-shape-to-text:t;">
                <w:txbxContent>
                  <w:p w14:paraId="14C071BF">
                    <w:pPr>
                      <w:pStyle w:val="11"/>
                      <w:rPr>
                        <w:rFonts w:hint="default"/>
                      </w:rPr>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B93C">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88736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F8B9">
                          <w:pPr>
                            <w:pStyle w:val="11"/>
                            <w:rPr>
                              <w:rFonts w:hint="default"/>
                            </w:rPr>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coU0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n0Zjy5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coU0zAgAAXgQAAA4AAAAAAAAAAQAgAAAAHwEAAGRycy9lMm9Eb2MueG1sUEsF&#10;BgAAAAAGAAYAWQEAAMQFAAAAAA==&#10;">
              <v:fill on="f" focussize="0,0"/>
              <v:stroke on="f" weight="0.5pt"/>
              <v:imagedata o:title=""/>
              <o:lock v:ext="edit" aspectratio="f"/>
              <v:textbox inset="0mm,0mm,0mm,0mm" style="mso-fit-shape-to-text:t;">
                <w:txbxContent>
                  <w:p w14:paraId="4C39F8B9">
                    <w:pPr>
                      <w:pStyle w:val="11"/>
                      <w:rPr>
                        <w:rFonts w:hint="default"/>
                      </w:rPr>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C801">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85766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7BD13">
                          <w:pPr>
                            <w:pStyle w:val="11"/>
                            <w:rPr>
                              <w:rFonts w:hint="default"/>
                            </w:rPr>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5hRszAgAAXgQAAA4AAAAAAAAAAQAgAAAAHwEAAGRycy9lMm9Eb2MueG1sUEsF&#10;BgAAAAAGAAYAWQEAAMQFAAAAAA==&#10;">
              <v:fill on="f" focussize="0,0"/>
              <v:stroke on="f" weight="0.5pt"/>
              <v:imagedata o:title=""/>
              <o:lock v:ext="edit" aspectratio="f"/>
              <v:textbox inset="0mm,0mm,0mm,0mm" style="mso-fit-shape-to-text:t;">
                <w:txbxContent>
                  <w:p w14:paraId="64B7BD13">
                    <w:pPr>
                      <w:pStyle w:val="11"/>
                      <w:rPr>
                        <w:rFonts w:hint="default"/>
                      </w:rPr>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7E01">
    <w:pPr>
      <w:pStyle w:val="11"/>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36309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D4F2">
                          <w:pPr>
                            <w:pStyle w:val="11"/>
                            <w:rPr>
                              <w:rFonts w:hint="default"/>
                            </w:rPr>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gxj4yAgAAXAQAAA4AAABkcnMvZTJvRG9jLnhtbK1UzY7TMBC+I/EO&#10;lu80aSuqbt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uDGPjICAABcBAAADgAAAAAAAAABACAAAAAfAQAAZHJzL2Uyb0RvYy54bWxQSwUG&#10;AAAAAAYABgBZAQAAwwUAAAAA&#10;">
              <v:fill on="f" focussize="0,0"/>
              <v:stroke on="f" weight="0.5pt"/>
              <v:imagedata o:title=""/>
              <o:lock v:ext="edit" aspectratio="f"/>
              <v:textbox inset="0mm,0mm,0mm,0mm" style="mso-fit-shape-to-text:t;">
                <w:txbxContent>
                  <w:p w14:paraId="3490D4F2">
                    <w:pPr>
                      <w:pStyle w:val="11"/>
                      <w:rPr>
                        <w:rFonts w:hint="default"/>
                      </w:rPr>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C781">
    <w:pPr>
      <w:pStyle w:val="11"/>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2580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5FF67">
                          <w:pPr>
                            <w:pStyle w:val="11"/>
                            <w:rPr>
                              <w:rFonts w:hint="default"/>
                            </w:rPr>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tiA2DICAABdBAAADgAAAAAAAAABACAAAAAfAQAAZHJzL2Uyb0RvYy54bWxQSwUG&#10;AAAAAAYABgBZAQAAwwUAAAAA&#10;">
              <v:fill on="f" focussize="0,0"/>
              <v:stroke on="f" weight="0.5pt"/>
              <v:imagedata o:title=""/>
              <o:lock v:ext="edit" aspectratio="f"/>
              <v:textbox inset="0mm,0mm,0mm,0mm" style="mso-fit-shape-to-text:t;">
                <w:txbxContent>
                  <w:p w14:paraId="0DB5FF67">
                    <w:pPr>
                      <w:pStyle w:val="11"/>
                      <w:rPr>
                        <w:rFonts w:hint="default"/>
                      </w:rPr>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66C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050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6B52A">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hpR7zICAABcBAAADgAAAAAAAAABACAAAAAfAQAAZHJzL2Uyb0RvYy54bWxQSwUG&#10;AAAAAAYABgBZAQAAwwUAAAAA&#10;">
              <v:fill on="f" focussize="0,0"/>
              <v:stroke on="f" weight="0.5pt"/>
              <v:imagedata o:title=""/>
              <o:lock v:ext="edit" aspectratio="f"/>
              <v:textbox inset="0mm,0mm,0mm,0mm" style="mso-fit-shape-to-text:t;">
                <w:txbxContent>
                  <w:p w14:paraId="4A46B52A">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EE8C">
    <w:pPr>
      <w:pStyle w:val="11"/>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080738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85E93">
                          <w:pPr>
                            <w:pStyle w:val="11"/>
                            <w:rPr>
                              <w:rFonts w:hint="default"/>
                            </w:rPr>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mu7fNAIAAF4EAAAOAAAAAAAAAAEAIAAAAB8BAABkcnMvZTJvRG9jLnhtbFBL&#10;BQYAAAAABgAGAFkBAADFBQAAAAA=&#10;">
              <v:fill on="f" focussize="0,0"/>
              <v:stroke on="f" weight="0.5pt"/>
              <v:imagedata o:title=""/>
              <o:lock v:ext="edit" aspectratio="f"/>
              <v:textbox inset="0mm,0mm,0mm,0mm" style="mso-fit-shape-to-text:t;">
                <w:txbxContent>
                  <w:p w14:paraId="4C485E93">
                    <w:pPr>
                      <w:pStyle w:val="11"/>
                      <w:rPr>
                        <w:rFonts w:hint="default"/>
                      </w:rPr>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21E5B">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6105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D73FC">
                          <w:pPr>
                            <w:pStyle w:val="11"/>
                            <w:rPr>
                              <w:rFonts w:hint="default"/>
                            </w:rPr>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6u2WoyAgAAX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q7ZajICAABdBAAADgAAAAAAAAABACAAAAAfAQAAZHJzL2Uyb0RvYy54bWxQSwUG&#10;AAAAAAYABgBZAQAAwwUAAAAA&#10;">
              <v:fill on="f" focussize="0,0"/>
              <v:stroke on="f" weight="0.5pt"/>
              <v:imagedata o:title=""/>
              <o:lock v:ext="edit" aspectratio="f"/>
              <v:textbox inset="0mm,0mm,0mm,0mm" style="mso-fit-shape-to-text:t;">
                <w:txbxContent>
                  <w:p w14:paraId="18DD73FC">
                    <w:pPr>
                      <w:pStyle w:val="11"/>
                      <w:rPr>
                        <w:rFonts w:hint="default"/>
                      </w:rPr>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04E7">
    <w:pPr>
      <w:pStyle w:val="11"/>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25307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1F4BB">
                          <w:pPr>
                            <w:pStyle w:val="11"/>
                            <w:rPr>
                              <w:rFonts w:hint="default"/>
                            </w:rPr>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idow0AgAAXgQAAA4AAABkcnMvZTJvRG9jLnhtbK1US44TMRDdI3EH&#10;y3vSnYwyhC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YnaMNAIAAF4EAAAOAAAAAAAAAAEAIAAAAB8BAABkcnMvZTJvRG9jLnhtbFBL&#10;BQYAAAAABgAGAFkBAADFBQAAAAA=&#10;">
              <v:fill on="f" focussize="0,0"/>
              <v:stroke on="f" weight="0.5pt"/>
              <v:imagedata o:title=""/>
              <o:lock v:ext="edit" aspectratio="f"/>
              <v:textbox inset="0mm,0mm,0mm,0mm" style="mso-fit-shape-to-text:t;">
                <w:txbxContent>
                  <w:p w14:paraId="3341F4BB">
                    <w:pPr>
                      <w:pStyle w:val="11"/>
                      <w:rPr>
                        <w:rFonts w:hint="default"/>
                      </w:rPr>
                    </w:pPr>
                    <w:r>
                      <w:fldChar w:fldCharType="begin"/>
                    </w:r>
                    <w:r>
                      <w:instrText xml:space="preserve"> PAGE  \* MERGEFORMAT </w:instrText>
                    </w:r>
                    <w:r>
                      <w:fldChar w:fldCharType="separate"/>
                    </w:r>
                    <w:r>
                      <w:t>233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A987">
    <w:pPr>
      <w:pStyle w:val="11"/>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196387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3C9FF">
                          <w:pPr>
                            <w:pStyle w:val="11"/>
                            <w:rPr>
                              <w:rFonts w:hint="default"/>
                            </w:rPr>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B3Wo0AgAAXgQAAA4AAABkcnMvZTJvRG9jLnhtbK1UzY7TMBC+I/EO&#10;lu80aVeUbt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Ad1qNAIAAF4EAAAOAAAAAAAAAAEAIAAAAB8BAABkcnMvZTJvRG9jLnhtbFBL&#10;BQYAAAAABgAGAFkBAADFBQAAAAA=&#10;">
              <v:fill on="f" focussize="0,0"/>
              <v:stroke on="f" weight="0.5pt"/>
              <v:imagedata o:title=""/>
              <o:lock v:ext="edit" aspectratio="f"/>
              <v:textbox inset="0mm,0mm,0mm,0mm" style="mso-fit-shape-to-text:t;">
                <w:txbxContent>
                  <w:p w14:paraId="3A63C9FF">
                    <w:pPr>
                      <w:pStyle w:val="11"/>
                      <w:rPr>
                        <w:rFonts w:hint="default"/>
                      </w:rPr>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F0B6">
    <w:pPr>
      <w:pStyle w:val="11"/>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5020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82FB9">
                          <w:pPr>
                            <w:pStyle w:val="11"/>
                            <w:rPr>
                              <w:rFonts w:hint="default"/>
                            </w:rPr>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J53sxAgAAX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Xied7MQIAAF0EAAAOAAAAAAAAAAEAIAAAAB8BAABkcnMvZTJvRG9jLnhtbFBLBQYA&#10;AAAABgAGAFkBAADCBQAAAAA=&#10;">
              <v:fill on="f" focussize="0,0"/>
              <v:stroke on="f" weight="0.5pt"/>
              <v:imagedata o:title=""/>
              <o:lock v:ext="edit" aspectratio="f"/>
              <v:textbox inset="0mm,0mm,0mm,0mm" style="mso-fit-shape-to-text:t;">
                <w:txbxContent>
                  <w:p w14:paraId="09282FB9">
                    <w:pPr>
                      <w:pStyle w:val="11"/>
                      <w:rPr>
                        <w:rFonts w:hint="default"/>
                      </w:rPr>
                    </w:pPr>
                    <w:r>
                      <w:fldChar w:fldCharType="begin"/>
                    </w:r>
                    <w:r>
                      <w:instrText xml:space="preserve"> PAGE  \* MERGEFORMAT </w:instrText>
                    </w:r>
                    <w:r>
                      <w:fldChar w:fldCharType="separate"/>
                    </w:r>
                    <w:r>
                      <w:t>236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F460">
    <w:pPr>
      <w:pStyle w:val="11"/>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94498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F8E4">
                          <w:pPr>
                            <w:pStyle w:val="11"/>
                            <w:rPr>
                              <w:rFonts w:hint="default"/>
                            </w:rPr>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bwfxUzAgAAXgQAAA4AAAAAAAAAAQAgAAAAHwEAAGRycy9lMm9Eb2MueG1sUEsF&#10;BgAAAAAGAAYAWQEAAMQFAAAAAA==&#10;">
              <v:fill on="f" focussize="0,0"/>
              <v:stroke on="f" weight="0.5pt"/>
              <v:imagedata o:title=""/>
              <o:lock v:ext="edit" aspectratio="f"/>
              <v:textbox inset="0mm,0mm,0mm,0mm" style="mso-fit-shape-to-text:t;">
                <w:txbxContent>
                  <w:p w14:paraId="6C18F8E4">
                    <w:pPr>
                      <w:pStyle w:val="11"/>
                      <w:rPr>
                        <w:rFonts w:hint="default"/>
                      </w:rPr>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AED9">
    <w:pPr>
      <w:pStyle w:val="11"/>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42880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50AF5">
                          <w:pPr>
                            <w:pStyle w:val="11"/>
                            <w:rPr>
                              <w:rFonts w:hint="default"/>
                            </w:rPr>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IPVT0wAgAAXgQAAA4AAAAAAAAAAQAgAAAAHwEAAGRycy9lMm9Eb2MueG1sUEsFBgAA&#10;AAAGAAYAWQEAAMEFAAAAAA==&#10;">
              <v:fill on="f" focussize="0,0"/>
              <v:stroke on="f" weight="0.5pt"/>
              <v:imagedata o:title=""/>
              <o:lock v:ext="edit" aspectratio="f"/>
              <v:textbox inset="0mm,0mm,0mm,0mm" style="mso-fit-shape-to-text:t;">
                <w:txbxContent>
                  <w:p w14:paraId="64F50AF5">
                    <w:pPr>
                      <w:pStyle w:val="11"/>
                      <w:rPr>
                        <w:rFonts w:hint="default"/>
                      </w:rPr>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C83F">
    <w:pPr>
      <w:pStyle w:val="11"/>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83251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36B1E">
                          <w:pPr>
                            <w:pStyle w:val="11"/>
                            <w:rPr>
                              <w:rFonts w:hint="default"/>
                            </w:rPr>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C8vM0AgAAXgQAAA4AAABkcnMvZTJvRG9jLnhtbK1US27bMBDdF+gd&#10;CO5ryU5jG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wvLzNAIAAF4EAAAOAAAAAAAAAAEAIAAAAB8BAABkcnMvZTJvRG9jLnhtbFBL&#10;BQYAAAAABgAGAFkBAADFBQAAAAA=&#10;">
              <v:fill on="f" focussize="0,0"/>
              <v:stroke on="f" weight="0.5pt"/>
              <v:imagedata o:title=""/>
              <o:lock v:ext="edit" aspectratio="f"/>
              <v:textbox inset="0mm,0mm,0mm,0mm" style="mso-fit-shape-to-text:t;">
                <w:txbxContent>
                  <w:p w14:paraId="02436B1E">
                    <w:pPr>
                      <w:pStyle w:val="11"/>
                      <w:rPr>
                        <w:rFonts w:hint="default"/>
                      </w:rPr>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FD5B">
    <w:pPr>
      <w:pStyle w:val="11"/>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54902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8768D">
                          <w:pPr>
                            <w:pStyle w:val="11"/>
                            <w:rPr>
                              <w:rFonts w:hint="default"/>
                            </w:rPr>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ISs88zAgAAXgQAAA4AAAAAAAAAAQAgAAAAHwEAAGRycy9lMm9Eb2MueG1sUEsF&#10;BgAAAAAGAAYAWQEAAMQFAAAAAA==&#10;">
              <v:fill on="f" focussize="0,0"/>
              <v:stroke on="f" weight="0.5pt"/>
              <v:imagedata o:title=""/>
              <o:lock v:ext="edit" aspectratio="f"/>
              <v:textbox inset="0mm,0mm,0mm,0mm" style="mso-fit-shape-to-text:t;">
                <w:txbxContent>
                  <w:p w14:paraId="2638768D">
                    <w:pPr>
                      <w:pStyle w:val="11"/>
                      <w:rPr>
                        <w:rFonts w:hint="default"/>
                      </w:rPr>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7D79">
    <w:pPr>
      <w:pStyle w:val="11"/>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47505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B9649">
                          <w:pPr>
                            <w:pStyle w:val="11"/>
                            <w:rPr>
                              <w:rFonts w:hint="default"/>
                            </w:rPr>
                          </w:pPr>
                          <w:r>
                            <w:fldChar w:fldCharType="begin"/>
                          </w:r>
                          <w:r>
                            <w:instrText xml:space="preserve"> PAGE  \* MERGEFORMAT </w:instrText>
                          </w:r>
                          <w:r>
                            <w:fldChar w:fldCharType="separate"/>
                          </w:r>
                          <w:r>
                            <w:t>243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McXwzAgAAXgQAAA4AAAAAAAAAAQAgAAAAHwEAAGRycy9lMm9Eb2MueG1sUEsF&#10;BgAAAAAGAAYAWQEAAMQFAAAAAA==&#10;">
              <v:fill on="f" focussize="0,0"/>
              <v:stroke on="f" weight="0.5pt"/>
              <v:imagedata o:title=""/>
              <o:lock v:ext="edit" aspectratio="f"/>
              <v:textbox inset="0mm,0mm,0mm,0mm" style="mso-fit-shape-to-text:t;">
                <w:txbxContent>
                  <w:p w14:paraId="699B9649">
                    <w:pPr>
                      <w:pStyle w:val="11"/>
                      <w:rPr>
                        <w:rFonts w:hint="default"/>
                      </w:rPr>
                    </w:pPr>
                    <w:r>
                      <w:fldChar w:fldCharType="begin"/>
                    </w:r>
                    <w:r>
                      <w:instrText xml:space="preserve"> PAGE  \* MERGEFORMAT </w:instrText>
                    </w:r>
                    <w:r>
                      <w:fldChar w:fldCharType="separate"/>
                    </w:r>
                    <w:r>
                      <w:t>243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C21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530429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88C3E">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qLo80AgAAXgQAAA4AAABkcnMvZTJvRG9jLnhtbK1US27bMBDdF+gd&#10;CO5ryU4TO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Nai6PNAIAAF4EAAAOAAAAAAAAAAEAIAAAAB8BAABkcnMvZTJvRG9jLnhtbFBL&#10;BQYAAAAABgAGAFkBAADFBQAAAAA=&#10;">
              <v:fill on="f" focussize="0,0"/>
              <v:stroke on="f" weight="0.5pt"/>
              <v:imagedata o:title=""/>
              <o:lock v:ext="edit" aspectratio="f"/>
              <v:textbox inset="0mm,0mm,0mm,0mm" style="mso-fit-shape-to-text:t;">
                <w:txbxContent>
                  <w:p w14:paraId="08E88C3E">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EDB43">
    <w:pPr>
      <w:pStyle w:val="11"/>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92388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24EB9">
                          <w:pPr>
                            <w:pStyle w:val="11"/>
                            <w:rPr>
                              <w:rFonts w:hint="default"/>
                            </w:rPr>
                          </w:pPr>
                          <w:r>
                            <w:fldChar w:fldCharType="begin"/>
                          </w:r>
                          <w:r>
                            <w:instrText xml:space="preserve"> PAGE  \* MERGEFORMAT </w:instrText>
                          </w:r>
                          <w:r>
                            <w:fldChar w:fldCharType="separate"/>
                          </w:r>
                          <w:r>
                            <w:t>244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RNlKYzAgAAXQQAAA4AAAAAAAAAAQAgAAAAHwEAAGRycy9lMm9Eb2MueG1sUEsF&#10;BgAAAAAGAAYAWQEAAMQFAAAAAA==&#10;">
              <v:fill on="f" focussize="0,0"/>
              <v:stroke on="f" weight="0.5pt"/>
              <v:imagedata o:title=""/>
              <o:lock v:ext="edit" aspectratio="f"/>
              <v:textbox inset="0mm,0mm,0mm,0mm" style="mso-fit-shape-to-text:t;">
                <w:txbxContent>
                  <w:p w14:paraId="4BC24EB9">
                    <w:pPr>
                      <w:pStyle w:val="11"/>
                      <w:rPr>
                        <w:rFonts w:hint="default"/>
                      </w:rPr>
                    </w:pPr>
                    <w:r>
                      <w:fldChar w:fldCharType="begin"/>
                    </w:r>
                    <w:r>
                      <w:instrText xml:space="preserve"> PAGE  \* MERGEFORMAT </w:instrText>
                    </w:r>
                    <w:r>
                      <w:fldChar w:fldCharType="separate"/>
                    </w:r>
                    <w:r>
                      <w:t>244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6D265">
    <w:pPr>
      <w:pStyle w:val="11"/>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05344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CDA83">
                          <w:pPr>
                            <w:pStyle w:val="11"/>
                            <w:rPr>
                              <w:rFonts w:hint="default"/>
                            </w:rPr>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1o34zAgAAXQQAAA4AAAAAAAAAAQAgAAAAHwEAAGRycy9lMm9Eb2MueG1sUEsF&#10;BgAAAAAGAAYAWQEAAMQFAAAAAA==&#10;">
              <v:fill on="f" focussize="0,0"/>
              <v:stroke on="f" weight="0.5pt"/>
              <v:imagedata o:title=""/>
              <o:lock v:ext="edit" aspectratio="f"/>
              <v:textbox inset="0mm,0mm,0mm,0mm" style="mso-fit-shape-to-text:t;">
                <w:txbxContent>
                  <w:p w14:paraId="532CDA83">
                    <w:pPr>
                      <w:pStyle w:val="11"/>
                      <w:rPr>
                        <w:rFonts w:hint="default"/>
                      </w:rPr>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FBB5">
    <w:pPr>
      <w:pStyle w:val="11"/>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0943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9A9B3">
                          <w:pPr>
                            <w:pStyle w:val="11"/>
                            <w:rPr>
                              <w:rFonts w:hint="default"/>
                            </w:rPr>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xhb4yAgAAXAQAAA4AAABkcnMvZTJvRG9jLnhtbK1UzY7TMBC+I/EO&#10;lu80aRdW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GFvjICAABcBAAADgAAAAAAAAABACAAAAAfAQAAZHJzL2Uyb0RvYy54bWxQSwUG&#10;AAAAAAYABgBZAQAAwwUAAAAA&#10;">
              <v:fill on="f" focussize="0,0"/>
              <v:stroke on="f" weight="0.5pt"/>
              <v:imagedata o:title=""/>
              <o:lock v:ext="edit" aspectratio="f"/>
              <v:textbox inset="0mm,0mm,0mm,0mm" style="mso-fit-shape-to-text:t;">
                <w:txbxContent>
                  <w:p w14:paraId="0009A9B3">
                    <w:pPr>
                      <w:pStyle w:val="11"/>
                      <w:rPr>
                        <w:rFonts w:hint="default"/>
                      </w:rPr>
                    </w:pPr>
                    <w:r>
                      <w:fldChar w:fldCharType="begin"/>
                    </w:r>
                    <w:r>
                      <w:instrText xml:space="preserve"> PAGE  \* MERGEFORMAT </w:instrText>
                    </w:r>
                    <w:r>
                      <w:fldChar w:fldCharType="separate"/>
                    </w:r>
                    <w:r>
                      <w:t>246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61B8">
    <w:pPr>
      <w:pStyle w:val="11"/>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3799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877CC">
                          <w:pPr>
                            <w:pStyle w:val="11"/>
                            <w:rPr>
                              <w:rFonts w:hint="default"/>
                            </w:rPr>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ieE/NAIAAF4EAAAOAAAAAAAAAAEAIAAAAB8BAABkcnMvZTJvRG9jLnhtbFBL&#10;BQYAAAAABgAGAFkBAADFBQAAAAA=&#10;">
              <v:fill on="f" focussize="0,0"/>
              <v:stroke on="f" weight="0.5pt"/>
              <v:imagedata o:title=""/>
              <o:lock v:ext="edit" aspectratio="f"/>
              <v:textbox inset="0mm,0mm,0mm,0mm" style="mso-fit-shape-to-text:t;">
                <w:txbxContent>
                  <w:p w14:paraId="2D6877CC">
                    <w:pPr>
                      <w:pStyle w:val="11"/>
                      <w:rPr>
                        <w:rFonts w:hint="default"/>
                      </w:rPr>
                    </w:pPr>
                    <w:r>
                      <w:fldChar w:fldCharType="begin"/>
                    </w:r>
                    <w:r>
                      <w:instrText xml:space="preserve"> PAGE  \* MERGEFORMAT </w:instrText>
                    </w:r>
                    <w:r>
                      <w:fldChar w:fldCharType="separate"/>
                    </w:r>
                    <w:r>
                      <w:t>247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98BD">
    <w:pPr>
      <w:pStyle w:val="11"/>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83076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D73D2">
                          <w:pPr>
                            <w:pStyle w:val="11"/>
                            <w:rPr>
                              <w:rFonts w:hint="default"/>
                            </w:rPr>
                          </w:pPr>
                          <w:r>
                            <w:fldChar w:fldCharType="begin"/>
                          </w:r>
                          <w:r>
                            <w:instrText xml:space="preserve"> PAGE  \* MERGEFORMAT </w:instrText>
                          </w:r>
                          <w:r>
                            <w:fldChar w:fldCharType="separate"/>
                          </w:r>
                          <w:r>
                            <w:t>248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D2OX0zAgAAXQQAAA4AAAAAAAAAAQAgAAAAHwEAAGRycy9lMm9Eb2MueG1sUEsF&#10;BgAAAAAGAAYAWQEAAMQFAAAAAA==&#10;">
              <v:fill on="f" focussize="0,0"/>
              <v:stroke on="f" weight="0.5pt"/>
              <v:imagedata o:title=""/>
              <o:lock v:ext="edit" aspectratio="f"/>
              <v:textbox inset="0mm,0mm,0mm,0mm" style="mso-fit-shape-to-text:t;">
                <w:txbxContent>
                  <w:p w14:paraId="74AD73D2">
                    <w:pPr>
                      <w:pStyle w:val="11"/>
                      <w:rPr>
                        <w:rFonts w:hint="default"/>
                      </w:rPr>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9AB2">
    <w:pPr>
      <w:pStyle w:val="11"/>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05376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2B84E">
                          <w:pPr>
                            <w:pStyle w:val="11"/>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ZyQNAIAAF4EAAAOAAAAAAAAAAEAIAAAAB8BAABkcnMvZTJvRG9jLnhtbFBL&#10;BQYAAAAABgAGAFkBAADFBQAAAAA=&#10;">
              <v:fill on="f" focussize="0,0"/>
              <v:stroke on="f" weight="0.5pt"/>
              <v:imagedata o:title=""/>
              <o:lock v:ext="edit" aspectratio="f"/>
              <v:textbox inset="0mm,0mm,0mm,0mm" style="mso-fit-shape-to-text:t;">
                <w:txbxContent>
                  <w:p w14:paraId="51B2B84E">
                    <w:pPr>
                      <w:pStyle w:val="11"/>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EC40">
    <w:pPr>
      <w:pStyle w:val="11"/>
      <w:framePr w:wrap="around" w:vAnchor="text" w:hAnchor="margin" w:xAlign="center" w:y="1"/>
      <w:rPr>
        <w:rStyle w:val="20"/>
        <w:rFonts w:ascii="仿宋_GB2312" w:eastAsia="仿宋_GB2312"/>
        <w:sz w:val="21"/>
        <w:szCs w:val="21"/>
      </w:rPr>
    </w:pPr>
    <w:r>
      <w:rPr>
        <w:rStyle w:val="20"/>
        <w:rFonts w:hint="eastAsia" w:ascii="仿宋_GB2312" w:eastAsia="仿宋_GB2312"/>
        <w:sz w:val="21"/>
        <w:szCs w:val="21"/>
      </w:rPr>
      <w:fldChar w:fldCharType="begin"/>
    </w:r>
    <w:r>
      <w:rPr>
        <w:rStyle w:val="20"/>
        <w:rFonts w:hint="eastAsia" w:ascii="仿宋_GB2312" w:eastAsia="仿宋_GB2312"/>
        <w:sz w:val="21"/>
        <w:szCs w:val="21"/>
      </w:rPr>
      <w:instrText xml:space="preserve">PAGE  </w:instrText>
    </w:r>
    <w:r>
      <w:rPr>
        <w:rStyle w:val="20"/>
        <w:rFonts w:hint="eastAsia" w:ascii="仿宋_GB2312" w:eastAsia="仿宋_GB2312"/>
        <w:sz w:val="21"/>
        <w:szCs w:val="21"/>
      </w:rPr>
      <w:fldChar w:fldCharType="separate"/>
    </w:r>
    <w:r>
      <w:rPr>
        <w:rStyle w:val="20"/>
        <w:rFonts w:hint="eastAsia" w:ascii="仿宋_GB2312" w:eastAsia="仿宋_GB2312"/>
        <w:sz w:val="21"/>
        <w:szCs w:val="21"/>
      </w:rPr>
      <w:t>37</w:t>
    </w:r>
    <w:r>
      <w:rPr>
        <w:rStyle w:val="20"/>
        <w:rFonts w:hint="eastAsia" w:ascii="仿宋_GB2312" w:eastAsia="仿宋_GB2312"/>
        <w:sz w:val="21"/>
        <w:szCs w:val="21"/>
      </w:rPr>
      <w:fldChar w:fldCharType="end"/>
    </w:r>
  </w:p>
  <w:p w14:paraId="538A370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37B96">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14:paraId="3687BC6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90CB">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D8062">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DD8062">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35DE">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62995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C44C5">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9KHgzAgAAXgQAAA4AAABkcnMvZTJvRG9jLnhtbK1US27bMBDdF+gd&#10;CO5ryS5iO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19KHgzAgAAXgQAAA4AAAAAAAAAAQAgAAAAHwEAAGRycy9lMm9Eb2MueG1sUEsF&#10;BgAAAAAGAAYAWQEAAMQFAAAAAA==&#10;">
              <v:fill on="f" focussize="0,0"/>
              <v:stroke on="f" weight="0.5pt"/>
              <v:imagedata o:title=""/>
              <o:lock v:ext="edit" aspectratio="f"/>
              <v:textbox inset="0mm,0mm,0mm,0mm" style="mso-fit-shape-to-text:t;">
                <w:txbxContent>
                  <w:p w14:paraId="083C44C5">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4248">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860715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BABAF">
                          <w:pPr>
                            <w:pStyle w:val="11"/>
                            <w:rPr>
                              <w:rStyle w:val="20"/>
                              <w:rFonts w:ascii="仿宋_GB2312" w:eastAsia="仿宋_GB2312"/>
                            </w:rPr>
                          </w:pPr>
                          <w:r>
                            <w:rPr>
                              <w:rStyle w:val="20"/>
                              <w:rFonts w:hint="eastAsia" w:ascii="仿宋_GB2312" w:eastAsia="仿宋_GB2312"/>
                            </w:rPr>
                            <w:fldChar w:fldCharType="begin"/>
                          </w:r>
                          <w:r>
                            <w:rPr>
                              <w:rStyle w:val="20"/>
                              <w:rFonts w:hint="eastAsia" w:ascii="仿宋_GB2312" w:eastAsia="仿宋_GB2312"/>
                            </w:rPr>
                            <w:instrText xml:space="preserve">PAGE  </w:instrText>
                          </w:r>
                          <w:r>
                            <w:rPr>
                              <w:rStyle w:val="20"/>
                              <w:rFonts w:hint="eastAsia" w:ascii="仿宋_GB2312" w:eastAsia="仿宋_GB2312"/>
                            </w:rPr>
                            <w:fldChar w:fldCharType="separate"/>
                          </w:r>
                          <w:r>
                            <w:rPr>
                              <w:rStyle w:val="20"/>
                              <w:rFonts w:hint="eastAsia" w:ascii="仿宋_GB2312" w:eastAsia="仿宋_GB2312"/>
                            </w:rPr>
                            <w:t>66</w:t>
                          </w:r>
                          <w:r>
                            <w:rPr>
                              <w:rStyle w:val="20"/>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X2kegzAgAAXgQAAA4AAAAAAAAAAQAgAAAAHwEAAGRycy9lMm9Eb2MueG1sUEsF&#10;BgAAAAAGAAYAWQEAAMQFAAAAAA==&#10;">
              <v:fill on="f" focussize="0,0"/>
              <v:stroke on="f" weight="0.5pt"/>
              <v:imagedata o:title=""/>
              <o:lock v:ext="edit" aspectratio="f"/>
              <v:textbox inset="0mm,0mm,0mm,0mm" style="mso-fit-shape-to-text:t;">
                <w:txbxContent>
                  <w:p w14:paraId="5F6BABAF">
                    <w:pPr>
                      <w:pStyle w:val="11"/>
                      <w:rPr>
                        <w:rStyle w:val="20"/>
                        <w:rFonts w:ascii="仿宋_GB2312" w:eastAsia="仿宋_GB2312"/>
                      </w:rPr>
                    </w:pPr>
                    <w:r>
                      <w:rPr>
                        <w:rStyle w:val="20"/>
                        <w:rFonts w:hint="eastAsia" w:ascii="仿宋_GB2312" w:eastAsia="仿宋_GB2312"/>
                      </w:rPr>
                      <w:fldChar w:fldCharType="begin"/>
                    </w:r>
                    <w:r>
                      <w:rPr>
                        <w:rStyle w:val="20"/>
                        <w:rFonts w:hint="eastAsia" w:ascii="仿宋_GB2312" w:eastAsia="仿宋_GB2312"/>
                      </w:rPr>
                      <w:instrText xml:space="preserve">PAGE  </w:instrText>
                    </w:r>
                    <w:r>
                      <w:rPr>
                        <w:rStyle w:val="20"/>
                        <w:rFonts w:hint="eastAsia" w:ascii="仿宋_GB2312" w:eastAsia="仿宋_GB2312"/>
                      </w:rPr>
                      <w:fldChar w:fldCharType="separate"/>
                    </w:r>
                    <w:r>
                      <w:rPr>
                        <w:rStyle w:val="20"/>
                        <w:rFonts w:hint="eastAsia" w:ascii="仿宋_GB2312" w:eastAsia="仿宋_GB2312"/>
                      </w:rPr>
                      <w:t>66</w:t>
                    </w:r>
                    <w:r>
                      <w:rPr>
                        <w:rStyle w:val="20"/>
                        <w:rFonts w:hint="eastAsia" w:ascii="仿宋_GB2312" w:eastAsia="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0E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F3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5C5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68D6">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342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F8368"/>
    <w:multiLevelType w:val="singleLevel"/>
    <w:tmpl w:val="033F83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264DCF"/>
    <w:rsid w:val="038A570F"/>
    <w:rsid w:val="077A3FC1"/>
    <w:rsid w:val="08081184"/>
    <w:rsid w:val="08154ED0"/>
    <w:rsid w:val="082D4487"/>
    <w:rsid w:val="08606198"/>
    <w:rsid w:val="0B052730"/>
    <w:rsid w:val="0B2035CB"/>
    <w:rsid w:val="0B5D6A65"/>
    <w:rsid w:val="0BBC48D3"/>
    <w:rsid w:val="0E1A20B3"/>
    <w:rsid w:val="0F8A6A96"/>
    <w:rsid w:val="142D135B"/>
    <w:rsid w:val="145A4F28"/>
    <w:rsid w:val="14D84274"/>
    <w:rsid w:val="175E7186"/>
    <w:rsid w:val="17FA4C46"/>
    <w:rsid w:val="1BA64C58"/>
    <w:rsid w:val="1DDD5FED"/>
    <w:rsid w:val="239301B8"/>
    <w:rsid w:val="250E63AA"/>
    <w:rsid w:val="270D0E39"/>
    <w:rsid w:val="27117D71"/>
    <w:rsid w:val="295230C5"/>
    <w:rsid w:val="299E5BA0"/>
    <w:rsid w:val="29AF0087"/>
    <w:rsid w:val="2B5A166A"/>
    <w:rsid w:val="2B7841A6"/>
    <w:rsid w:val="2F0A6CB0"/>
    <w:rsid w:val="2F1E74CF"/>
    <w:rsid w:val="32B013F6"/>
    <w:rsid w:val="351E7164"/>
    <w:rsid w:val="352670DE"/>
    <w:rsid w:val="36161736"/>
    <w:rsid w:val="366D6A2D"/>
    <w:rsid w:val="375335FD"/>
    <w:rsid w:val="380A4A95"/>
    <w:rsid w:val="386F2B4A"/>
    <w:rsid w:val="38D21E2E"/>
    <w:rsid w:val="399A1E4D"/>
    <w:rsid w:val="3C0D4653"/>
    <w:rsid w:val="3D960B78"/>
    <w:rsid w:val="3E5142D2"/>
    <w:rsid w:val="3ED92ACB"/>
    <w:rsid w:val="3F0C2B2E"/>
    <w:rsid w:val="40170111"/>
    <w:rsid w:val="40381A73"/>
    <w:rsid w:val="40B41FE2"/>
    <w:rsid w:val="40E94644"/>
    <w:rsid w:val="41800D5E"/>
    <w:rsid w:val="420A4299"/>
    <w:rsid w:val="462E5DF2"/>
    <w:rsid w:val="48FC3F85"/>
    <w:rsid w:val="4CF75003"/>
    <w:rsid w:val="4E2515D4"/>
    <w:rsid w:val="50265D8C"/>
    <w:rsid w:val="514266F1"/>
    <w:rsid w:val="51717C91"/>
    <w:rsid w:val="5275068E"/>
    <w:rsid w:val="543C16DA"/>
    <w:rsid w:val="588B7B4A"/>
    <w:rsid w:val="5B8439F4"/>
    <w:rsid w:val="5E211941"/>
    <w:rsid w:val="5F8F1727"/>
    <w:rsid w:val="5FA10F8B"/>
    <w:rsid w:val="60802A5D"/>
    <w:rsid w:val="65936920"/>
    <w:rsid w:val="65D810A8"/>
    <w:rsid w:val="671D5367"/>
    <w:rsid w:val="6722465B"/>
    <w:rsid w:val="6D2D0B7A"/>
    <w:rsid w:val="6D4E7DB2"/>
    <w:rsid w:val="6DA6044A"/>
    <w:rsid w:val="6F8F28A1"/>
    <w:rsid w:val="70174AFE"/>
    <w:rsid w:val="704433BB"/>
    <w:rsid w:val="71917360"/>
    <w:rsid w:val="7311370F"/>
    <w:rsid w:val="75287D2D"/>
    <w:rsid w:val="768A40CF"/>
    <w:rsid w:val="7A890316"/>
    <w:rsid w:val="7B424F78"/>
    <w:rsid w:val="7BB816DF"/>
    <w:rsid w:val="7CC23DD9"/>
    <w:rsid w:val="7CCF6A12"/>
    <w:rsid w:val="7DB4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qFormat/>
    <w:uiPriority w:val="0"/>
    <w:pPr>
      <w:autoSpaceDE w:val="0"/>
      <w:autoSpaceDN w:val="0"/>
      <w:spacing w:after="120"/>
      <w:ind w:left="420" w:leftChars="200"/>
      <w:jc w:val="left"/>
    </w:pPr>
    <w:rPr>
      <w:rFonts w:ascii="宋体" w:hAnsi="宋体" w:cs="宋体"/>
      <w:kern w:val="0"/>
      <w:sz w:val="24"/>
      <w:szCs w:val="22"/>
      <w:lang w:eastAsia="en-US"/>
    </w:rPr>
  </w:style>
  <w:style w:type="paragraph" w:customStyle="1" w:styleId="8">
    <w:name w:val="Style1"/>
    <w:basedOn w:val="1"/>
    <w:qFormat/>
    <w:uiPriority w:val="0"/>
    <w:pPr>
      <w:widowControl/>
      <w:tabs>
        <w:tab w:val="left" w:pos="-720"/>
      </w:tabs>
      <w:spacing w:after="120"/>
    </w:pPr>
    <w:rPr>
      <w:rFonts w:ascii="Times New Roman" w:hAnsi="Times New Roman" w:cs="Times New Roman"/>
      <w:spacing w:val="-3"/>
      <w:kern w:val="0"/>
      <w:sz w:val="24"/>
      <w:szCs w:val="20"/>
      <w:lang w:val="en-AU" w:eastAsia="en-US"/>
    </w:rPr>
  </w:style>
  <w:style w:type="paragraph" w:styleId="9">
    <w:name w:val="toc 3"/>
    <w:basedOn w:val="1"/>
    <w:next w:val="1"/>
    <w:autoRedefine/>
    <w:qFormat/>
    <w:uiPriority w:val="0"/>
    <w:pPr>
      <w:ind w:left="480"/>
    </w:pPr>
  </w:style>
  <w:style w:type="paragraph" w:styleId="10">
    <w:name w:val="Plain Text"/>
    <w:basedOn w:val="1"/>
    <w:link w:val="26"/>
    <w:qFormat/>
    <w:uiPriority w:val="99"/>
    <w:pPr>
      <w:spacing w:line="305" w:lineRule="auto"/>
      <w:ind w:firstLine="420"/>
    </w:pPr>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240"/>
    </w:pPr>
  </w:style>
  <w:style w:type="paragraph" w:styleId="15">
    <w:name w:val="Normal (Web)"/>
    <w:basedOn w:val="1"/>
    <w:qFormat/>
    <w:uiPriority w:val="0"/>
    <w:pPr>
      <w:spacing w:beforeAutospacing="1" w:afterAutospacing="1"/>
      <w:jc w:val="left"/>
    </w:pPr>
    <w:rPr>
      <w:kern w:val="0"/>
      <w:sz w:val="24"/>
      <w:lang w:bidi="ar"/>
    </w:rPr>
  </w:style>
  <w:style w:type="paragraph" w:styleId="16">
    <w:name w:val="Body Text First Indent 2"/>
    <w:basedOn w:val="7"/>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basedOn w:val="19"/>
    <w:qFormat/>
    <w:uiPriority w:val="0"/>
    <w:rPr>
      <w:color w:val="0000FF"/>
      <w:u w:val="single"/>
    </w:rPr>
  </w:style>
  <w:style w:type="character" w:customStyle="1" w:styleId="22">
    <w:name w:val="标题 2 字符"/>
    <w:link w:val="3"/>
    <w:qFormat/>
    <w:uiPriority w:val="0"/>
    <w:rPr>
      <w:rFonts w:ascii="Arial" w:hAnsi="Arial" w:eastAsia="黑体" w:cs="Times New Roman"/>
      <w:b/>
      <w:bCs/>
      <w:kern w:val="2"/>
      <w:sz w:val="32"/>
      <w:szCs w:val="32"/>
      <w:lang w:eastAsia="zh-CN"/>
    </w:rPr>
  </w:style>
  <w:style w:type="paragraph" w:customStyle="1" w:styleId="2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4">
    <w:name w:val="标题 3 字符"/>
    <w:link w:val="4"/>
    <w:qFormat/>
    <w:uiPriority w:val="0"/>
    <w:rPr>
      <w:rFonts w:ascii="Times New Roman" w:hAnsi="Times New Roman" w:eastAsia="宋体" w:cs="Times New Roman"/>
      <w:b/>
      <w:bCs/>
      <w:kern w:val="2"/>
      <w:sz w:val="32"/>
      <w:szCs w:val="32"/>
      <w:lang w:eastAsia="zh-CN"/>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6">
    <w:name w:val="纯文本 字符"/>
    <w:link w:val="10"/>
    <w:qFormat/>
    <w:uiPriority w:val="0"/>
    <w:rPr>
      <w:rFonts w:ascii="宋体" w:hAnsi="Courier New" w:eastAsia="宋体" w:cs="Courier New"/>
      <w:kern w:val="2"/>
      <w:sz w:val="21"/>
      <w:szCs w:val="21"/>
      <w:lang w:eastAsia="zh-CN"/>
    </w:rPr>
  </w:style>
  <w:style w:type="paragraph" w:customStyle="1" w:styleId="27">
    <w:name w:val="Table Paragraph"/>
    <w:basedOn w:val="1"/>
    <w:qFormat/>
    <w:uiPriority w:val="0"/>
    <w:rPr>
      <w:rFonts w:ascii="Calibri" w:hAnsi="Calibri" w:eastAsia="宋体" w:cs="Times New Roman"/>
      <w:sz w:val="22"/>
      <w:lang w:eastAsia="en-US"/>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0_0"/>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普通(网站)_0"/>
    <w:basedOn w:val="29"/>
    <w:unhideWhenUsed/>
    <w:qFormat/>
    <w:uiPriority w:val="99"/>
    <w:pPr>
      <w:widowControl/>
      <w:spacing w:before="100" w:beforeAutospacing="1" w:after="100" w:afterAutospacing="1" w:line="360" w:lineRule="auto"/>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wmf"/><Relationship Id="rId54" Type="http://schemas.openxmlformats.org/officeDocument/2006/relationships/oleObject" Target="embeddings/oleObject1.bin"/><Relationship Id="rId53" Type="http://schemas.openxmlformats.org/officeDocument/2006/relationships/theme" Target="theme/theme1.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header" Target="header5.xml"/><Relationship Id="rId5" Type="http://schemas.openxmlformats.org/officeDocument/2006/relationships/footer" Target="footer3.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header" Target="header4.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267</Pages>
  <Words>3990</Words>
  <Characters>5537</Characters>
  <Lines>0</Lines>
  <Paragraphs>0</Paragraphs>
  <TotalTime>133</TotalTime>
  <ScaleCrop>false</ScaleCrop>
  <LinksUpToDate>false</LinksUpToDate>
  <CharactersWithSpaces>6290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Administrator</cp:lastModifiedBy>
  <cp:lastPrinted>2026-04-07T03:13:38Z</cp:lastPrinted>
  <dcterms:modified xsi:type="dcterms:W3CDTF">2026-04-07T03:27:01Z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215A1A52C0F1464B9960D441A7D90EB1_13</vt:lpwstr>
  </property>
  <property fmtid="{D5CDD505-2E9C-101B-9397-08002B2CF9AE}" pid="3" name="KSOProductBuildVer">
    <vt:lpwstr>2052-12.1.0.25225</vt:lpwstr>
  </property>
  <property fmtid="{D5CDD505-2E9C-101B-9397-08002B2CF9AE}" pid="4" name="KSOTemplateDocerSaveRecord">
    <vt:lpwstr>eyJoZGlkIjoiYzVlNjI2Njk3NTk3ZmNhMmE5NjU3ZDI3MDkwNzY2MDIiLCJ1c2VySWQiOiI2ODU1NDY3MjkifQ==</vt:lpwstr>
  </property>
</Properties>
</file>