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6D46A0">
      <w:pPr>
        <w:spacing w:line="400" w:lineRule="atLeast"/>
        <w:rPr>
          <w:rFonts w:hint="eastAsia" w:ascii="Times New Roman" w:hAnsi="Times New Roman" w:eastAsia="华文彩云" w:cs="Times New Roman"/>
          <w:color w:val="auto"/>
          <w:sz w:val="20"/>
          <w:szCs w:val="20"/>
          <w:highlight w:val="none"/>
        </w:rPr>
      </w:pPr>
    </w:p>
    <w:p w14:paraId="4560FF11">
      <w:pPr>
        <w:tabs>
          <w:tab w:val="left" w:pos="1505"/>
        </w:tabs>
        <w:topLinePunct/>
        <w:spacing w:line="400" w:lineRule="atLeast"/>
        <w:rPr>
          <w:rStyle w:val="52"/>
          <w:rFonts w:ascii="Times New Roman" w:hAnsi="Times New Roman" w:eastAsia="宋体" w:cs="Times New Roman"/>
          <w:b w:val="0"/>
          <w:bCs w:val="0"/>
          <w:color w:val="auto"/>
          <w:sz w:val="27"/>
          <w:szCs w:val="27"/>
          <w:highlight w:val="none"/>
        </w:rPr>
      </w:pPr>
      <w:r>
        <w:rPr>
          <w:rStyle w:val="52"/>
          <w:rFonts w:ascii="Times New Roman" w:hAnsi="Times New Roman" w:eastAsia="宋体" w:cs="Times New Roman"/>
          <w:b w:val="0"/>
          <w:bCs w:val="0"/>
          <w:color w:val="auto"/>
          <w:sz w:val="27"/>
          <w:szCs w:val="27"/>
          <w:highlight w:val="none"/>
        </w:rPr>
        <w:tab/>
      </w:r>
    </w:p>
    <w:p w14:paraId="6BE388D5">
      <w:pPr>
        <w:pStyle w:val="15"/>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16069E35">
      <w:pPr>
        <w:pStyle w:val="15"/>
        <w:pageBreakBefore w:val="0"/>
        <w:kinsoku/>
        <w:wordWrap w:val="0"/>
        <w:bidi w:val="0"/>
        <w:spacing w:line="440" w:lineRule="exact"/>
        <w:jc w:val="center"/>
        <w:rPr>
          <w:rFonts w:hint="default" w:ascii="Times New Roman" w:hAnsi="Times New Roman" w:eastAsia="黑体" w:cs="Times New Roman"/>
          <w:color w:val="auto"/>
          <w:sz w:val="31"/>
          <w:szCs w:val="31"/>
          <w:highlight w:val="none"/>
        </w:rPr>
      </w:pPr>
      <w:r>
        <w:rPr>
          <w:rFonts w:hint="eastAsia" w:ascii="Times New Roman" w:eastAsia="黑体" w:cs="Times New Roman"/>
          <w:b w:val="0"/>
          <w:bCs w:val="0"/>
          <w:color w:val="auto"/>
          <w:kern w:val="2"/>
          <w:sz w:val="31"/>
          <w:szCs w:val="31"/>
          <w:highlight w:val="none"/>
          <w:u w:val="single"/>
          <w:lang w:val="en-US" w:eastAsia="zh-CN" w:bidi="ar-SA"/>
        </w:rPr>
        <w:t>营口市庄西线（太阳升至桥南段）修复养护工程</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kern w:val="2"/>
          <w:sz w:val="31"/>
          <w:szCs w:val="31"/>
          <w:highlight w:val="none"/>
          <w:u w:val="single"/>
          <w:lang w:val="en-US" w:eastAsia="zh-CN" w:bidi="ar-SA"/>
        </w:rPr>
        <w:t>营口市庄西线（太阳升至桥南段）修复养护工程</w:t>
      </w:r>
      <w:r>
        <w:rPr>
          <w:rFonts w:hint="eastAsia" w:ascii="Times New Roman" w:eastAsia="黑体" w:cs="Times New Roman"/>
          <w:b w:val="0"/>
          <w:bCs w:val="0"/>
          <w:color w:val="auto"/>
          <w:kern w:val="2"/>
          <w:sz w:val="31"/>
          <w:szCs w:val="31"/>
          <w:highlight w:val="none"/>
          <w:u w:val="single"/>
          <w:lang w:val="en-US" w:eastAsia="zh-CN" w:bidi="ar-SA"/>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color w:val="auto"/>
          <w:sz w:val="31"/>
          <w:szCs w:val="31"/>
          <w:highlight w:val="none"/>
        </w:rPr>
        <w:t>施工招标</w:t>
      </w:r>
    </w:p>
    <w:p w14:paraId="21E996F4">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6054E7AE">
      <w:pPr>
        <w:pageBreakBefore w:val="0"/>
        <w:kinsoku/>
        <w:wordWrap w:val="0"/>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eastAsia="zh-CN"/>
        </w:rPr>
        <w:t>项目编号</w:t>
      </w:r>
      <w:r>
        <w:rPr>
          <w:rFonts w:hint="default" w:ascii="Times New Roman" w:hAnsi="Times New Roman" w:eastAsia="黑体" w:cs="Times New Roman"/>
          <w:color w:val="auto"/>
          <w:sz w:val="28"/>
          <w:szCs w:val="28"/>
          <w:highlight w:val="none"/>
        </w:rPr>
        <w:t>：</w:t>
      </w:r>
      <w:r>
        <w:rPr>
          <w:rFonts w:hint="default" w:ascii="Times New Roman" w:hAnsi="Times New Roman" w:cs="Times New Roman"/>
          <w:color w:val="auto"/>
          <w:highlight w:val="none"/>
          <w:u w:val="single"/>
        </w:rPr>
        <w:t xml:space="preserve">     </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rPr>
        <w:t xml:space="preserve">      </w:t>
      </w:r>
      <w:r>
        <w:rPr>
          <w:rFonts w:hint="default" w:ascii="Times New Roman" w:hAnsi="Times New Roman" w:eastAsia="黑体" w:cs="Times New Roman"/>
          <w:color w:val="auto"/>
          <w:sz w:val="28"/>
          <w:szCs w:val="28"/>
          <w:highlight w:val="none"/>
        </w:rPr>
        <w:t>）</w:t>
      </w:r>
    </w:p>
    <w:p w14:paraId="624F4D69">
      <w:pPr>
        <w:pageBreakBefore w:val="0"/>
        <w:kinsoku/>
        <w:wordWrap w:val="0"/>
        <w:bidi w:val="0"/>
        <w:spacing w:line="440" w:lineRule="exact"/>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 </w:t>
      </w:r>
    </w:p>
    <w:p w14:paraId="7F98B0CA">
      <w:pPr>
        <w:pageBreakBefore w:val="0"/>
        <w:kinsoku/>
        <w:wordWrap w:val="0"/>
        <w:bidi w:val="0"/>
        <w:spacing w:line="440" w:lineRule="exact"/>
        <w:rPr>
          <w:rFonts w:hint="default" w:ascii="Times New Roman" w:hAnsi="Times New Roman" w:cs="Times New Roman"/>
          <w:color w:val="auto"/>
          <w:sz w:val="20"/>
          <w:szCs w:val="20"/>
          <w:highlight w:val="none"/>
        </w:rPr>
      </w:pPr>
    </w:p>
    <w:p w14:paraId="3A431AE9">
      <w:pPr>
        <w:pStyle w:val="16"/>
        <w:rPr>
          <w:rFonts w:hint="default" w:ascii="Times New Roman" w:hAnsi="Times New Roman" w:cs="Times New Roman"/>
          <w:color w:val="auto"/>
          <w:sz w:val="20"/>
          <w:szCs w:val="20"/>
          <w:highlight w:val="none"/>
        </w:rPr>
      </w:pPr>
    </w:p>
    <w:p w14:paraId="1D2A3DA1">
      <w:pPr>
        <w:pStyle w:val="16"/>
        <w:rPr>
          <w:rFonts w:hint="default" w:ascii="Times New Roman" w:hAnsi="Times New Roman" w:cs="Times New Roman"/>
          <w:color w:val="auto"/>
          <w:sz w:val="20"/>
          <w:szCs w:val="20"/>
          <w:highlight w:val="none"/>
        </w:rPr>
      </w:pPr>
    </w:p>
    <w:p w14:paraId="3FA2FD57">
      <w:pPr>
        <w:pStyle w:val="16"/>
        <w:rPr>
          <w:rFonts w:hint="default" w:ascii="Times New Roman" w:hAnsi="Times New Roman" w:cs="Times New Roman"/>
          <w:color w:val="auto"/>
          <w:sz w:val="20"/>
          <w:szCs w:val="20"/>
          <w:highlight w:val="none"/>
        </w:rPr>
      </w:pPr>
    </w:p>
    <w:p w14:paraId="0B7A75D4">
      <w:pPr>
        <w:pStyle w:val="16"/>
        <w:rPr>
          <w:rFonts w:hint="default" w:ascii="Times New Roman" w:hAnsi="Times New Roman" w:cs="Times New Roman"/>
          <w:color w:val="auto"/>
          <w:sz w:val="20"/>
          <w:szCs w:val="20"/>
          <w:highlight w:val="none"/>
        </w:rPr>
      </w:pPr>
    </w:p>
    <w:p w14:paraId="068399D1">
      <w:pPr>
        <w:pageBreakBefore w:val="0"/>
        <w:kinsoku/>
        <w:wordWrap w:val="0"/>
        <w:bidi w:val="0"/>
        <w:spacing w:line="440" w:lineRule="exact"/>
        <w:rPr>
          <w:rFonts w:hint="default" w:ascii="Times New Roman" w:hAnsi="Times New Roman" w:cs="Times New Roman"/>
          <w:color w:val="auto"/>
          <w:sz w:val="20"/>
          <w:szCs w:val="20"/>
          <w:highlight w:val="none"/>
        </w:rPr>
      </w:pPr>
    </w:p>
    <w:p w14:paraId="58DF90FC">
      <w:pPr>
        <w:pageBreakBefore w:val="0"/>
        <w:kinsoku/>
        <w:wordWrap w:val="0"/>
        <w:bidi w:val="0"/>
        <w:spacing w:line="860" w:lineRule="exact"/>
        <w:jc w:val="center"/>
        <w:rPr>
          <w:rFonts w:hint="default" w:ascii="Times New Roman" w:hAnsi="Times New Roman" w:eastAsia="黑体" w:cs="Times New Roman"/>
          <w:color w:val="auto"/>
          <w:sz w:val="50"/>
          <w:szCs w:val="50"/>
          <w:highlight w:val="none"/>
        </w:rPr>
      </w:pPr>
      <w:r>
        <w:rPr>
          <w:rFonts w:hint="default" w:ascii="Times New Roman" w:hAnsi="Times New Roman" w:eastAsia="黑体" w:cs="Times New Roman"/>
          <w:color w:val="auto"/>
          <w:sz w:val="50"/>
          <w:szCs w:val="50"/>
          <w:highlight w:val="none"/>
        </w:rPr>
        <w:t>招 标 文 件</w:t>
      </w:r>
    </w:p>
    <w:p w14:paraId="501DD363">
      <w:pPr>
        <w:pageBreakBefore w:val="0"/>
        <w:kinsoku/>
        <w:wordWrap w:val="0"/>
        <w:bidi w:val="0"/>
        <w:spacing w:line="440" w:lineRule="exact"/>
        <w:rPr>
          <w:rFonts w:hint="default" w:ascii="Times New Roman" w:hAnsi="Times New Roman" w:cs="Times New Roman"/>
          <w:color w:val="auto"/>
          <w:sz w:val="20"/>
          <w:szCs w:val="20"/>
          <w:highlight w:val="none"/>
        </w:rPr>
      </w:pPr>
    </w:p>
    <w:p w14:paraId="27B870E6">
      <w:pPr>
        <w:pageBreakBefore w:val="0"/>
        <w:kinsoku/>
        <w:wordWrap w:val="0"/>
        <w:bidi w:val="0"/>
        <w:spacing w:line="440" w:lineRule="exact"/>
        <w:rPr>
          <w:rFonts w:hint="default" w:ascii="Times New Roman" w:hAnsi="Times New Roman" w:cs="Times New Roman"/>
          <w:color w:val="auto"/>
          <w:sz w:val="20"/>
          <w:szCs w:val="20"/>
          <w:highlight w:val="none"/>
        </w:rPr>
      </w:pPr>
    </w:p>
    <w:p w14:paraId="2BBCDEF8">
      <w:pPr>
        <w:pageBreakBefore w:val="0"/>
        <w:kinsoku/>
        <w:wordWrap w:val="0"/>
        <w:bidi w:val="0"/>
        <w:spacing w:line="440" w:lineRule="exact"/>
        <w:rPr>
          <w:rFonts w:hint="default" w:ascii="Times New Roman" w:hAnsi="Times New Roman" w:cs="Times New Roman"/>
          <w:color w:val="auto"/>
          <w:sz w:val="20"/>
          <w:szCs w:val="20"/>
          <w:highlight w:val="none"/>
        </w:rPr>
      </w:pPr>
    </w:p>
    <w:p w14:paraId="020A4F8A">
      <w:pPr>
        <w:pageBreakBefore w:val="0"/>
        <w:kinsoku/>
        <w:wordWrap w:val="0"/>
        <w:bidi w:val="0"/>
        <w:spacing w:line="440" w:lineRule="exact"/>
        <w:rPr>
          <w:rFonts w:hint="default" w:ascii="Times New Roman" w:hAnsi="Times New Roman" w:cs="Times New Roman"/>
          <w:color w:val="auto"/>
          <w:sz w:val="20"/>
          <w:szCs w:val="20"/>
          <w:highlight w:val="none"/>
        </w:rPr>
      </w:pPr>
    </w:p>
    <w:p w14:paraId="42EEF8F1">
      <w:pPr>
        <w:pageBreakBefore w:val="0"/>
        <w:kinsoku/>
        <w:wordWrap w:val="0"/>
        <w:bidi w:val="0"/>
        <w:spacing w:line="440" w:lineRule="exact"/>
        <w:rPr>
          <w:rFonts w:hint="default" w:ascii="Times New Roman" w:hAnsi="Times New Roman" w:cs="Times New Roman"/>
          <w:color w:val="auto"/>
          <w:sz w:val="20"/>
          <w:szCs w:val="20"/>
          <w:highlight w:val="none"/>
        </w:rPr>
      </w:pPr>
    </w:p>
    <w:p w14:paraId="305BEFD1">
      <w:pPr>
        <w:pageBreakBefore w:val="0"/>
        <w:kinsoku/>
        <w:wordWrap w:val="0"/>
        <w:bidi w:val="0"/>
        <w:spacing w:line="440" w:lineRule="exact"/>
        <w:rPr>
          <w:rFonts w:hint="default" w:ascii="Times New Roman" w:hAnsi="Times New Roman" w:cs="Times New Roman"/>
          <w:color w:val="auto"/>
          <w:sz w:val="20"/>
          <w:szCs w:val="20"/>
          <w:highlight w:val="none"/>
        </w:rPr>
      </w:pPr>
    </w:p>
    <w:p w14:paraId="29CAA13E">
      <w:pPr>
        <w:pageBreakBefore w:val="0"/>
        <w:kinsoku/>
        <w:wordWrap w:val="0"/>
        <w:bidi w:val="0"/>
        <w:spacing w:line="700" w:lineRule="exact"/>
        <w:jc w:val="both"/>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招</w:t>
      </w:r>
      <w:r>
        <w:rPr>
          <w:rFonts w:hint="eastAsia" w:eastAsia="黑体" w:cs="Times New Roman"/>
          <w:color w:val="auto"/>
          <w:sz w:val="28"/>
          <w:szCs w:val="28"/>
          <w:highlight w:val="none"/>
          <w:lang w:val="en-US" w:eastAsia="zh-CN"/>
        </w:rPr>
        <w:t xml:space="preserve">   </w:t>
      </w:r>
      <w:r>
        <w:rPr>
          <w:rFonts w:hint="default" w:ascii="Times New Roman" w:hAnsi="Times New Roman" w:eastAsia="黑体" w:cs="Times New Roman"/>
          <w:color w:val="auto"/>
          <w:sz w:val="28"/>
          <w:szCs w:val="28"/>
          <w:highlight w:val="none"/>
        </w:rPr>
        <w:t>标</w:t>
      </w:r>
      <w:r>
        <w:rPr>
          <w:rFonts w:hint="eastAsia" w:eastAsia="黑体" w:cs="Times New Roman"/>
          <w:color w:val="auto"/>
          <w:sz w:val="28"/>
          <w:szCs w:val="28"/>
          <w:highlight w:val="none"/>
          <w:lang w:val="en-US" w:eastAsia="zh-CN"/>
        </w:rPr>
        <w:t xml:space="preserve">   </w:t>
      </w:r>
      <w:r>
        <w:rPr>
          <w:rFonts w:hint="default" w:ascii="Times New Roman" w:hAnsi="Times New Roman" w:eastAsia="黑体" w:cs="Times New Roman"/>
          <w:color w:val="auto"/>
          <w:sz w:val="28"/>
          <w:szCs w:val="28"/>
          <w:highlight w:val="none"/>
        </w:rPr>
        <w:t>人：</w:t>
      </w:r>
      <w:r>
        <w:rPr>
          <w:rFonts w:hint="eastAsia" w:eastAsia="黑体" w:cs="Times New Roman"/>
          <w:color w:val="auto"/>
          <w:sz w:val="28"/>
          <w:szCs w:val="28"/>
          <w:highlight w:val="none"/>
          <w:lang w:val="en-US" w:eastAsia="zh-CN"/>
        </w:rPr>
        <w:t>盖州</w:t>
      </w:r>
      <w:r>
        <w:rPr>
          <w:rFonts w:hint="default" w:ascii="Times New Roman" w:hAnsi="Times New Roman" w:eastAsia="黑体" w:cs="Times New Roman"/>
          <w:color w:val="auto"/>
          <w:sz w:val="28"/>
          <w:szCs w:val="28"/>
          <w:highlight w:val="none"/>
          <w:lang w:eastAsia="zh-CN"/>
        </w:rPr>
        <w:t>市交通运输服务中心</w:t>
      </w:r>
    </w:p>
    <w:p w14:paraId="404EB54F">
      <w:pPr>
        <w:spacing w:before="91" w:line="219" w:lineRule="auto"/>
        <w:rPr>
          <w:rFonts w:hint="default" w:ascii="Times New Roman" w:hAnsi="Times New Roman" w:eastAsia="黑体" w:cs="Times New Roman"/>
          <w:color w:val="auto"/>
          <w:sz w:val="28"/>
          <w:szCs w:val="28"/>
          <w:highlight w:val="none"/>
        </w:rPr>
      </w:pPr>
    </w:p>
    <w:p w14:paraId="687599C3">
      <w:pPr>
        <w:spacing w:before="91" w:line="219" w:lineRule="auto"/>
        <w:rPr>
          <w:rFonts w:hint="default" w:ascii="Times New Roman" w:hAnsi="Times New Roman" w:cs="Times New Roman"/>
          <w:color w:val="auto"/>
          <w:sz w:val="28"/>
          <w:szCs w:val="28"/>
          <w:highlight w:val="none"/>
        </w:rPr>
      </w:pPr>
      <w:r>
        <w:rPr>
          <w:rFonts w:hint="default" w:ascii="Times New Roman" w:hAnsi="Times New Roman" w:eastAsia="黑体" w:cs="Times New Roman"/>
          <w:color w:val="auto"/>
          <w:sz w:val="28"/>
          <w:szCs w:val="28"/>
          <w:highlight w:val="none"/>
        </w:rPr>
        <w:t>招标代理机构：</w:t>
      </w:r>
      <w:r>
        <w:rPr>
          <w:rFonts w:hint="eastAsia" w:ascii="Times New Roman" w:hAnsi="Times New Roman" w:eastAsia="黑体" w:cs="Times New Roman"/>
          <w:color w:val="auto"/>
          <w:sz w:val="28"/>
          <w:szCs w:val="28"/>
          <w:highlight w:val="none"/>
          <w:lang w:eastAsia="zh-CN"/>
        </w:rPr>
        <w:t>沈阳金诺工程招标代理有限公司</w:t>
      </w:r>
    </w:p>
    <w:p w14:paraId="5E875A2B">
      <w:pPr>
        <w:spacing w:before="92" w:line="220" w:lineRule="auto"/>
        <w:ind w:left="3202"/>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 xml:space="preserve"> </w:t>
      </w:r>
    </w:p>
    <w:p w14:paraId="538AD032">
      <w:pPr>
        <w:spacing w:before="92" w:line="220" w:lineRule="auto"/>
        <w:ind w:left="3202"/>
        <w:rPr>
          <w:rFonts w:hint="eastAsia" w:ascii="Times New Roman" w:hAnsi="Times New Roman" w:eastAsia="宋体" w:cs="Times New Roman"/>
          <w:color w:val="auto"/>
          <w:sz w:val="36"/>
          <w:szCs w:val="36"/>
          <w:highlight w:val="none"/>
          <w:lang w:val="en-US" w:eastAsia="zh-CN"/>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r>
        <w:rPr>
          <w:rFonts w:ascii="宋体" w:hAnsi="宋体" w:eastAsia="宋体" w:cs="宋体"/>
          <w:spacing w:val="-3"/>
          <w:sz w:val="28"/>
          <w:szCs w:val="28"/>
        </w:rPr>
        <w:t>二〇二</w:t>
      </w:r>
      <w:r>
        <w:rPr>
          <w:rFonts w:hint="eastAsia" w:ascii="宋体" w:hAnsi="宋体" w:cs="宋体"/>
          <w:spacing w:val="-3"/>
          <w:sz w:val="28"/>
          <w:szCs w:val="28"/>
          <w:lang w:val="en-US" w:eastAsia="zh-CN"/>
        </w:rPr>
        <w:t>六</w:t>
      </w:r>
      <w:r>
        <w:rPr>
          <w:rFonts w:ascii="宋体" w:hAnsi="宋体" w:eastAsia="宋体" w:cs="宋体"/>
          <w:spacing w:val="-3"/>
          <w:sz w:val="28"/>
          <w:szCs w:val="28"/>
        </w:rPr>
        <w:t>年</w:t>
      </w:r>
      <w:r>
        <w:rPr>
          <w:rFonts w:hint="eastAsia" w:ascii="宋体" w:hAnsi="宋体" w:cs="宋体"/>
          <w:spacing w:val="-3"/>
          <w:sz w:val="28"/>
          <w:szCs w:val="28"/>
          <w:lang w:val="en-US" w:eastAsia="zh-CN"/>
        </w:rPr>
        <w:t>四</w:t>
      </w:r>
      <w:r>
        <w:rPr>
          <w:rFonts w:ascii="宋体" w:hAnsi="宋体" w:eastAsia="宋体" w:cs="宋体"/>
          <w:spacing w:val="-3"/>
          <w:sz w:val="28"/>
          <w:szCs w:val="28"/>
        </w:rPr>
        <w:t>月</w:t>
      </w:r>
      <w:r>
        <w:rPr>
          <w:rFonts w:hint="eastAsia" w:ascii="宋体" w:hAnsi="宋体" w:cs="宋体"/>
          <w:spacing w:val="-3"/>
          <w:sz w:val="28"/>
          <w:szCs w:val="28"/>
          <w:lang w:val="en-US" w:eastAsia="zh-CN"/>
        </w:rPr>
        <w:t>七日</w:t>
      </w:r>
    </w:p>
    <w:p w14:paraId="53F487C3">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pPr>
      <w:r>
        <w:rPr>
          <w:rFonts w:hint="default" w:ascii="Times New Roman" w:hAnsi="Times New Roman" w:eastAsia="黑体" w:cs="Times New Roman"/>
          <w:color w:val="auto"/>
          <w:sz w:val="36"/>
          <w:szCs w:val="36"/>
          <w:highlight w:val="none"/>
        </w:rPr>
        <w:t>目     录</w:t>
      </w:r>
    </w:p>
    <w:sdt>
      <w:sdtPr>
        <w:rPr>
          <w:rFonts w:ascii="宋体" w:hAnsi="宋体" w:eastAsia="宋体" w:cs="Times New Roman"/>
          <w:color w:val="auto"/>
          <w:kern w:val="2"/>
          <w:sz w:val="21"/>
          <w:szCs w:val="24"/>
          <w:highlight w:val="none"/>
          <w:lang w:val="en-US" w:eastAsia="zh-CN" w:bidi="ar-SA"/>
        </w:rPr>
        <w:id w:val="147469203"/>
        <w15:color w:val="DBDBDB"/>
        <w:docPartObj>
          <w:docPartGallery w:val="Table of Contents"/>
          <w:docPartUnique/>
        </w:docPartObj>
      </w:sdtPr>
      <w:sdtEndPr>
        <w:rPr>
          <w:rFonts w:hint="default" w:ascii="Times New Roman" w:hAnsi="Times New Roman" w:eastAsia="宋体" w:cs="Times New Roman"/>
          <w:b w:val="0"/>
          <w:bCs w:val="0"/>
          <w:i w:val="0"/>
          <w:iCs w:val="0"/>
          <w:color w:val="auto"/>
          <w:kern w:val="2"/>
          <w:sz w:val="21"/>
          <w:szCs w:val="21"/>
          <w:highlight w:val="none"/>
          <w:lang w:val="en-US" w:eastAsia="zh-CN" w:bidi="ar-SA"/>
        </w:rPr>
      </w:sdtEndPr>
      <w:sdtContent>
        <w:p w14:paraId="00F1EEC0">
          <w:pPr>
            <w:spacing w:before="0" w:beforeLines="0" w:after="0" w:afterLines="0" w:line="240" w:lineRule="auto"/>
            <w:ind w:left="0" w:leftChars="0" w:right="0" w:rightChars="0" w:firstLine="0" w:firstLineChars="0"/>
            <w:jc w:val="center"/>
            <w:rPr>
              <w:color w:val="auto"/>
              <w:highlight w:val="none"/>
            </w:rPr>
          </w:pPr>
        </w:p>
        <w:p w14:paraId="1000A1A7">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sz w:val="20"/>
              <w:szCs w:val="20"/>
              <w:highlight w:val="none"/>
            </w:rPr>
          </w:pPr>
          <w:r>
            <w:rPr>
              <w:rFonts w:hint="default" w:ascii="Times New Roman" w:hAnsi="Times New Roman" w:eastAsia="宋体" w:cs="Times New Roman"/>
              <w:b w:val="0"/>
              <w:bCs w:val="0"/>
              <w:i w:val="0"/>
              <w:iCs w:val="0"/>
              <w:color w:val="auto"/>
              <w:sz w:val="20"/>
              <w:szCs w:val="20"/>
              <w:highlight w:val="none"/>
            </w:rPr>
            <w:fldChar w:fldCharType="begin"/>
          </w:r>
          <w:r>
            <w:rPr>
              <w:rFonts w:hint="default" w:ascii="Times New Roman" w:hAnsi="Times New Roman" w:eastAsia="宋体" w:cs="Times New Roman"/>
              <w:b w:val="0"/>
              <w:bCs w:val="0"/>
              <w:i w:val="0"/>
              <w:iCs w:val="0"/>
              <w:color w:val="auto"/>
              <w:sz w:val="20"/>
              <w:szCs w:val="20"/>
              <w:highlight w:val="none"/>
            </w:rPr>
            <w:instrText xml:space="preserve">TOC \o "1-3" \h \u </w:instrText>
          </w:r>
          <w:r>
            <w:rPr>
              <w:rFonts w:hint="default" w:ascii="Times New Roman" w:hAnsi="Times New Roman" w:eastAsia="宋体" w:cs="Times New Roman"/>
              <w:b w:val="0"/>
              <w:bCs w:val="0"/>
              <w:i w:val="0"/>
              <w:iCs w:val="0"/>
              <w:color w:val="auto"/>
              <w:sz w:val="20"/>
              <w:szCs w:val="20"/>
              <w:highlight w:val="none"/>
            </w:rPr>
            <w:fldChar w:fldCharType="separate"/>
          </w: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_Toc14869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一 卷</w:t>
          </w:r>
          <w:r>
            <w:rPr>
              <w:rFonts w:hint="default" w:ascii="Times New Roman" w:hAnsi="Times New Roman" w:eastAsia="黑体" w:cs="Times New Roman"/>
              <w:color w:val="auto"/>
              <w:kern w:val="2"/>
              <w:sz w:val="30"/>
              <w:szCs w:val="30"/>
              <w:highlight w:val="none"/>
              <w:lang w:val="en-US" w:eastAsia="zh-CN" w:bidi="ar-SA"/>
            </w:rPr>
            <w:fldChar w:fldCharType="end"/>
          </w:r>
        </w:p>
        <w:p w14:paraId="5207568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_Toc27722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第一章  招标公告</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_Toc27722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6374281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_Toc7389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 招标条件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_Toc7389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A5F75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项目概况与招标范围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_Toc1515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CA8BC3">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_Toc29935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投标人资格要求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_Toc29935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6898C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_Toc24263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招标文件的获取</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_Toc24263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E9933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_Toc7236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投标文件的递交及相关事宜</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_Toc7236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AB8728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6. 评标办法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_Toc21427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5D197C">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_Toc31461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7</w:t>
          </w:r>
          <w:r>
            <w:rPr>
              <w:rFonts w:hint="default" w:ascii="Times New Roman" w:hAnsi="Times New Roman" w:eastAsia="宋体" w:cs="Times New Roman"/>
              <w:bCs w:val="0"/>
              <w:i w:val="0"/>
              <w:iCs w:val="0"/>
              <w:color w:val="auto"/>
              <w:sz w:val="20"/>
              <w:szCs w:val="20"/>
              <w:highlight w:val="none"/>
            </w:rPr>
            <w:t>. 发布公告的媒介</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_Toc31461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423CD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8</w:t>
          </w:r>
          <w:r>
            <w:rPr>
              <w:rFonts w:hint="default" w:ascii="Times New Roman" w:hAnsi="Times New Roman" w:eastAsia="宋体" w:cs="Times New Roman"/>
              <w:bCs w:val="0"/>
              <w:i w:val="0"/>
              <w:iCs w:val="0"/>
              <w:color w:val="auto"/>
              <w:sz w:val="20"/>
              <w:szCs w:val="20"/>
              <w:highlight w:val="none"/>
            </w:rPr>
            <w:t>. 联系方式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_Toc27909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20D38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_Toc19741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第二章  投标人须知</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_Toc19741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9</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0833279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投标人须知前附表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8479E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_Toc19171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附录1  资格审查条件（资质最低</w:t>
          </w:r>
          <w:r>
            <w:rPr>
              <w:rFonts w:hint="default" w:ascii="Times New Roman" w:hAnsi="Times New Roman" w:eastAsia="宋体" w:cs="Times New Roman"/>
              <w:color w:val="auto"/>
              <w:sz w:val="20"/>
              <w:szCs w:val="20"/>
              <w:highlight w:val="none"/>
              <w:lang w:eastAsia="zh-CN"/>
            </w:rPr>
            <w:t>要求</w:t>
          </w:r>
          <w:r>
            <w:rPr>
              <w:rFonts w:hint="default" w:ascii="Times New Roman" w:hAnsi="Times New Roman" w:eastAsia="宋体" w:cs="Times New Roman"/>
              <w:color w:val="auto"/>
              <w:sz w:val="20"/>
              <w:szCs w:val="20"/>
              <w:highlight w:val="none"/>
            </w:rPr>
            <w:t>）</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_Toc19171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9A11B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附录2  资格审查条件（财务最低要求）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_Toc29861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1F004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_Toc30953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 xml:space="preserve">附录3 </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资格审查条件（业绩最低要求）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_Toc30953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FA939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_Toc29363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附录4  资格审查条件（信誉最低要求）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_Toc29363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7EBC1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_Toc4102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附录5  资格审查条件（项目经理和项目总工最低要求）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_Toc4102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807C83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附录6  资格审查条件（其他管理和技术人员最低要求）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_Toc31914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C49E4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_Toc31451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附录7  资格审查条件（主要机械设备和试验检测设备最低要求）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_Toc31451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42304C">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_Toc15905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总则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_Toc15905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F1916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项目概况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_Toc23601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31EAC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_Toc9736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招标项目的资金来源和落实情况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_Toc9736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D8C742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招标范围、计划工期、质量要求和安全目标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03784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_Toc22000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投标人资格要求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_Toc22000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C3E2F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_Toc8417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费用承担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_Toc8417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481FE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保密</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_Toc12508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018854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_Toc26229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语言文字</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_Toc26229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B2F4E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_Toc11584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计量单位</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_Toc11584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53F02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踏勘现场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_Toc6538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20BC4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_Toc27740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1.10 投标预备会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_Toc27740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26D2D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1.11 分包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_Toc24517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5C0C8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_Toc26907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1.12 响应和偏差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_Toc26907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1E1552">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招标文件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_Toc27865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C0FB4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_Toc25358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招标文件的组成</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_Toc25358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DC153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_Toc6673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招标文件的澄清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_Toc6673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E1778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招标文件的修改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_Toc3661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DEF72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招标文件的异议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9F8A38">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_Toc5945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投标文件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_Toc5945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DA57D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_Toc16758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3.1投标文件的组成</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_Toc16758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CBD05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_Toc25498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3.2 投标报价</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_Toc25498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31420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_Toc19241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3.3投标有效期</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_Toc19241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14859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_Toc19805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3.4投标保证金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_Toc19805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0ADA43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3.5资格审查资料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FF59CE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 备选投标方案</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_Toc21591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17C3B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3.7 投标文件的编制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_Toc4837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D8CBA8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_Toc25479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投标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_Toc25479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A1C89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_Toc17200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 投标文件的密封和标记</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_Toc17200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FB3D19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4.2 投标文件的递交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9EF55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4.3 投标文件的修改与撤回</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E4AFA6E">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开标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CB84A5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_Toc2581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 开标时间和地点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_Toc2581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F6917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_Toc8283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5.2开标程序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_Toc8283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70A0B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_Toc29082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 开标补救措施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_Toc29082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C4716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_Toc11803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5.4开标异议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_Toc11803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7AF63A">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_Toc25227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评标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_Toc25227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12F59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_Toc22353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6.1评标委员会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_Toc22353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C2E05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6.2 评标原则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_Toc4844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16BE0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_Toc25028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6.3 评标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_Toc25028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DE135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_Toc16883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合同授予</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_Toc16883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7A72F0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7.1 中标候选人公示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A290D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_Toc27197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7.2 评标结果异议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_Toc27197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016CA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_Toc20027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7.3 中标候选人履约能力审查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_Toc20027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786724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_Toc19093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4 </w:t>
          </w:r>
          <w:r>
            <w:rPr>
              <w:rFonts w:hint="default" w:ascii="Times New Roman" w:hAnsi="Times New Roman" w:eastAsia="宋体" w:cs="Times New Roman"/>
              <w:bCs w:val="0"/>
              <w:i w:val="0"/>
              <w:iCs w:val="0"/>
              <w:color w:val="auto"/>
              <w:sz w:val="20"/>
              <w:szCs w:val="20"/>
              <w:highlight w:val="none"/>
            </w:rPr>
            <w:t>定标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_Toc19093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22564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_Toc4728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5 中标通知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_Toc4728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861B0C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_Toc8745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6 </w:t>
          </w:r>
          <w:r>
            <w:rPr>
              <w:rFonts w:hint="default" w:ascii="Times New Roman" w:hAnsi="Times New Roman" w:eastAsia="宋体" w:cs="Times New Roman"/>
              <w:bCs w:val="0"/>
              <w:i w:val="0"/>
              <w:iCs w:val="0"/>
              <w:color w:val="auto"/>
              <w:sz w:val="20"/>
              <w:szCs w:val="20"/>
              <w:highlight w:val="none"/>
            </w:rPr>
            <w:t>中标</w:t>
          </w:r>
          <w:r>
            <w:rPr>
              <w:rFonts w:hint="default" w:ascii="Times New Roman" w:hAnsi="Times New Roman" w:eastAsia="宋体" w:cs="Times New Roman"/>
              <w:bCs w:val="0"/>
              <w:i w:val="0"/>
              <w:iCs w:val="0"/>
              <w:color w:val="auto"/>
              <w:sz w:val="20"/>
              <w:szCs w:val="20"/>
              <w:highlight w:val="none"/>
              <w:lang w:eastAsia="zh-CN"/>
            </w:rPr>
            <w:t>结果</w:t>
          </w:r>
          <w:r>
            <w:rPr>
              <w:rFonts w:hint="default" w:ascii="Times New Roman" w:hAnsi="Times New Roman" w:eastAsia="宋体" w:cs="Times New Roman"/>
              <w:bCs w:val="0"/>
              <w:i w:val="0"/>
              <w:iCs w:val="0"/>
              <w:color w:val="auto"/>
              <w:sz w:val="20"/>
              <w:szCs w:val="20"/>
              <w:highlight w:val="none"/>
            </w:rPr>
            <w:t>公告</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_Toc8745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25C74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_Toc8824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7 </w:t>
          </w:r>
          <w:r>
            <w:rPr>
              <w:rFonts w:hint="default" w:ascii="Times New Roman" w:hAnsi="Times New Roman" w:eastAsia="宋体" w:cs="Times New Roman"/>
              <w:bCs w:val="0"/>
              <w:i w:val="0"/>
              <w:iCs w:val="0"/>
              <w:color w:val="auto"/>
              <w:sz w:val="20"/>
              <w:szCs w:val="20"/>
              <w:highlight w:val="none"/>
            </w:rPr>
            <w:t>履约</w:t>
          </w:r>
          <w:r>
            <w:rPr>
              <w:rFonts w:hint="default" w:ascii="Times New Roman" w:hAnsi="Times New Roman" w:eastAsia="宋体" w:cs="Times New Roman"/>
              <w:bCs w:val="0"/>
              <w:i w:val="0"/>
              <w:iCs w:val="0"/>
              <w:color w:val="auto"/>
              <w:sz w:val="20"/>
              <w:szCs w:val="20"/>
              <w:highlight w:val="none"/>
              <w:lang w:eastAsia="zh-CN"/>
            </w:rPr>
            <w:t>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_Toc8824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C9E08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 xml:space="preserve"> 签订合同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87104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_Toc11642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 纪律和监督</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_Toc11642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69EA4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.1 对招标人的纪律要求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_Toc30402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D23D55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_Toc31255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.2 对投标人的纪律要求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_Toc31255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4204B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.3 对评标委员会成员的纪律要求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B95FF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_Toc11335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.4 对与评标活动有关的工作人员的纪律要求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_Toc11335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119093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.5 投诉</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_Toc15842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131876">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9</w:t>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需要补充的其他内容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78FB40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一</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 xml:space="preserve">开标记录表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_Toc31950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4CF93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_Toc18880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二</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问题澄清通知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_Toc18880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219EC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三</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问题的澄清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_Toc31852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0DD93C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_Toc22225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四</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中标通知书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_Toc22225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7A5F5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_Toc10728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第三章  评标办法（合理低价法）</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_Toc10728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60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2A1CA30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_Toc8233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 xml:space="preserve">评标办法前附表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_Toc8233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3315C3">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_Toc15748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评标方法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_Toc15748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F26D5E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评审标准</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_Toc27850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C6D11B">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 初步评审标准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FFAF17">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_Toc28400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 分值构成与评分标准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_Toc28400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0C4AA2">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_Toc17186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评标程序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_Toc17186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280DF9">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第一个信封初步评审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_Toc21337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324776F">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3.2</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第二个信封开标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_Toc5399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648EC2">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_Toc18266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3.3</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第二个信封初步评审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_Toc18266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CEF1DB">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3.4</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第二个信封详细评审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_Toc21488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807D2D9">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_Toc29441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投标文件相关信息的核查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_Toc29441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7D68E1">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3.6 投标文件的澄清和说明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_Toc31365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5195608">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7 不得否决投标的情形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A0AE8FB">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lang w:eastAsia="zh-CN"/>
            </w:rPr>
            <w:t>8</w:t>
          </w:r>
          <w:r>
            <w:rPr>
              <w:rFonts w:hint="default" w:ascii="Times New Roman" w:hAnsi="Times New Roman" w:eastAsia="宋体" w:cs="Times New Roman"/>
              <w:color w:val="auto"/>
              <w:sz w:val="20"/>
              <w:szCs w:val="20"/>
              <w:highlight w:val="none"/>
            </w:rPr>
            <w:t xml:space="preserve"> 评标结果</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6AB04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jc w:val="both"/>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_Toc16169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第四章  合同条款及格式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_Toc16169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74</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54C9B22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_Toc8515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color w:val="auto"/>
              <w:sz w:val="20"/>
              <w:szCs w:val="20"/>
              <w:highlight w:val="none"/>
            </w:rPr>
            <w:t>第一节  通用合同条款</w:t>
          </w:r>
          <w:r>
            <w:rPr>
              <w:rFonts w:hint="default" w:ascii="Times New Roman" w:hAnsi="Times New Roman" w:eastAsia="黑体" w:cs="Times New Roman"/>
              <w:color w:val="auto"/>
              <w:sz w:val="20"/>
              <w:szCs w:val="20"/>
              <w:highlight w:val="none"/>
            </w:rPr>
            <w:tab/>
          </w:r>
          <w:r>
            <w:rPr>
              <w:rFonts w:hint="default" w:ascii="Times New Roman" w:hAnsi="Times New Roman" w:eastAsia="黑体" w:cs="Times New Roman"/>
              <w:color w:val="auto"/>
              <w:sz w:val="20"/>
              <w:szCs w:val="20"/>
              <w:highlight w:val="none"/>
            </w:rPr>
            <w:fldChar w:fldCharType="begin"/>
          </w:r>
          <w:r>
            <w:rPr>
              <w:rFonts w:hint="default" w:ascii="Times New Roman" w:hAnsi="Times New Roman" w:eastAsia="黑体" w:cs="Times New Roman"/>
              <w:color w:val="auto"/>
              <w:sz w:val="20"/>
              <w:szCs w:val="20"/>
              <w:highlight w:val="none"/>
            </w:rPr>
            <w:instrText xml:space="preserve"> PAGEREF _Toc8515 \h </w:instrText>
          </w:r>
          <w:r>
            <w:rPr>
              <w:rFonts w:hint="default" w:ascii="Times New Roman" w:hAnsi="Times New Roman" w:eastAsia="黑体" w:cs="Times New Roman"/>
              <w:color w:val="auto"/>
              <w:sz w:val="20"/>
              <w:szCs w:val="20"/>
              <w:highlight w:val="none"/>
            </w:rPr>
            <w:fldChar w:fldCharType="separate"/>
          </w:r>
          <w:r>
            <w:rPr>
              <w:rFonts w:hint="default" w:ascii="Times New Roman" w:hAnsi="Times New Roman" w:eastAsia="黑体" w:cs="Times New Roman"/>
              <w:color w:val="auto"/>
              <w:sz w:val="20"/>
              <w:szCs w:val="20"/>
              <w:highlight w:val="none"/>
            </w:rPr>
            <w:t>75</w:t>
          </w:r>
          <w:r>
            <w:rPr>
              <w:rFonts w:hint="default" w:ascii="Times New Roman" w:hAnsi="Times New Roman" w:eastAsia="黑体" w:cs="Times New Roman"/>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70C6BE5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通用合同条款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53072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_Toc19605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一般约定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_Toc19605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A054C7">
          <w:pPr>
            <w:pStyle w:val="28"/>
            <w:keepNext w:val="0"/>
            <w:keepLines w:val="0"/>
            <w:pageBreakBefore w:val="0"/>
            <w:tabs>
              <w:tab w:val="right" w:pos="2400"/>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_Toc10273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t>词语定义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_Toc10273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1FC6A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_Toc7828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 语言文字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_Toc7828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4AA71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 法律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75D8DB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 合同文件的优先顺序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_Toc3631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2FAFD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 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D76A1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_Toc20779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 图纸和承包人文件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_Toc20779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D9582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_Toc25686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 联络</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_Toc25686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FABED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_Toc5598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 转让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_Toc5598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E031F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 严禁贿赂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0225D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1.10 化石、文物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_Toc24319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B3E89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_Toc13641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专利技术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_Toc13641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FFD27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_Toc16391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1.12 图纸和文件的保密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_Toc16391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6D0F9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发包人义务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_Toc1422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ABCC4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_Toc21730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 遵守法律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_Toc21730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BB47B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 发出开工通知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_Toc21405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38C71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_Toc27640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 提供施工场地</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_Toc27640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85729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_Toc5430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 协助承包人办理证件和批件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_Toc5430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81155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_Toc29377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2.5 组织设计交底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_Toc29377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8F6F0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_Toc32192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2.6 支付合同价款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_Toc32192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27AEA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_Toc9105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2.7 组织竣工验收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_Toc9105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8451F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2.8 其他义务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_Toc2212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1D4EE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监理人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_Toc5384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FB56A6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 监理人的职责和权力</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E66B2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3.2 总监理工程师</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62C5F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_Toc25149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3.3 监理人员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_Toc25149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B69D56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3.4 监理人的指示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_Toc12190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D1FFC5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3.5商定或确定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_Toc3027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8F130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_Toc6619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承包人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_Toc6619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24F17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_Toc30908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_Toc30908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9D976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_Toc11867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4.2 履约担保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_Toc11867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D8FA0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_Toc3877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4.3 分包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_Toc3877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84AB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_Toc16004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4.4联合体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_Toc16004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BC9E88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4.5 承包人项目经理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_Toc30493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258B1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4.6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AA32C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_Toc19924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4.7 撤换承包人项目经理和其他人员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_Toc19924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AA7C29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4.8 保障承包人人员的合法权益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9C8F7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_Toc5051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4.9 工程价款应专款专用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_Toc5051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EDB98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4.10 承包人现场查勘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_Toc7089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83E971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_Toc13491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_Toc13491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D1425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材料和工程设备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_Toc2987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47509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5.1 承包人提供的材料和工程设备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_Toc17077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C276F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5.2 发包人提供的材料和工程设备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_Toc17398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946FE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_Toc32393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5.3 材料和工程设备专用于合同工程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_Toc32393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FF9EB3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5.4 禁止使用不合格的材料和工程设备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CED85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施工设备和临时设施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_Toc26517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7B0CF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_Toc14244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6.1 承包人提供的施工设备和临时设施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_Toc14244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1C66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6.2 发包人提供的施工设备和临时设施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_Toc4812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E3053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6.3 要求承包人增加或更换施工设备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A5878B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6.4 施工设备和临时设施专用于合同工程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_Toc18996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461CE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_Toc18503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交通运输</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_Toc18503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60A11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_Toc16812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7.1 道路通行权和场外设施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_Toc16812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56586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_Toc9296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7.2 场内施工道路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_Toc9296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956C9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_Toc21208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7.3 场外交通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_Toc21208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B3969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_Toc15125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7.4 超大件和超重件的运输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_Toc15125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39164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7.5 道路和桥梁的损坏责任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69100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_Toc25193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7.6 水路和航空运输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_Toc25193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2E50C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_Toc20896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 测量放线</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_Toc20896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67FDF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8.1 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_Toc709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C7D7D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_Toc4204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8.2 施工测量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_Toc4204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8071F7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_Toc27621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8.3 基准资料错误的责任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_Toc27621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4084C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_Toc21794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8.4 监理人使用施工控制网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_Toc21794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4ED918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_Toc19364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 施工安全、治安保卫和环境保护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_Toc19364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CCAEAE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_Toc8674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9.1 发包人的施工安全责任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_Toc8674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75E31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_Toc16523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9.2 承包人的施工安全责任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_Toc16523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1532D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9.3 治安保卫</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57C99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_Toc30186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9.4 环境保护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_Toc30186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A8E52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_Toc25938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9.5 事故处理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_Toc25938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359C0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 进度计划</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_Toc12198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6FEEC5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_Toc6712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_Toc6712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1E9C2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10.2 合同进度计划的修订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ABB056E">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_Toc30089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开工和竣工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_Toc30089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C13E5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_Toc19831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开工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_Toc19831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504CA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_Toc21663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11.2竣工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_Toc21663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7A8614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11.3 发包人的工期延误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_Toc7100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C89C3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2B8EC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_Toc21931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11.5 承包人的工期延误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_Toc21931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A4171C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_Toc4477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11.6 工期提前</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_Toc4477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DC7B1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_Toc6904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暂停施工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_Toc6904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DC65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_Toc4704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_Toc4704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A4D81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12.2 发包人暂停施工的责任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ED487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_Toc18672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12.3 监理人暂停施工指示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_Toc18672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91E42D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_Toc9838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12.4 暂停施工后的复工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_Toc9838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BFE2C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_Toc23504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12.5 暂停施工持续56天以上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_Toc23504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AE37B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_Toc11532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工程质量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_Toc11532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CC9A7C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13.1 工程质量要求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_Toc5217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9B96D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13.2 承包人的质量管理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_Toc32691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4F394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13.3 承包人的质量检查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C875D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13.4 监理人的质量检查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_Toc29172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4A260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_Toc25084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13.5 工程隐蔽部位覆盖前的检查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_Toc25084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7185DB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_Toc30792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13.6 清除不合格工程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_Toc30792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EE14D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_Toc7865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试验和检验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_Toc7865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B975F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_Toc19607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14.1 材料、工程设备和工程的试验和检验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_Toc19607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8DA33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14.2 现场材料试验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_Toc2015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B6AD8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_Toc19986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14.3 现场工艺试验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_Toc19986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E68DC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_Toc32585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变更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_Toc32585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B5A68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_Toc23647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15.1 变更的范围和内容</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_Toc23647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F4F248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_Toc15961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15.2 变更权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_Toc15961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35DF6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_Toc30516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15.3 变更程序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_Toc30516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A47B12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15.4 变更的估价原则</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547DC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15.5 承包人的合理化建议</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_Toc10517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5693F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15.6 暂列金额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_Toc27871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B480A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15.7 计日工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29765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_Toc19722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15.8暂估价</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_Toc19722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D7354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_Toc7147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价格调整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_Toc7147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1DA75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16.1 物价波动引起的价格调整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_Toc29053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D159C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16.2 法律变化引起的价格调整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_Toc5910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5E6478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_Toc11413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计量与支付</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_Toc11413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8D5B14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_Toc11688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17.1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_Toc11688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DAEB4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_Toc10349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17.2 预付款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_Toc10349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940F9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ABBC8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_Toc27494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17.4 质量保证金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_Toc27494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E7760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_Toc26637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17.5 竣工结算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_Toc26637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F2BCC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17.6 最终结清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_Toc13815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B989B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_Toc29576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竣工验收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_Toc29576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F72323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_Toc11287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18.1 竣工验收的含义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_Toc11287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22EAC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_Toc3760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18.2 竣工验收申请报告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_Toc3760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424DA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_Toc30208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18.3 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_Toc30208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F2674C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_Toc11780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18.4 单位工程验收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_Toc11780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06FBD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18.5施工期运行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FBE496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18.6 试运行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CECD1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_Toc26314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18.7 竣工清场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_Toc26314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AD546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18.8施工队伍的撤离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_Toc7517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86CB7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_Toc7332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缺陷责任与保修责任</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_Toc7332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C22A4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19.1 缺陷责任期的起算时间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_Toc29823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68932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_Toc28619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19.2 缺陷责任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_Toc28619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27C82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_Toc10617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19.3 缺陷责任期的延长</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_Toc10617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E2717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_Toc7466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19.4 进一步试验和试运行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_Toc7466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37DBC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19.5 承包人的进入权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38CA5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19.6 缺陷责任期终止证书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_Toc20655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2A120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_Toc21869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19.7 保修责任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_Toc21869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1B36D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_Toc31666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20. 保险</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_Toc31666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F7D1C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20.1工程保险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_Toc2070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55678D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_Toc20291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20.2人员工伤事故的保险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_Toc20291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2BDA7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_Toc14046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20.3 人身意外伤害险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_Toc14046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F966E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20.4 第三者责任险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37F89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_Toc11738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20.5 其他保险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_Toc11738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BC032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20.6 对各项保险的一般要求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3D037E">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不可抗力</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_Toc5907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89E33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_Toc16484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1AEA2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21.2 不可抗力的通知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_Toc29589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1976A8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21.3 不可抗力后果及其处理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_Toc23687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D82D6D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违约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_Toc10830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0A2A11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_Toc13969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7F4CC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_Toc17071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94A70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22.3第三人造成的违约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_Toc5779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67005D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_Toc20829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索赔</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_Toc20829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816EA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_Toc24590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23.1 承包人索赔的提出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_Toc24590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621D7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_Toc3967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23.2 承包人索赔处理程序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_Toc3967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69A57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_Toc25742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23.3 承包人提出索赔的期限</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_Toc25742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FB9DB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23.4 发包人的索赔</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_Toc6508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6B0E2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_Toc30654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 争议的解决</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_Toc30654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8D0F4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_Toc21148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24.1 争议的解决方式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_Toc21148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F4440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_Toc28189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24.2 友好解决</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_Toc28189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F490B5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_Toc28601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24.3 争议评审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_Toc28601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0E4BD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_Toc9532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第二节  专用合同条款</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_Toc9532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120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53F7753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A. 公路工程专用合同条款</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_Toc29088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3253A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_Toc12763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一般约定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_Toc12763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43329D">
          <w:pPr>
            <w:pStyle w:val="28"/>
            <w:keepNext w:val="0"/>
            <w:keepLines w:val="0"/>
            <w:pageBreakBefore w:val="0"/>
            <w:tabs>
              <w:tab w:val="right" w:pos="2400"/>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t>词语定义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F2630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_Toc18641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 合同文件的优先顺序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_Toc18641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0CE39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 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84076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_Toc12395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 图纸和承包人文件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_Toc12395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37339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_Toc16791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 严禁贿赂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_Toc16791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A0F52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发包人义务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_Toc21468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C2FD52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_Toc8131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 提供施工场地</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_Toc8131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D6525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_Toc17755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监理人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_Toc17755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6A888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 监理人的职责和权力</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2435E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3.5商定或确定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_Toc5389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57F81E">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承包人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4348C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_Toc31924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6D041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4.2 履约保证金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9C3E2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_Toc31152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4.3 分包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_Toc31152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FBC795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4.4联合体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_Toc13827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5078B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4.6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0AF7A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_Toc6774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4.7 撤换承包人项目经理和其他人员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_Toc6774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5E9BC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4.9 工程价款应专款专用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2CF52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_Toc23321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4.10 承包人现场查勘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_Toc23321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43061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_Toc29003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D3A351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_Toc6244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4.12 投标文件的完备性</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_Toc6244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BE955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4.13 开展党建工作要求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_Toc31801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DBC9BE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材料和工程设备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_Toc17097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C9C09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_Toc24736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5.2 发包人提供的材料和工程设备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_Toc24736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9CE44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施工设备和临时设施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_Toc7033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C79C7A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_Toc13056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6.1 承包人提供的施工设备和临时设施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_Toc13056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72E204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_Toc17575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6.3 要求承包人增加或更换施工设备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_Toc17575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775E8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交通运输</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_Toc13743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AD671A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_Toc9360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7.1 道路通行权和场外设施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_Toc9360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45DFD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 测量放线</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_Toc13868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987E9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_Toc14863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8.4 监理人使用施工控制网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_Toc14863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D4C00E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 施工安全、治安保卫和环境保护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_Toc18932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CE055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9.2 承包人的施工安全责任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E2B4C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_Toc3892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9.4 环境保护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_Toc3892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E551B6">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_Toc4201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 进度计划</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_Toc4201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01487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_Toc30665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_Toc30665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D78CD8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10.2 合同进度计划的修订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88C48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_Toc6499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10.3 年度施工计划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_Toc6499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F7374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10.4 合同用款计划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5B9A1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_Toc5080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开工和交工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_Toc5080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88897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开工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7A212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_Toc26339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11.3 发包人的工期延误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_Toc26339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96A1B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666AA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11.5 承包人的工期延误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_Toc6870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AF6F3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11.6 工期提前</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84821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_Toc31771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11.7 工作时间的限制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_Toc31771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6DAB4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_Toc32362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暂停施工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_Toc32362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B6027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_Toc26479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_Toc26479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742572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_Toc6010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工程质量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_Toc6010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77A394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_Toc21819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13.1 工程质量要求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_Toc21819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4A15A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_Toc17602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13.2 承包人的质量管理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_Toc17602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6FDFF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13.4 监理人的质量检查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C029D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_Toc16459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13.5 工程隐蔽部位覆盖前的检查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_Toc16459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F1494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_Toc27156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13.6 清除不合格工程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_Toc27156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00BFD2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试验和检验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8DCE5C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_Toc28540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14.4 试验和检验费用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_Toc28540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1EE56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_Toc3751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变更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_Toc3751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A240E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_Toc9262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15.1 变更的范围和内容</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_Toc9262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034F2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15.3 变更程序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_Toc4853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F20062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15.4 变更的估价原则</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_Toc24386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763CA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15.5 承包人的合理化建议</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_Toc31843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C8ED4B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15.6暂列金额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_Toc31508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2600C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_Toc10292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价格调整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_Toc10292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90F7BE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_Toc25323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16.1 物价波动引起的价格调整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_Toc25323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DFA29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计量与支付</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9A139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_Toc10995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17.1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_Toc10995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BA830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17.2 预付款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1B833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_Toc27923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20081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17.4 质量保证金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B15BC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_Toc14691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17.5 交工结算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_Toc14691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053F2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17.6 最终结清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9546BB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_Toc8009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交工验收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_Toc8009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38FB0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_Toc11196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18.2 交工验收申请报告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_Toc11196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61206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_Toc15493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18.3 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_Toc15493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C269C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_Toc7218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18.9 竣工文件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_Toc7218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F0EE4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缺陷责任与保修责任</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_Toc27071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9CE43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_Toc4936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19.2 缺陷责任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_Toc4936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8A705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_Toc6222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19.5 承包人的进入权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_Toc6222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4D3C3F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19.7 保修责任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_Toc7118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57921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20. 保险</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_Toc21318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FEBF5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_Toc14820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20.1工程保险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_Toc14820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A439D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_Toc9762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20.4 第三者责任险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_Toc9762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D64C9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_Toc27537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20.5 其他保险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_Toc27537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77B93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_Toc32122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20.6 对各项保险的一般要求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_Toc32122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973F5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不可抗力</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_Toc24331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11F8E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_Toc31397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740D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21.3 不可抗力后果及其处理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_Toc5219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6DCCF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_Toc14650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违约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_Toc14650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261B4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27955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_Toc15822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E45B8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索赔</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_Toc1579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0130E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23.1 承包人索赔的提出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_Toc16220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4D9DD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_Toc16608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23.2 承包人索赔处理程序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_Toc16608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6B4A6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 争议的解决</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_Toc18749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2EC3B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24.3 争议评审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BF29E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_Toc24990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24.4 仲裁</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_Toc24990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93F5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24.5 仲裁的执行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_Toc9071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434B4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项目专用合同条款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4B59F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_Toc5802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_Toc5802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11C2B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_Toc18399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w:t>
          </w:r>
          <w:r>
            <w:rPr>
              <w:rFonts w:hint="default" w:ascii="Times New Roman" w:hAnsi="Times New Roman" w:eastAsia="宋体" w:cs="Times New Roman"/>
              <w:color w:val="auto"/>
              <w:sz w:val="20"/>
              <w:szCs w:val="20"/>
              <w:highlight w:val="none"/>
              <w:lang w:val="en-US" w:eastAsia="zh-CN"/>
            </w:rPr>
            <w:t>6</w:t>
          </w:r>
          <w:r>
            <w:rPr>
              <w:rFonts w:hint="default" w:ascii="Times New Roman" w:hAnsi="Times New Roman" w:eastAsia="宋体" w:cs="Times New Roman"/>
              <w:color w:val="auto"/>
              <w:sz w:val="20"/>
              <w:szCs w:val="20"/>
              <w:highlight w:val="none"/>
            </w:rPr>
            <w:t xml:space="preserve">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_Toc18399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2FCE1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_Toc9683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_Toc9683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34C48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_Toc6510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A5C58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_Toc12199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26A9D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72369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_Toc30476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w:t>
          </w:r>
          <w:r>
            <w:rPr>
              <w:rFonts w:hint="default" w:ascii="Times New Roman" w:hAnsi="Times New Roman" w:eastAsia="宋体" w:cs="Times New Roman"/>
              <w:color w:val="auto"/>
              <w:sz w:val="20"/>
              <w:szCs w:val="20"/>
              <w:highlight w:val="none"/>
              <w:lang w:eastAsia="zh-CN"/>
            </w:rPr>
            <w:t>7</w:t>
          </w:r>
          <w:r>
            <w:rPr>
              <w:rFonts w:hint="default" w:ascii="Times New Roman" w:hAnsi="Times New Roman" w:eastAsia="宋体" w:cs="Times New Roman"/>
              <w:color w:val="auto"/>
              <w:sz w:val="20"/>
              <w:szCs w:val="20"/>
              <w:highlight w:val="none"/>
            </w:rPr>
            <w:t>.1</w:t>
          </w:r>
          <w:r>
            <w:rPr>
              <w:rFonts w:hint="default" w:ascii="Times New Roman" w:hAnsi="Times New Roman" w:eastAsia="宋体" w:cs="Times New Roman"/>
              <w:color w:val="auto"/>
              <w:sz w:val="20"/>
              <w:szCs w:val="20"/>
              <w:highlight w:val="none"/>
              <w:lang w:eastAsia="zh-CN"/>
            </w:rPr>
            <w:t xml:space="preserve">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_Toc30476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50FC7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_Toc16941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_Toc16941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3C609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_Toc22128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_Toc22128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70557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_Toc21348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CAA8B0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_Toc8006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_Toc8006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968B5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_Toc25493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第三节  合同附件格式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_Toc25493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186</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0702FC0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附件一</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_Toc3639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A61BA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_Toc6478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附件二</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廉政合同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_Toc6478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136BD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附件三</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安全生产合同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_Toc29870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B84D16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附件四</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 xml:space="preserve">其他管理和技术人员最低要求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_Toc30403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26799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_Toc3353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附件五</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主要机械设备和试验检测设备最低要求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_Toc3353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6B4AA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_Toc16392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附件六</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项目经理委任书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_Toc16392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0B0E2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附件八</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工程资金监管协议格式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9D14F0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_Toc22372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第五章  工程量清单</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_Toc22372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199</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315CCA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1275" w:firstLineChars="425"/>
            <w:textAlignment w:val="auto"/>
            <w:rPr>
              <w:rFonts w:hint="default" w:ascii="Times New Roman" w:hAnsi="Times New Roman" w:eastAsia="黑体" w:cs="Times New Roman"/>
              <w:color w:val="auto"/>
              <w:kern w:val="2"/>
              <w:sz w:val="30"/>
              <w:szCs w:val="30"/>
              <w:highlight w:val="none"/>
              <w:lang w:val="en-US" w:eastAsia="zh-CN" w:bidi="ar-SA"/>
            </w:rPr>
          </w:pPr>
        </w:p>
        <w:p w14:paraId="7A70BD7E">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_Toc2859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二  卷</w:t>
          </w:r>
          <w:r>
            <w:rPr>
              <w:rFonts w:hint="default" w:ascii="Times New Roman" w:hAnsi="Times New Roman" w:eastAsia="黑体" w:cs="Times New Roman"/>
              <w:color w:val="auto"/>
              <w:kern w:val="2"/>
              <w:sz w:val="30"/>
              <w:szCs w:val="30"/>
              <w:highlight w:val="none"/>
              <w:lang w:val="en-US" w:eastAsia="zh-CN" w:bidi="ar-SA"/>
            </w:rPr>
            <w:fldChar w:fldCharType="end"/>
          </w:r>
        </w:p>
        <w:p w14:paraId="3B04E38D">
          <w:pPr>
            <w:rPr>
              <w:rFonts w:hint="default"/>
              <w:color w:val="auto"/>
              <w:highlight w:val="none"/>
              <w:lang w:val="en-US" w:eastAsia="zh-CN"/>
            </w:rPr>
          </w:pPr>
        </w:p>
        <w:p w14:paraId="4B3C6BF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_Toc16666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第六章  图纸（另册）</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_Toc16666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228</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2309A31D">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p>
        <w:p w14:paraId="71033052">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_Toc27800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三  卷</w:t>
          </w:r>
          <w:r>
            <w:rPr>
              <w:rFonts w:hint="default" w:ascii="Times New Roman" w:hAnsi="Times New Roman" w:eastAsia="黑体" w:cs="Times New Roman"/>
              <w:color w:val="auto"/>
              <w:kern w:val="2"/>
              <w:sz w:val="30"/>
              <w:szCs w:val="30"/>
              <w:highlight w:val="none"/>
              <w:lang w:val="en-US" w:eastAsia="zh-CN" w:bidi="ar-SA"/>
            </w:rPr>
            <w:fldChar w:fldCharType="end"/>
          </w:r>
        </w:p>
        <w:p w14:paraId="0DB513B6">
          <w:pPr>
            <w:rPr>
              <w:rFonts w:hint="default"/>
              <w:color w:val="auto"/>
              <w:highlight w:val="none"/>
              <w:lang w:val="en-US" w:eastAsia="zh-CN"/>
            </w:rPr>
          </w:pPr>
        </w:p>
        <w:p w14:paraId="28088F9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_Toc18862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第七章  技术规范（另册）</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_Toc18862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230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6D4AB17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_Toc32110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第八章  工程量清单计量规则</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_Toc32110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231</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1A28E198">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p>
        <w:p w14:paraId="2D6BEFF2">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_Toc1042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四  卷</w:t>
          </w:r>
          <w:r>
            <w:rPr>
              <w:rFonts w:hint="default" w:ascii="Times New Roman" w:hAnsi="Times New Roman" w:eastAsia="黑体" w:cs="Times New Roman"/>
              <w:color w:val="auto"/>
              <w:kern w:val="2"/>
              <w:sz w:val="30"/>
              <w:szCs w:val="30"/>
              <w:highlight w:val="none"/>
              <w:lang w:val="en-US" w:eastAsia="zh-CN" w:bidi="ar-SA"/>
            </w:rPr>
            <w:fldChar w:fldCharType="end"/>
          </w:r>
        </w:p>
        <w:p w14:paraId="6814DADC">
          <w:pPr>
            <w:rPr>
              <w:rFonts w:hint="default"/>
              <w:color w:val="auto"/>
              <w:highlight w:val="none"/>
              <w:lang w:val="en-US" w:eastAsia="zh-CN"/>
            </w:rPr>
          </w:pPr>
        </w:p>
        <w:p w14:paraId="15593DB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_Toc16811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第九章  投标文件格式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_Toc16811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233</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E36A12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_Toc11971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目     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_Toc11971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235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745C5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_Toc26238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一、投标函及投标函附录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_Toc26238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678256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_Toc12342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（一） 投 标 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_Toc12342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AF1E1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_Toc30343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（二）投标函附录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_Toc30343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78633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二、授权委托书或法定代表人身份证明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_Toc5786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4E3EA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（一）授权委托书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_Toc1277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D7F898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_Toc5869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（二）法定代表人身份证明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_Toc5869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DD63F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_Toc12038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三、联合体协议书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_Toc12038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085EE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四、投标保证金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_Toc3440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30AA6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五、施工组织设计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CD6FAA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_Toc5183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六、项目管理机构</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_Toc5183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F25C18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七、拟分包项目情况表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CFCAF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八</w:t>
          </w:r>
          <w:r>
            <w:rPr>
              <w:rFonts w:hint="default" w:ascii="Times New Roman" w:hAnsi="Times New Roman" w:eastAsia="宋体" w:cs="Times New Roman"/>
              <w:bCs w:val="0"/>
              <w:i w:val="0"/>
              <w:iCs w:val="0"/>
              <w:color w:val="auto"/>
              <w:sz w:val="20"/>
              <w:szCs w:val="20"/>
              <w:highlight w:val="none"/>
            </w:rPr>
            <w:t>、资格审查资料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_Toc18949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D0503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（一）投标人基本情况表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405D9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（二）投标人企业组织机构框图</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4AC18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_Toc10365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三</w:t>
          </w:r>
          <w:r>
            <w:rPr>
              <w:rFonts w:hint="default" w:ascii="Times New Roman" w:hAnsi="Times New Roman" w:eastAsia="宋体" w:cs="Times New Roman"/>
              <w:bCs w:val="0"/>
              <w:i w:val="0"/>
              <w:iCs w:val="0"/>
              <w:color w:val="auto"/>
              <w:sz w:val="20"/>
              <w:szCs w:val="20"/>
              <w:highlight w:val="none"/>
            </w:rPr>
            <w:t>）近年财务状况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_Toc10365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C3D7FF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_Toc21134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四</w:t>
          </w:r>
          <w:r>
            <w:rPr>
              <w:rFonts w:hint="default" w:ascii="Times New Roman" w:hAnsi="Times New Roman" w:eastAsia="宋体" w:cs="Times New Roman"/>
              <w:bCs w:val="0"/>
              <w:i w:val="0"/>
              <w:iCs w:val="0"/>
              <w:color w:val="auto"/>
              <w:sz w:val="20"/>
              <w:szCs w:val="20"/>
              <w:highlight w:val="none"/>
            </w:rPr>
            <w:t>）近年完成的类似项目情况表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_Toc21134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ACE84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_Toc17918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（五） 投标人的信誉情况表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_Toc17918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C88E12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_Toc13882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（六）拟委任的项目经理和项目总工资历表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_Toc13882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255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4A6E06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_Toc26510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七</w:t>
          </w:r>
          <w:r>
            <w:rPr>
              <w:rFonts w:hint="default" w:ascii="Times New Roman" w:hAnsi="Times New Roman" w:eastAsia="宋体" w:cs="Times New Roman"/>
              <w:bCs w:val="0"/>
              <w:i w:val="0"/>
              <w:iCs w:val="0"/>
              <w:color w:val="auto"/>
              <w:sz w:val="20"/>
              <w:szCs w:val="20"/>
              <w:highlight w:val="none"/>
            </w:rPr>
            <w:t>）拟委任的其他管理和技术人员汇总表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_Toc26510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257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6DCD0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_Toc26724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八</w:t>
          </w:r>
          <w:r>
            <w:rPr>
              <w:rFonts w:hint="default" w:ascii="Times New Roman" w:hAnsi="Times New Roman" w:eastAsia="宋体" w:cs="Times New Roman"/>
              <w:bCs w:val="0"/>
              <w:i w:val="0"/>
              <w:iCs w:val="0"/>
              <w:color w:val="auto"/>
              <w:sz w:val="20"/>
              <w:szCs w:val="20"/>
              <w:highlight w:val="none"/>
            </w:rPr>
            <w:t>）拟委任的其他管理和技术人员资历表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_Toc26724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258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F6425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九</w:t>
          </w:r>
          <w:r>
            <w:rPr>
              <w:rFonts w:hint="default" w:ascii="Times New Roman" w:hAnsi="Times New Roman" w:eastAsia="宋体" w:cs="Times New Roman"/>
              <w:bCs w:val="0"/>
              <w:i w:val="0"/>
              <w:iCs w:val="0"/>
              <w:color w:val="auto"/>
              <w:sz w:val="20"/>
              <w:szCs w:val="20"/>
              <w:highlight w:val="none"/>
            </w:rPr>
            <w:t>） 拟投入本标段的主要施工机械表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_Toc5789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259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80C43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_Toc27702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（十） 拟配备本标段的主要材料试验、测量、质检仪器设备表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_Toc27702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260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A182C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_Toc13139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九</w:t>
          </w:r>
          <w:r>
            <w:rPr>
              <w:rFonts w:hint="default" w:ascii="Times New Roman" w:hAnsi="Times New Roman" w:eastAsia="宋体" w:cs="Times New Roman"/>
              <w:bCs w:val="0"/>
              <w:i w:val="0"/>
              <w:iCs w:val="0"/>
              <w:color w:val="auto"/>
              <w:sz w:val="20"/>
              <w:szCs w:val="20"/>
              <w:highlight w:val="none"/>
            </w:rPr>
            <w:t>、投标人告知承诺函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_Toc13139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261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87CEB3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十</w:t>
          </w:r>
          <w:r>
            <w:rPr>
              <w:rFonts w:hint="default" w:ascii="Times New Roman" w:hAnsi="Times New Roman" w:eastAsia="宋体" w:cs="Times New Roman"/>
              <w:bCs w:val="0"/>
              <w:i w:val="0"/>
              <w:iCs w:val="0"/>
              <w:color w:val="auto"/>
              <w:sz w:val="20"/>
              <w:szCs w:val="20"/>
              <w:highlight w:val="none"/>
            </w:rPr>
            <w:t>、其他</w:t>
          </w:r>
          <w:r>
            <w:rPr>
              <w:rFonts w:hint="default" w:ascii="Times New Roman" w:hAnsi="Times New Roman" w:eastAsia="宋体" w:cs="Times New Roman"/>
              <w:bCs w:val="0"/>
              <w:i w:val="0"/>
              <w:iCs w:val="0"/>
              <w:color w:val="auto"/>
              <w:sz w:val="20"/>
              <w:szCs w:val="20"/>
              <w:highlight w:val="none"/>
              <w:lang w:eastAsia="zh-CN"/>
            </w:rPr>
            <w:t>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_Toc3120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262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8B7781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_Toc9512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一、投标函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_Toc9512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269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C77DA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_Toc9477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二、已标价工程量清单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_Toc9477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270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90A5C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_Toc25809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三、合同用款估算表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_Toc25809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271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B252EB">
          <w:pPr>
            <w:keepNext w:val="0"/>
            <w:keepLines w:val="0"/>
            <w:pageBreakBefore w:val="0"/>
            <w:kinsoku/>
            <w:wordWrap w:val="0"/>
            <w:overflowPunct/>
            <w:topLinePunct w:val="0"/>
            <w:autoSpaceDE/>
            <w:autoSpaceDN/>
            <w:bidi w:val="0"/>
            <w:adjustRightInd/>
            <w:snapToGrid/>
            <w:spacing w:line="440" w:lineRule="exact"/>
            <w:ind w:left="590" w:leftChars="281"/>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Cs w:val="0"/>
              <w:i w:val="0"/>
              <w:iCs w:val="0"/>
              <w:color w:val="auto"/>
              <w:sz w:val="20"/>
              <w:szCs w:val="20"/>
              <w:highlight w:val="none"/>
            </w:rPr>
            <w:fldChar w:fldCharType="end"/>
          </w:r>
        </w:p>
      </w:sdtContent>
    </w:sdt>
    <w:p w14:paraId="4D83CD32">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05B24DBA">
      <w:pPr>
        <w:pageBreakBefore w:val="0"/>
        <w:kinsoku/>
        <w:wordWrap w:val="0"/>
        <w:bidi w:val="0"/>
        <w:spacing w:line="352" w:lineRule="atLeast"/>
        <w:rPr>
          <w:rFonts w:hint="default" w:ascii="Times New Roman" w:hAnsi="Times New Roman" w:eastAsia="楷体_GB2312" w:cs="Times New Roman"/>
          <w:color w:val="auto"/>
          <w:szCs w:val="21"/>
          <w:highlight w:val="none"/>
        </w:rPr>
        <w:sectPr>
          <w:headerReference r:id="rId8" w:type="default"/>
          <w:footerReference r:id="rId9" w:type="default"/>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p>
    <w:p w14:paraId="5B5CB95E">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267491B3">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37AE4ECA">
      <w:pPr>
        <w:pageBreakBefore w:val="0"/>
        <w:kinsoku/>
        <w:wordWrap w:val="0"/>
        <w:bidi w:val="0"/>
        <w:spacing w:line="352" w:lineRule="atLeast"/>
        <w:rPr>
          <w:rFonts w:hint="default" w:ascii="Times New Roman" w:hAnsi="Times New Roman" w:eastAsia="黑体" w:cs="Times New Roman"/>
          <w:color w:val="auto"/>
          <w:sz w:val="29"/>
          <w:szCs w:val="29"/>
          <w:highlight w:val="none"/>
        </w:rPr>
      </w:pPr>
    </w:p>
    <w:p w14:paraId="6EB651A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F2F00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C11838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4AC6EF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0C710F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7038AC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8AC581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D2A69F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0997632">
      <w:pPr>
        <w:keepNext w:val="0"/>
        <w:keepLines w:val="0"/>
        <w:pageBreakBefore w:val="0"/>
        <w:widowControl w:val="0"/>
        <w:kinsoku/>
        <w:wordWrap w:val="0"/>
        <w:overflowPunct/>
        <w:topLinePunct/>
        <w:autoSpaceDE/>
        <w:autoSpaceDN/>
        <w:bidi w:val="0"/>
        <w:adjustRightInd/>
        <w:snapToGrid/>
        <w:spacing w:line="240" w:lineRule="atLeast"/>
        <w:ind w:right="31" w:rightChars="15"/>
        <w:jc w:val="center"/>
        <w:textAlignment w:val="auto"/>
        <w:outlineLvl w:val="0"/>
        <w:rPr>
          <w:rFonts w:hint="default" w:ascii="Times New Roman" w:hAnsi="Times New Roman" w:eastAsia="黑体" w:cs="Times New Roman"/>
          <w:color w:val="auto"/>
          <w:sz w:val="76"/>
          <w:szCs w:val="76"/>
          <w:highlight w:val="none"/>
        </w:rPr>
      </w:pPr>
      <w:bookmarkStart w:id="0" w:name="_Toc14869"/>
      <w:r>
        <w:rPr>
          <w:rFonts w:hint="default" w:ascii="Times New Roman" w:hAnsi="Times New Roman" w:eastAsia="黑体" w:cs="Times New Roman"/>
          <w:color w:val="auto"/>
          <w:sz w:val="76"/>
          <w:szCs w:val="76"/>
          <w:highlight w:val="none"/>
        </w:rPr>
        <w:t>第  一  卷</w:t>
      </w:r>
      <w:bookmarkEnd w:id="0"/>
    </w:p>
    <w:p w14:paraId="42538CD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sectPr>
          <w:headerReference r:id="rId10" w:type="default"/>
          <w:footerReference r:id="rId11" w:type="default"/>
          <w:footerReference r:id="rId12"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40131658">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4E74C5B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405EAA6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EE32B8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117A8A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32798F9">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5158033">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384FF5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B43240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793D78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2081B51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7B20ABA2">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color w:val="auto"/>
          <w:sz w:val="56"/>
          <w:szCs w:val="56"/>
          <w:highlight w:val="none"/>
        </w:rPr>
      </w:pPr>
      <w:bookmarkStart w:id="1" w:name="_Toc32078"/>
      <w:bookmarkStart w:id="2" w:name="_Toc15626"/>
      <w:bookmarkStart w:id="3" w:name="_Toc16041"/>
      <w:bookmarkStart w:id="4" w:name="_Toc27722"/>
      <w:r>
        <w:rPr>
          <w:rFonts w:hint="default" w:ascii="Times New Roman" w:hAnsi="Times New Roman" w:eastAsia="黑体" w:cs="Times New Roman"/>
          <w:color w:val="auto"/>
          <w:sz w:val="56"/>
          <w:szCs w:val="56"/>
          <w:highlight w:val="none"/>
        </w:rPr>
        <w:t>第一章  招标公告</w:t>
      </w:r>
      <w:bookmarkEnd w:id="1"/>
      <w:bookmarkEnd w:id="2"/>
      <w:bookmarkEnd w:id="3"/>
      <w:bookmarkEnd w:id="4"/>
    </w:p>
    <w:p w14:paraId="5B471C6D">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0657DE50">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footerReference r:id="rId13" w:type="default"/>
          <w:footerReference r:id="rId14"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51E4F1F">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color w:val="auto"/>
          <w:sz w:val="42"/>
          <w:szCs w:val="42"/>
          <w:highlight w:val="none"/>
        </w:rPr>
      </w:pPr>
      <w:bookmarkStart w:id="5" w:name="_Toc234832844"/>
      <w:bookmarkStart w:id="6" w:name="_Toc5317"/>
      <w:bookmarkStart w:id="7" w:name="_Toc4069"/>
      <w:bookmarkStart w:id="8" w:name="_Toc3148"/>
      <w:bookmarkStart w:id="9" w:name="_Toc15669"/>
      <w:r>
        <w:rPr>
          <w:rStyle w:val="53"/>
          <w:rFonts w:hint="default" w:ascii="Times New Roman" w:hAnsi="Times New Roman" w:eastAsia="黑体" w:cs="Times New Roman"/>
          <w:color w:val="auto"/>
          <w:sz w:val="42"/>
          <w:szCs w:val="42"/>
          <w:highlight w:val="none"/>
        </w:rPr>
        <w:t>第一章  招标公告</w:t>
      </w:r>
      <w:bookmarkEnd w:id="5"/>
      <w:bookmarkEnd w:id="6"/>
      <w:bookmarkEnd w:id="7"/>
      <w:r>
        <w:rPr>
          <w:rStyle w:val="47"/>
          <w:rFonts w:hint="default" w:ascii="Times New Roman" w:hAnsi="Times New Roman" w:eastAsia="黑体" w:cs="Times New Roman"/>
          <w:color w:val="auto"/>
          <w:sz w:val="42"/>
          <w:szCs w:val="42"/>
          <w:highlight w:val="none"/>
        </w:rPr>
        <w:footnoteReference w:id="0"/>
      </w:r>
      <w:bookmarkEnd w:id="8"/>
      <w:bookmarkEnd w:id="9"/>
    </w:p>
    <w:p w14:paraId="0109CF7F">
      <w:pPr>
        <w:pageBreakBefore w:val="0"/>
        <w:tabs>
          <w:tab w:val="center" w:pos="4153"/>
        </w:tabs>
        <w:kinsoku/>
        <w:wordWrap w:val="0"/>
        <w:bidi w:val="0"/>
        <w:spacing w:line="440" w:lineRule="exact"/>
        <w:jc w:val="center"/>
        <w:rPr>
          <w:rFonts w:hint="default" w:ascii="Times New Roman" w:hAnsi="Times New Roman" w:eastAsia="黑体" w:cs="Times New Roman"/>
          <w:color w:val="auto"/>
          <w:sz w:val="17"/>
          <w:szCs w:val="17"/>
          <w:highlight w:val="none"/>
        </w:rPr>
      </w:pPr>
    </w:p>
    <w:p w14:paraId="1350D7A6">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eastAsia" w:eastAsia="黑体" w:cs="Times New Roman"/>
          <w:color w:val="auto"/>
          <w:sz w:val="28"/>
          <w:szCs w:val="28"/>
          <w:highlight w:val="none"/>
          <w:lang w:eastAsia="zh-CN"/>
        </w:rPr>
        <w:t>营口市庄西线（太阳升至桥南段）修复养护工程（</w:t>
      </w:r>
      <w:r>
        <w:rPr>
          <w:rFonts w:hint="default" w:ascii="Times New Roman" w:hAnsi="Times New Roman" w:eastAsia="黑体" w:cs="Times New Roman"/>
          <w:color w:val="auto"/>
          <w:sz w:val="28"/>
          <w:szCs w:val="28"/>
          <w:highlight w:val="none"/>
        </w:rPr>
        <w:t>项目名称）</w:t>
      </w:r>
    </w:p>
    <w:p w14:paraId="63C2150F">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eastAsia" w:eastAsia="黑体" w:cs="Times New Roman"/>
          <w:color w:val="auto"/>
          <w:sz w:val="28"/>
          <w:szCs w:val="28"/>
          <w:highlight w:val="none"/>
          <w:lang w:eastAsia="zh-CN"/>
        </w:rPr>
        <w:t>营口市庄西线（太阳升至桥南段）修复养护工程</w:t>
      </w:r>
      <w:r>
        <w:rPr>
          <w:rFonts w:hint="default" w:ascii="Times New Roman" w:hAnsi="Times New Roman" w:eastAsia="黑体" w:cs="Times New Roman"/>
          <w:color w:val="auto"/>
          <w:sz w:val="28"/>
          <w:szCs w:val="28"/>
          <w:highlight w:val="none"/>
        </w:rPr>
        <w:t>施工</w:t>
      </w:r>
      <w:r>
        <w:rPr>
          <w:rFonts w:hint="default" w:ascii="Times New Roman" w:hAnsi="Times New Roman" w:eastAsia="黑体" w:cs="Times New Roman"/>
          <w:b w:val="0"/>
          <w:bCs w:val="0"/>
          <w:color w:val="auto"/>
          <w:sz w:val="28"/>
          <w:szCs w:val="28"/>
          <w:highlight w:val="none"/>
        </w:rPr>
        <w:t>（</w:t>
      </w:r>
      <w:r>
        <w:rPr>
          <w:rFonts w:hint="default" w:ascii="Times New Roman" w:hAnsi="Times New Roman" w:eastAsia="黑体" w:cs="Times New Roman"/>
          <w:b w:val="0"/>
          <w:bCs w:val="0"/>
          <w:color w:val="auto"/>
          <w:sz w:val="28"/>
          <w:szCs w:val="28"/>
          <w:highlight w:val="none"/>
          <w:lang w:val="en-US" w:eastAsia="zh-CN"/>
        </w:rPr>
        <w:t>标段</w:t>
      </w:r>
      <w:r>
        <w:rPr>
          <w:rFonts w:hint="default" w:ascii="Times New Roman" w:hAnsi="Times New Roman" w:eastAsia="黑体" w:cs="Times New Roman"/>
          <w:b w:val="0"/>
          <w:bCs w:val="0"/>
          <w:color w:val="auto"/>
          <w:sz w:val="28"/>
          <w:szCs w:val="28"/>
          <w:highlight w:val="none"/>
        </w:rPr>
        <w:t>名称）</w:t>
      </w:r>
    </w:p>
    <w:p w14:paraId="4BE2B6C3">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招标公告</w:t>
      </w:r>
      <w:r>
        <w:rPr>
          <w:rStyle w:val="47"/>
          <w:rFonts w:hint="default" w:ascii="Times New Roman" w:hAnsi="Times New Roman" w:eastAsia="黑体" w:cs="Times New Roman"/>
          <w:color w:val="auto"/>
          <w:sz w:val="28"/>
          <w:szCs w:val="28"/>
          <w:highlight w:val="none"/>
        </w:rPr>
        <w:footnoteReference w:id="1"/>
      </w:r>
    </w:p>
    <w:p w14:paraId="061E2B9F">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011D86FB">
      <w:pPr>
        <w:pStyle w:val="2"/>
        <w:pageBreakBefore w:val="0"/>
        <w:kinsoku/>
        <w:wordWrap w:val="0"/>
        <w:bidi w:val="0"/>
        <w:spacing w:before="240" w:after="240" w:line="240" w:lineRule="atLeast"/>
        <w:outlineLvl w:val="1"/>
        <w:rPr>
          <w:rFonts w:hint="default" w:ascii="Times New Roman" w:hAnsi="Times New Roman" w:cs="Times New Roman"/>
          <w:color w:val="auto"/>
          <w:sz w:val="28"/>
          <w:szCs w:val="28"/>
          <w:highlight w:val="none"/>
        </w:rPr>
      </w:pPr>
      <w:bookmarkStart w:id="10" w:name="_Toc7389"/>
      <w:bookmarkStart w:id="11" w:name="_Toc15922"/>
      <w:bookmarkStart w:id="12" w:name="_Toc3647"/>
      <w:bookmarkStart w:id="13" w:name="_Toc470760973"/>
      <w:r>
        <w:rPr>
          <w:rFonts w:hint="default" w:ascii="Times New Roman" w:hAnsi="Times New Roman" w:cs="Times New Roman"/>
          <w:color w:val="auto"/>
          <w:sz w:val="28"/>
          <w:szCs w:val="28"/>
          <w:highlight w:val="none"/>
        </w:rPr>
        <w:t xml:space="preserve">1. </w:t>
      </w:r>
      <w:r>
        <w:rPr>
          <w:rFonts w:hint="default" w:ascii="Times New Roman" w:hAnsi="Times New Roman" w:eastAsia="黑体" w:cs="Times New Roman"/>
          <w:color w:val="auto"/>
          <w:sz w:val="28"/>
          <w:szCs w:val="28"/>
          <w:highlight w:val="none"/>
        </w:rPr>
        <w:t>招标条件</w:t>
      </w:r>
      <w:bookmarkEnd w:id="10"/>
      <w:bookmarkEnd w:id="11"/>
      <w:bookmarkEnd w:id="12"/>
      <w:bookmarkEnd w:id="13"/>
    </w:p>
    <w:p w14:paraId="2A8BE1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本招标项目</w:t>
      </w:r>
      <w:r>
        <w:rPr>
          <w:rFonts w:hint="eastAsia" w:cs="Times New Roman"/>
          <w:color w:val="auto"/>
          <w:sz w:val="24"/>
          <w:highlight w:val="none"/>
          <w:u w:val="single"/>
          <w:lang w:eastAsia="zh-CN"/>
        </w:rPr>
        <w:t>营口市庄西线（太阳升至桥南段）修复养护工程</w:t>
      </w:r>
      <w:r>
        <w:rPr>
          <w:rFonts w:hint="default" w:ascii="Times New Roman" w:hAnsi="Times New Roman" w:cs="Times New Roman"/>
          <w:color w:val="auto"/>
          <w:sz w:val="24"/>
          <w:highlight w:val="none"/>
        </w:rPr>
        <w:t>已由辽宁省交通运输厅</w:t>
      </w:r>
      <w:r>
        <w:rPr>
          <w:rFonts w:hint="default" w:ascii="Times New Roman" w:hAnsi="Times New Roman" w:cs="Times New Roman"/>
          <w:color w:val="auto"/>
          <w:sz w:val="24"/>
          <w:highlight w:val="none"/>
          <w:lang w:val="en-US" w:eastAsia="zh-CN"/>
        </w:rPr>
        <w:t>以</w:t>
      </w:r>
      <w:r>
        <w:rPr>
          <w:rFonts w:hint="default" w:ascii="Times New Roman" w:hAnsi="Times New Roman" w:cs="Times New Roman"/>
          <w:color w:val="auto"/>
          <w:sz w:val="24"/>
          <w:highlight w:val="none"/>
        </w:rPr>
        <w:t>《辽宁省交通运输厅关于下达202</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全省</w:t>
      </w:r>
      <w:r>
        <w:rPr>
          <w:rFonts w:hint="default" w:ascii="Times New Roman" w:hAnsi="Times New Roman" w:cs="Times New Roman"/>
          <w:color w:val="auto"/>
          <w:sz w:val="24"/>
          <w:highlight w:val="none"/>
          <w:lang w:val="en-US" w:eastAsia="zh-CN"/>
        </w:rPr>
        <w:t>交通运输</w:t>
      </w:r>
      <w:r>
        <w:rPr>
          <w:rFonts w:hint="default" w:ascii="Times New Roman" w:hAnsi="Times New Roman" w:cs="Times New Roman"/>
          <w:color w:val="auto"/>
          <w:sz w:val="24"/>
          <w:highlight w:val="none"/>
        </w:rPr>
        <w:t>生产建设投资计划（第一批）的通知》（辽交规划【202</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号）批准建设，施工图设计已由辽宁省交通运输事业发展中心</w:t>
      </w:r>
      <w:r>
        <w:rPr>
          <w:rFonts w:hint="default" w:ascii="Times New Roman" w:hAnsi="Times New Roman" w:cs="Times New Roman"/>
          <w:color w:val="auto"/>
          <w:sz w:val="24"/>
          <w:highlight w:val="none"/>
          <w:lang w:val="en-US" w:eastAsia="zh-CN"/>
        </w:rPr>
        <w:t>以</w:t>
      </w:r>
      <w:r>
        <w:rPr>
          <w:rFonts w:hint="default" w:ascii="Times New Roman" w:hAnsi="Times New Roman" w:cs="Times New Roman"/>
          <w:color w:val="auto"/>
          <w:sz w:val="24"/>
          <w:highlight w:val="none"/>
        </w:rPr>
        <w:t>《辽宁省交通运输事业发展中心关于</w:t>
      </w:r>
      <w:r>
        <w:rPr>
          <w:rFonts w:hint="eastAsia" w:cs="Times New Roman"/>
          <w:color w:val="auto"/>
          <w:sz w:val="24"/>
          <w:highlight w:val="none"/>
          <w:lang w:val="en-US" w:eastAsia="zh-CN"/>
        </w:rPr>
        <w:t>关于</w:t>
      </w:r>
      <w:r>
        <w:rPr>
          <w:rFonts w:hint="eastAsia" w:cs="Times New Roman"/>
          <w:color w:val="auto"/>
          <w:sz w:val="24"/>
          <w:highlight w:val="none"/>
          <w:lang w:eastAsia="zh-CN"/>
        </w:rPr>
        <w:t>营口市庄西线（太阳升至桥南段）修复养护工程</w:t>
      </w:r>
      <w:r>
        <w:rPr>
          <w:rFonts w:hint="default" w:ascii="Times New Roman" w:hAnsi="Times New Roman" w:cs="Times New Roman"/>
          <w:color w:val="auto"/>
          <w:sz w:val="24"/>
          <w:highlight w:val="none"/>
        </w:rPr>
        <w:t>施工图设计的审查意见》以（辽交发展工程【202</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186</w:t>
      </w:r>
      <w:r>
        <w:rPr>
          <w:rFonts w:hint="default" w:ascii="Times New Roman" w:hAnsi="Times New Roman" w:cs="Times New Roman"/>
          <w:color w:val="auto"/>
          <w:sz w:val="24"/>
          <w:highlight w:val="none"/>
        </w:rPr>
        <w:t>号）批准，项目业主为辽宁省交通运输事业发展中心，建设资金来自省计划投资，出资比例为</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100%</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eastAsia"/>
          <w:color w:val="auto"/>
          <w:sz w:val="24"/>
          <w:highlight w:val="none"/>
          <w:lang w:eastAsia="zh"/>
        </w:rPr>
        <w:t>本项目施工的</w:t>
      </w:r>
      <w:r>
        <w:rPr>
          <w:rFonts w:hint="default" w:ascii="Times New Roman" w:hAnsi="Times New Roman" w:cs="Times New Roman"/>
          <w:color w:val="auto"/>
          <w:sz w:val="24"/>
          <w:highlight w:val="none"/>
        </w:rPr>
        <w:t>招标人为</w:t>
      </w:r>
      <w:r>
        <w:rPr>
          <w:rFonts w:hint="eastAsia" w:cs="Times New Roman"/>
          <w:color w:val="auto"/>
          <w:sz w:val="24"/>
          <w:highlight w:val="none"/>
          <w:lang w:val="en-US" w:eastAsia="zh-CN"/>
        </w:rPr>
        <w:t>盖州</w:t>
      </w:r>
      <w:r>
        <w:rPr>
          <w:rFonts w:hint="default" w:ascii="Times New Roman" w:hAnsi="Times New Roman" w:cs="Times New Roman"/>
          <w:color w:val="auto"/>
          <w:sz w:val="24"/>
          <w:highlight w:val="none"/>
        </w:rPr>
        <w:t xml:space="preserve">市交通运务服务中心。项目已具备招标条件，现对该项目的施工进行公开招标。 </w:t>
      </w:r>
    </w:p>
    <w:p w14:paraId="5D505BC1">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14" w:name="_Toc1515"/>
      <w:bookmarkStart w:id="15" w:name="_Toc20166"/>
      <w:bookmarkStart w:id="16" w:name="_Toc470760974"/>
      <w:bookmarkStart w:id="17" w:name="_Toc16754"/>
      <w:r>
        <w:rPr>
          <w:rFonts w:hint="default" w:ascii="Times New Roman" w:hAnsi="Times New Roman" w:eastAsia="黑体" w:cs="Times New Roman"/>
          <w:color w:val="auto"/>
          <w:sz w:val="28"/>
          <w:szCs w:val="28"/>
          <w:highlight w:val="none"/>
        </w:rPr>
        <w:t>2. 项目概况与招标范围</w:t>
      </w:r>
      <w:bookmarkEnd w:id="14"/>
      <w:bookmarkEnd w:id="15"/>
      <w:bookmarkEnd w:id="16"/>
      <w:bookmarkEnd w:id="17"/>
    </w:p>
    <w:p w14:paraId="5622AE35">
      <w:pPr>
        <w:pageBreakBefore w:val="0"/>
        <w:kinsoku/>
        <w:wordWrap w:val="0"/>
        <w:bidi w:val="0"/>
        <w:spacing w:line="400" w:lineRule="atLeast"/>
        <w:ind w:firstLine="480" w:firstLineChars="200"/>
        <w:rPr>
          <w:rFonts w:hint="eastAsia" w:cs="Times New Roman"/>
          <w:color w:val="auto"/>
          <w:sz w:val="24"/>
          <w:highlight w:val="none"/>
          <w:lang w:val="en-US" w:eastAsia="zh-CN"/>
        </w:rPr>
      </w:pPr>
      <w:bookmarkStart w:id="18" w:name="_Toc470760975"/>
      <w:bookmarkStart w:id="19" w:name="_Toc1575"/>
      <w:bookmarkStart w:id="20" w:name="_Toc9236"/>
      <w:bookmarkStart w:id="21" w:name="_Toc29935"/>
      <w:r>
        <w:rPr>
          <w:rFonts w:hint="eastAsia" w:ascii="Times New Roman" w:hAnsi="Times New Roman" w:cs="Times New Roman"/>
          <w:color w:val="auto"/>
          <w:sz w:val="24"/>
          <w:highlight w:val="none"/>
        </w:rPr>
        <w:t>2.1</w:t>
      </w:r>
      <w:r>
        <w:rPr>
          <w:rFonts w:hint="eastAsia" w:ascii="Times New Roman" w:hAnsi="Times New Roman" w:cs="Times New Roman"/>
          <w:color w:val="auto"/>
          <w:sz w:val="24"/>
          <w:highlight w:val="none"/>
          <w:lang w:val="en-US" w:eastAsia="zh-CN"/>
        </w:rPr>
        <w:t xml:space="preserve">  </w:t>
      </w:r>
      <w:r>
        <w:rPr>
          <w:rFonts w:hint="eastAsia" w:cs="Times New Roman"/>
          <w:color w:val="auto"/>
          <w:sz w:val="24"/>
          <w:highlight w:val="none"/>
          <w:lang w:val="en-US" w:eastAsia="zh-CN"/>
        </w:rPr>
        <w:t>工程概况</w:t>
      </w:r>
    </w:p>
    <w:p w14:paraId="6955DA45">
      <w:pPr>
        <w:pageBreakBefore w:val="0"/>
        <w:kinsoku/>
        <w:wordWrap w:val="0"/>
        <w:bidi w:val="0"/>
        <w:spacing w:line="400" w:lineRule="atLeas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该工程位于国道庄西线营口市盖州市境内。路线起于太阳升,终于桥南,设计桩号为K115+404-K119+154,全 长3.75公 里。</w:t>
      </w:r>
    </w:p>
    <w:p w14:paraId="048AD1A4">
      <w:pPr>
        <w:pageBreakBefore w:val="0"/>
        <w:kinsoku/>
        <w:wordWrap w:val="0"/>
        <w:bidi w:val="0"/>
        <w:spacing w:line="400" w:lineRule="atLeas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该路段 2009年 大修,路面结构为 7厘 米沥青混凝上面层,38厘米水泥稳定砂砾基层,2013年加铺 3厘米改性沥青混凝土,2023年加铺 1厘米改性乳化沥青稀浆封层。</w:t>
      </w:r>
    </w:p>
    <w:p w14:paraId="3B3EFD3B">
      <w:pPr>
        <w:pageBreakBefore w:val="0"/>
        <w:kinsoku/>
        <w:wordWrap w:val="0"/>
        <w:bidi w:val="0"/>
        <w:spacing w:line="400" w:lineRule="atLeas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目前该路段病害以纵横缝为主,局 部路段存在龟裂和车辙等病害,为 了改善公路的使用状况,延长公路使用寿命提高行车舒适性,对原路进行修复养护处理。</w:t>
      </w:r>
    </w:p>
    <w:p w14:paraId="5B7A8883">
      <w:pPr>
        <w:pageBreakBefore w:val="0"/>
        <w:kinsoku/>
        <w:wordWrap w:val="0"/>
        <w:bidi w:val="0"/>
        <w:spacing w:line="400" w:lineRule="atLeast"/>
        <w:ind w:firstLine="480" w:firstLineChars="200"/>
        <w:rPr>
          <w:rFonts w:hint="eastAsia" w:cs="Times New Roman"/>
          <w:color w:val="auto"/>
          <w:sz w:val="24"/>
          <w:highlight w:val="none"/>
          <w:lang w:eastAsia="zh-CN"/>
        </w:rPr>
      </w:pPr>
      <w:r>
        <w:rPr>
          <w:rFonts w:hint="eastAsia"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rPr>
        <w:t>标段划分：本项目划分1个标段</w:t>
      </w:r>
      <w:r>
        <w:rPr>
          <w:rFonts w:hint="eastAsia" w:cs="Times New Roman"/>
          <w:color w:val="auto"/>
          <w:sz w:val="24"/>
          <w:highlight w:val="none"/>
          <w:lang w:eastAsia="zh-CN"/>
        </w:rPr>
        <w:t>。</w:t>
      </w:r>
    </w:p>
    <w:p w14:paraId="15FA6CF5">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2.3</w:t>
      </w:r>
      <w:r>
        <w:rPr>
          <w:rFonts w:hint="eastAsia" w:ascii="Times New Roman" w:hAnsi="Times New Roman" w:cs="Times New Roman"/>
          <w:color w:val="auto"/>
          <w:sz w:val="24"/>
          <w:highlight w:val="none"/>
        </w:rPr>
        <w:t>招标范围</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招标范围为</w:t>
      </w:r>
      <w:r>
        <w:rPr>
          <w:rFonts w:hint="eastAsia" w:ascii="Times New Roman" w:hAnsi="Times New Roman" w:cs="Times New Roman"/>
          <w:color w:val="auto"/>
          <w:sz w:val="24"/>
          <w:highlight w:val="none"/>
          <w:lang w:eastAsia="zh-CN"/>
        </w:rPr>
        <w:t>营口市庄西线（太阳升至桥南段）修复养护工程</w:t>
      </w:r>
      <w:r>
        <w:rPr>
          <w:rFonts w:hint="default" w:ascii="Times New Roman" w:hAnsi="Times New Roman" w:cs="Times New Roman"/>
          <w:color w:val="auto"/>
          <w:sz w:val="24"/>
          <w:highlight w:val="none"/>
        </w:rPr>
        <w:t>施工</w:t>
      </w:r>
      <w:r>
        <w:rPr>
          <w:rFonts w:hint="eastAsia" w:ascii="Times New Roman" w:hAnsi="Times New Roman" w:cs="Times New Roman"/>
          <w:color w:val="auto"/>
          <w:sz w:val="24"/>
          <w:highlight w:val="none"/>
        </w:rPr>
        <w:t>图纸中全部内容的实施、完成及缺陷修复，具体内容详见工程量清单及施工图纸。</w:t>
      </w:r>
    </w:p>
    <w:p w14:paraId="507AE6D3">
      <w:pPr>
        <w:pageBreakBefore w:val="0"/>
        <w:kinsoku/>
        <w:wordWrap w:val="0"/>
        <w:bidi w:val="0"/>
        <w:spacing w:line="400" w:lineRule="atLeast"/>
        <w:ind w:firstLine="480" w:firstLineChars="200"/>
        <w:rPr>
          <w:rFonts w:hint="eastAsia" w:ascii="宋体" w:hAnsi="宋体" w:eastAsia="宋体" w:cs="宋体"/>
          <w:sz w:val="20"/>
          <w:szCs w:val="20"/>
          <w:highlight w:val="none"/>
        </w:rPr>
      </w:pPr>
      <w:r>
        <w:rPr>
          <w:rFonts w:hint="eastAsia" w:ascii="Times New Roman" w:hAnsi="Times New Roman" w:cs="Times New Roman"/>
          <w:color w:val="auto"/>
          <w:sz w:val="24"/>
          <w:highlight w:val="none"/>
        </w:rPr>
        <w:t>2.</w:t>
      </w:r>
      <w:r>
        <w:rPr>
          <w:rFonts w:hint="eastAsia" w:cs="Times New Roman"/>
          <w:color w:val="auto"/>
          <w:sz w:val="24"/>
          <w:highlight w:val="none"/>
          <w:lang w:val="en-US" w:eastAsia="zh-CN"/>
        </w:rPr>
        <w:t>4</w:t>
      </w:r>
      <w:r>
        <w:rPr>
          <w:rFonts w:hint="eastAsia"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lang w:val="en-US" w:eastAsia="zh-CN"/>
        </w:rPr>
        <w:t xml:space="preserve"> </w:t>
      </w:r>
      <w:r>
        <w:rPr>
          <w:rFonts w:hint="eastAsia" w:ascii="宋体" w:hAnsi="宋体" w:eastAsia="宋体" w:cs="宋体"/>
          <w:b/>
          <w:bCs/>
          <w:sz w:val="20"/>
          <w:szCs w:val="20"/>
          <w:highlight w:val="none"/>
        </w:rPr>
        <w:t>计划</w:t>
      </w:r>
      <w:r>
        <w:rPr>
          <w:rFonts w:hint="eastAsia" w:ascii="宋体" w:hAnsi="宋体" w:eastAsia="宋体" w:cs="宋体"/>
          <w:b/>
          <w:bCs/>
          <w:sz w:val="20"/>
          <w:szCs w:val="20"/>
          <w:highlight w:val="none"/>
        </w:rPr>
        <w:t>工期</w:t>
      </w:r>
      <w:r>
        <w:rPr>
          <w:rFonts w:hint="eastAsia" w:ascii="宋体" w:hAnsi="宋体" w:eastAsia="宋体" w:cs="宋体"/>
          <w:sz w:val="20"/>
          <w:szCs w:val="20"/>
          <w:highlight w:val="none"/>
        </w:rPr>
        <w:t>：1</w:t>
      </w:r>
      <w:r>
        <w:rPr>
          <w:rFonts w:hint="eastAsia" w:ascii="宋体" w:hAnsi="宋体" w:cs="宋体"/>
          <w:sz w:val="20"/>
          <w:szCs w:val="20"/>
          <w:highlight w:val="none"/>
          <w:lang w:val="en-US" w:eastAsia="zh-CN"/>
        </w:rPr>
        <w:t>60</w:t>
      </w:r>
      <w:r>
        <w:rPr>
          <w:rFonts w:hint="eastAsia" w:ascii="宋体" w:hAnsi="宋体" w:eastAsia="宋体" w:cs="宋体"/>
          <w:sz w:val="20"/>
          <w:szCs w:val="20"/>
          <w:highlight w:val="none"/>
        </w:rPr>
        <w:t>日历</w:t>
      </w:r>
      <w:r>
        <w:rPr>
          <w:rFonts w:hint="eastAsia" w:ascii="宋体" w:hAnsi="宋体" w:eastAsia="宋体" w:cs="宋体"/>
          <w:sz w:val="20"/>
          <w:szCs w:val="20"/>
          <w:highlight w:val="none"/>
        </w:rPr>
        <w:t>天(计划开工时间：202</w:t>
      </w:r>
      <w:r>
        <w:rPr>
          <w:rFonts w:hint="eastAsia" w:ascii="宋体" w:hAnsi="宋体" w:cs="宋体"/>
          <w:sz w:val="20"/>
          <w:szCs w:val="20"/>
          <w:highlight w:val="none"/>
          <w:lang w:val="en-US" w:eastAsia="zh-CN"/>
        </w:rPr>
        <w:t>6</w:t>
      </w:r>
      <w:r>
        <w:rPr>
          <w:rFonts w:hint="eastAsia" w:ascii="宋体" w:hAnsi="宋体" w:eastAsia="宋体" w:cs="宋体"/>
          <w:sz w:val="20"/>
          <w:szCs w:val="20"/>
          <w:highlight w:val="none"/>
        </w:rPr>
        <w:t>年5月</w:t>
      </w:r>
      <w:r>
        <w:rPr>
          <w:rFonts w:hint="eastAsia" w:ascii="宋体" w:hAnsi="宋体" w:cs="宋体"/>
          <w:sz w:val="20"/>
          <w:szCs w:val="20"/>
          <w:highlight w:val="none"/>
          <w:lang w:val="en-US" w:eastAsia="zh-CN"/>
        </w:rPr>
        <w:t>25</w:t>
      </w:r>
      <w:r>
        <w:rPr>
          <w:rFonts w:hint="eastAsia" w:ascii="宋体" w:hAnsi="宋体" w:eastAsia="宋体" w:cs="宋体"/>
          <w:sz w:val="20"/>
          <w:szCs w:val="20"/>
          <w:highlight w:val="none"/>
        </w:rPr>
        <w:t>日，计划完工时间：202</w:t>
      </w:r>
      <w:r>
        <w:rPr>
          <w:rFonts w:hint="eastAsia" w:ascii="宋体" w:hAnsi="宋体" w:cs="宋体"/>
          <w:sz w:val="20"/>
          <w:szCs w:val="20"/>
          <w:highlight w:val="none"/>
          <w:lang w:val="en-US" w:eastAsia="zh-CN"/>
        </w:rPr>
        <w:t>6</w:t>
      </w:r>
      <w:r>
        <w:rPr>
          <w:rFonts w:hint="eastAsia" w:ascii="宋体" w:hAnsi="宋体" w:eastAsia="宋体" w:cs="宋体"/>
          <w:sz w:val="20"/>
          <w:szCs w:val="20"/>
          <w:highlight w:val="none"/>
        </w:rPr>
        <w:t>年10月31日),实际工期以签订合同时间为准。缺陷责任期：自实际交工验收合格之日起计算12个月。</w:t>
      </w:r>
    </w:p>
    <w:p w14:paraId="34B24005">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2.</w:t>
      </w:r>
      <w:r>
        <w:rPr>
          <w:rFonts w:hint="eastAsia" w:ascii="宋体" w:hAnsi="宋体" w:cs="宋体"/>
          <w:sz w:val="20"/>
          <w:szCs w:val="20"/>
          <w:highlight w:val="none"/>
          <w:lang w:val="en-US" w:eastAsia="zh-CN"/>
        </w:rPr>
        <w:t>5</w:t>
      </w:r>
      <w:r>
        <w:rPr>
          <w:rFonts w:hint="eastAsia" w:ascii="宋体" w:hAnsi="宋体" w:eastAsia="宋体" w:cs="宋体"/>
          <w:sz w:val="20"/>
          <w:szCs w:val="20"/>
          <w:highlight w:val="none"/>
          <w:lang w:val="en-US" w:eastAsia="zh-CN"/>
        </w:rPr>
        <w:t xml:space="preserve"> </w:t>
      </w:r>
      <w:r>
        <w:rPr>
          <w:rFonts w:hint="eastAsia" w:ascii="宋体" w:hAnsi="宋体" w:eastAsia="宋体" w:cs="宋体"/>
          <w:b/>
          <w:bCs/>
          <w:sz w:val="20"/>
          <w:szCs w:val="20"/>
          <w:highlight w:val="none"/>
        </w:rPr>
        <w:t>投标保证金</w:t>
      </w:r>
      <w:r>
        <w:rPr>
          <w:rFonts w:hint="eastAsia" w:ascii="宋体" w:hAnsi="宋体" w:eastAsia="宋体" w:cs="宋体"/>
          <w:sz w:val="20"/>
          <w:szCs w:val="20"/>
          <w:highlight w:val="none"/>
        </w:rPr>
        <w:t>：</w:t>
      </w:r>
      <w:r>
        <w:rPr>
          <w:rFonts w:hint="eastAsia" w:ascii="宋体" w:hAnsi="宋体" w:cs="宋体"/>
          <w:sz w:val="20"/>
          <w:szCs w:val="20"/>
          <w:highlight w:val="none"/>
          <w:lang w:val="en-US" w:eastAsia="zh-CN"/>
        </w:rPr>
        <w:t>8</w:t>
      </w:r>
      <w:r>
        <w:rPr>
          <w:rFonts w:hint="eastAsia" w:ascii="宋体" w:hAnsi="宋体" w:eastAsia="宋体" w:cs="宋体"/>
          <w:sz w:val="20"/>
          <w:szCs w:val="20"/>
          <w:highlight w:val="none"/>
        </w:rPr>
        <w:t>万元(其他相关要求详见招标文件)。</w:t>
      </w:r>
    </w:p>
    <w:p w14:paraId="0EB93CF6">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2.</w:t>
      </w:r>
      <w:r>
        <w:rPr>
          <w:rFonts w:hint="eastAsia" w:ascii="宋体" w:hAnsi="宋体" w:cs="宋体"/>
          <w:sz w:val="20"/>
          <w:szCs w:val="20"/>
          <w:highlight w:val="none"/>
          <w:lang w:val="en-US" w:eastAsia="zh-CN"/>
        </w:rPr>
        <w:t>6</w:t>
      </w:r>
      <w:r>
        <w:rPr>
          <w:rFonts w:hint="eastAsia" w:ascii="宋体" w:hAnsi="宋体" w:eastAsia="宋体" w:cs="宋体"/>
          <w:b/>
          <w:bCs/>
          <w:sz w:val="20"/>
          <w:szCs w:val="20"/>
          <w:highlight w:val="none"/>
        </w:rPr>
        <w:t>最高投标限价</w:t>
      </w:r>
      <w:r>
        <w:rPr>
          <w:rFonts w:hint="eastAsia" w:ascii="宋体" w:hAnsi="宋体" w:eastAsia="宋体" w:cs="宋体"/>
          <w:sz w:val="20"/>
          <w:szCs w:val="20"/>
          <w:highlight w:val="none"/>
        </w:rPr>
        <w:t>：</w:t>
      </w:r>
      <w:r>
        <w:rPr>
          <w:rFonts w:hint="eastAsia" w:ascii="宋体" w:hAnsi="宋体" w:cs="宋体"/>
          <w:sz w:val="20"/>
          <w:szCs w:val="20"/>
          <w:highlight w:val="none"/>
          <w:lang w:val="en-US" w:eastAsia="zh-CN"/>
        </w:rPr>
        <w:t>960.7</w:t>
      </w:r>
      <w:r>
        <w:rPr>
          <w:rFonts w:hint="eastAsia" w:ascii="宋体" w:hAnsi="宋体" w:eastAsia="宋体" w:cs="宋体"/>
          <w:sz w:val="20"/>
          <w:szCs w:val="20"/>
          <w:highlight w:val="none"/>
        </w:rPr>
        <w:t>万元。</w:t>
      </w:r>
    </w:p>
    <w:p w14:paraId="5F48B0C4">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3. 投标人资格要求</w:t>
      </w:r>
      <w:bookmarkEnd w:id="18"/>
      <w:r>
        <w:rPr>
          <w:rStyle w:val="47"/>
          <w:rFonts w:hint="default" w:ascii="Times New Roman" w:hAnsi="Times New Roman" w:eastAsia="黑体" w:cs="Times New Roman"/>
          <w:color w:val="auto"/>
          <w:sz w:val="28"/>
          <w:szCs w:val="28"/>
          <w:highlight w:val="none"/>
        </w:rPr>
        <w:footnoteReference w:id="2"/>
      </w:r>
      <w:bookmarkEnd w:id="19"/>
      <w:bookmarkEnd w:id="20"/>
      <w:bookmarkEnd w:id="21"/>
    </w:p>
    <w:p w14:paraId="343C2944">
      <w:pPr>
        <w:keepNext w:val="0"/>
        <w:keepLines w:val="0"/>
        <w:pageBreakBefore w:val="0"/>
        <w:widowControl/>
        <w:kinsoku w:val="0"/>
        <w:wordWrap/>
        <w:overflowPunct/>
        <w:topLinePunct w:val="0"/>
        <w:autoSpaceDE w:val="0"/>
        <w:autoSpaceDN w:val="0"/>
        <w:bidi w:val="0"/>
        <w:adjustRightInd w:val="0"/>
        <w:snapToGrid w:val="0"/>
        <w:spacing w:line="420" w:lineRule="exact"/>
        <w:ind w:firstLine="402" w:firstLineChars="200"/>
        <w:textAlignment w:val="baseline"/>
        <w:rPr>
          <w:rFonts w:hint="eastAsia" w:ascii="宋体" w:hAnsi="宋体" w:eastAsia="宋体" w:cs="宋体"/>
          <w:b/>
          <w:bCs/>
          <w:sz w:val="20"/>
          <w:szCs w:val="20"/>
        </w:rPr>
      </w:pPr>
      <w:r>
        <w:rPr>
          <w:rFonts w:hint="eastAsia" w:ascii="宋体" w:hAnsi="宋体" w:eastAsia="宋体" w:cs="宋体"/>
          <w:b/>
          <w:bCs/>
          <w:sz w:val="20"/>
          <w:szCs w:val="20"/>
        </w:rPr>
        <w:t>3.1本次招标要求投标人必须具备的资格要求如下：</w:t>
      </w:r>
    </w:p>
    <w:p w14:paraId="5228132B">
      <w:pPr>
        <w:keepNext w:val="0"/>
        <w:keepLines w:val="0"/>
        <w:pageBreakBefore w:val="0"/>
        <w:widowControl/>
        <w:kinsoku w:val="0"/>
        <w:wordWrap/>
        <w:overflowPunct/>
        <w:topLinePunct w:val="0"/>
        <w:autoSpaceDE w:val="0"/>
        <w:autoSpaceDN w:val="0"/>
        <w:bidi w:val="0"/>
        <w:adjustRightInd w:val="0"/>
        <w:snapToGrid w:val="0"/>
        <w:spacing w:line="420" w:lineRule="exact"/>
        <w:ind w:firstLine="402" w:firstLineChars="200"/>
        <w:textAlignment w:val="baseline"/>
        <w:rPr>
          <w:rFonts w:hint="eastAsia" w:ascii="宋体" w:hAnsi="宋体" w:eastAsia="宋体" w:cs="宋体"/>
          <w:b/>
          <w:bCs/>
          <w:sz w:val="20"/>
          <w:szCs w:val="20"/>
        </w:rPr>
      </w:pPr>
      <w:r>
        <w:rPr>
          <w:rFonts w:hint="eastAsia" w:ascii="宋体" w:hAnsi="宋体" w:eastAsia="宋体" w:cs="宋体"/>
          <w:b/>
          <w:bCs/>
          <w:sz w:val="20"/>
          <w:szCs w:val="20"/>
        </w:rPr>
        <w:t>3.1.1资质等级：</w:t>
      </w:r>
    </w:p>
    <w:p w14:paraId="7AC9603A">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（1）投标人必须具有国内独立法人资格及有效的企业法人营业执照。</w:t>
      </w:r>
    </w:p>
    <w:p w14:paraId="5C5DF7F0">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（2）投标人的资质应该满足以下要求：</w:t>
      </w:r>
    </w:p>
    <w:p w14:paraId="3B67D4A6">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rPr>
        <w:t>具有省级交通运输主管部门颁发</w:t>
      </w:r>
      <w:r>
        <w:rPr>
          <w:rFonts w:hint="eastAsia" w:ascii="宋体" w:hAnsi="宋体" w:eastAsia="宋体" w:cs="宋体"/>
          <w:sz w:val="20"/>
          <w:szCs w:val="20"/>
          <w:highlight w:val="none"/>
          <w:lang w:eastAsia="zh-CN"/>
        </w:rPr>
        <w:t>且</w:t>
      </w:r>
      <w:r>
        <w:rPr>
          <w:rFonts w:hint="eastAsia" w:ascii="宋体" w:hAnsi="宋体" w:eastAsia="宋体" w:cs="宋体"/>
          <w:sz w:val="20"/>
          <w:szCs w:val="20"/>
          <w:highlight w:val="none"/>
        </w:rPr>
        <w:t>有效的</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路基路面养护甲级</w:t>
      </w:r>
      <w:r>
        <w:rPr>
          <w:rFonts w:hint="eastAsia" w:ascii="宋体" w:hAnsi="宋体" w:eastAsia="宋体" w:cs="宋体"/>
          <w:sz w:val="20"/>
          <w:szCs w:val="20"/>
          <w:highlight w:val="none"/>
          <w:lang w:val="en-US" w:eastAsia="zh-CN"/>
        </w:rPr>
        <w:t>资质”和“</w:t>
      </w:r>
      <w:r>
        <w:rPr>
          <w:rFonts w:hint="eastAsia" w:ascii="宋体" w:hAnsi="宋体" w:eastAsia="宋体" w:cs="宋体"/>
          <w:sz w:val="20"/>
          <w:szCs w:val="20"/>
          <w:highlight w:val="none"/>
        </w:rPr>
        <w:t>交通安全设施养护</w:t>
      </w:r>
      <w:r>
        <w:rPr>
          <w:rFonts w:hint="eastAsia" w:ascii="宋体" w:hAnsi="宋体" w:eastAsia="宋体" w:cs="宋体"/>
          <w:sz w:val="20"/>
          <w:szCs w:val="20"/>
          <w:highlight w:val="none"/>
          <w:lang w:val="en-US" w:eastAsia="zh-CN"/>
        </w:rPr>
        <w:t>资质</w:t>
      </w:r>
      <w:r>
        <w:rPr>
          <w:rFonts w:hint="eastAsia" w:ascii="宋体" w:hAnsi="宋体" w:eastAsia="宋体" w:cs="宋体"/>
          <w:sz w:val="20"/>
          <w:szCs w:val="20"/>
          <w:highlight w:val="none"/>
          <w:lang w:eastAsia="zh-CN"/>
        </w:rPr>
        <w:t>”</w:t>
      </w:r>
      <w:r>
        <w:rPr>
          <w:rFonts w:hint="eastAsia" w:ascii="宋体" w:hAnsi="宋体" w:cs="宋体"/>
          <w:sz w:val="20"/>
          <w:szCs w:val="20"/>
          <w:highlight w:val="none"/>
          <w:lang w:val="en-US" w:eastAsia="zh-CN"/>
        </w:rPr>
        <w:t>和“桥梁养护乙级”及以上</w:t>
      </w:r>
      <w:r>
        <w:rPr>
          <w:rFonts w:hint="eastAsia" w:ascii="宋体" w:hAnsi="宋体" w:eastAsia="宋体" w:cs="宋体"/>
          <w:sz w:val="20"/>
          <w:szCs w:val="20"/>
          <w:highlight w:val="none"/>
          <w:lang w:eastAsia="zh-CN"/>
        </w:rPr>
        <w:t>。</w:t>
      </w:r>
    </w:p>
    <w:p w14:paraId="4C173DF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投标人应具有建设行政主管部门颁发且有效的安全生产许可证。</w:t>
      </w:r>
    </w:p>
    <w:p w14:paraId="0F0A2EC6">
      <w:pPr>
        <w:keepNext w:val="0"/>
        <w:keepLines w:val="0"/>
        <w:pageBreakBefore w:val="0"/>
        <w:widowControl/>
        <w:kinsoku w:val="0"/>
        <w:wordWrap/>
        <w:overflowPunct/>
        <w:topLinePunct w:val="0"/>
        <w:autoSpaceDE w:val="0"/>
        <w:autoSpaceDN w:val="0"/>
        <w:bidi w:val="0"/>
        <w:adjustRightInd w:val="0"/>
        <w:snapToGrid w:val="0"/>
        <w:spacing w:line="420" w:lineRule="exact"/>
        <w:ind w:firstLine="402" w:firstLineChars="200"/>
        <w:textAlignment w:val="baseline"/>
        <w:rPr>
          <w:rFonts w:hint="eastAsia" w:ascii="宋体" w:hAnsi="宋体" w:eastAsia="宋体" w:cs="宋体"/>
          <w:b/>
          <w:bCs/>
          <w:sz w:val="20"/>
          <w:szCs w:val="20"/>
          <w:highlight w:val="none"/>
        </w:rPr>
      </w:pPr>
      <w:r>
        <w:rPr>
          <w:rFonts w:hint="eastAsia" w:ascii="宋体" w:hAnsi="宋体" w:eastAsia="宋体" w:cs="宋体"/>
          <w:b/>
          <w:bCs/>
          <w:sz w:val="20"/>
          <w:szCs w:val="20"/>
          <w:highlight w:val="none"/>
        </w:rPr>
        <w:t>3.1.</w:t>
      </w:r>
      <w:r>
        <w:rPr>
          <w:rFonts w:hint="eastAsia" w:ascii="宋体" w:hAnsi="宋体" w:cs="宋体"/>
          <w:b/>
          <w:bCs/>
          <w:sz w:val="20"/>
          <w:szCs w:val="20"/>
          <w:highlight w:val="none"/>
          <w:lang w:val="en-US" w:eastAsia="zh-CN"/>
        </w:rPr>
        <w:t>2</w:t>
      </w:r>
      <w:r>
        <w:rPr>
          <w:rFonts w:hint="eastAsia" w:ascii="宋体" w:hAnsi="宋体" w:eastAsia="宋体" w:cs="宋体"/>
          <w:b/>
          <w:bCs/>
          <w:sz w:val="20"/>
          <w:szCs w:val="20"/>
          <w:highlight w:val="none"/>
        </w:rPr>
        <w:t>企业业绩</w:t>
      </w:r>
    </w:p>
    <w:p w14:paraId="51B2D439">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近5年（指交工验收时间为20</w:t>
      </w:r>
      <w:r>
        <w:rPr>
          <w:rFonts w:hint="eastAsia" w:ascii="宋体" w:hAnsi="宋体" w:eastAsia="宋体" w:cs="宋体"/>
          <w:sz w:val="20"/>
          <w:szCs w:val="20"/>
          <w:highlight w:val="none"/>
          <w:lang w:val="en-US" w:eastAsia="zh-CN"/>
        </w:rPr>
        <w:t>2</w:t>
      </w:r>
      <w:r>
        <w:rPr>
          <w:rFonts w:hint="eastAsia" w:ascii="宋体" w:hAnsi="宋体" w:cs="宋体"/>
          <w:sz w:val="20"/>
          <w:szCs w:val="20"/>
          <w:highlight w:val="none"/>
          <w:lang w:val="en-US" w:eastAsia="zh-CN"/>
        </w:rPr>
        <w:t>1</w:t>
      </w:r>
      <w:r>
        <w:rPr>
          <w:rFonts w:hint="eastAsia" w:ascii="宋体" w:hAnsi="宋体" w:eastAsia="宋体" w:cs="宋体"/>
          <w:sz w:val="20"/>
          <w:szCs w:val="20"/>
          <w:highlight w:val="none"/>
        </w:rPr>
        <w:t>年</w:t>
      </w: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月1日至投标文件递交截止日）内，至少独立</w:t>
      </w:r>
      <w:r>
        <w:rPr>
          <w:rFonts w:hint="eastAsia" w:ascii="宋体" w:hAnsi="宋体" w:eastAsia="宋体" w:cs="宋体"/>
          <w:color w:val="auto"/>
          <w:sz w:val="20"/>
          <w:szCs w:val="20"/>
          <w:highlight w:val="none"/>
        </w:rPr>
        <w:t>完成过1个</w:t>
      </w:r>
      <w:r>
        <w:rPr>
          <w:rFonts w:hint="eastAsia" w:ascii="宋体" w:hAnsi="宋体" w:eastAsia="宋体" w:cs="宋体"/>
          <w:color w:val="auto"/>
          <w:sz w:val="20"/>
          <w:szCs w:val="20"/>
          <w:highlight w:val="none"/>
          <w:lang w:val="en-US" w:eastAsia="zh-CN"/>
        </w:rPr>
        <w:t>单个合同额不少于</w:t>
      </w:r>
      <w:r>
        <w:rPr>
          <w:rFonts w:hint="eastAsia" w:ascii="宋体" w:hAnsi="宋体" w:cs="宋体"/>
          <w:color w:val="auto"/>
          <w:sz w:val="20"/>
          <w:szCs w:val="20"/>
          <w:highlight w:val="none"/>
          <w:lang w:val="en-US" w:eastAsia="zh-CN"/>
        </w:rPr>
        <w:t>400万元</w:t>
      </w:r>
      <w:r>
        <w:rPr>
          <w:rFonts w:hint="eastAsia" w:ascii="宋体" w:hAnsi="宋体" w:eastAsia="宋体" w:cs="宋体"/>
          <w:color w:val="auto"/>
          <w:sz w:val="20"/>
          <w:szCs w:val="20"/>
          <w:highlight w:val="none"/>
        </w:rPr>
        <w:t>的</w:t>
      </w:r>
      <w:r>
        <w:rPr>
          <w:rFonts w:hint="eastAsia" w:ascii="宋体" w:hAnsi="宋体" w:cs="宋体"/>
          <w:color w:val="auto"/>
          <w:sz w:val="20"/>
          <w:szCs w:val="20"/>
          <w:highlight w:val="none"/>
          <w:lang w:val="en-US" w:eastAsia="zh-CN"/>
        </w:rPr>
        <w:t>一</w:t>
      </w:r>
      <w:r>
        <w:rPr>
          <w:rFonts w:hint="eastAsia" w:ascii="宋体" w:hAnsi="宋体" w:eastAsia="宋体" w:cs="宋体"/>
          <w:color w:val="auto"/>
          <w:sz w:val="20"/>
          <w:szCs w:val="20"/>
          <w:highlight w:val="none"/>
        </w:rPr>
        <w:t>级</w:t>
      </w:r>
      <w:r>
        <w:rPr>
          <w:rFonts w:hint="eastAsia" w:ascii="宋体" w:hAnsi="宋体" w:eastAsia="宋体" w:cs="宋体"/>
          <w:sz w:val="20"/>
          <w:szCs w:val="20"/>
          <w:highlight w:val="none"/>
        </w:rPr>
        <w:t>及以上</w:t>
      </w:r>
      <w:r>
        <w:rPr>
          <w:rFonts w:hint="eastAsia" w:ascii="宋体" w:hAnsi="宋体" w:eastAsia="宋体" w:cs="宋体"/>
          <w:sz w:val="20"/>
          <w:szCs w:val="20"/>
          <w:highlight w:val="none"/>
          <w:lang w:eastAsia="zh-CN"/>
        </w:rPr>
        <w:t>等级</w:t>
      </w:r>
      <w:r>
        <w:rPr>
          <w:rFonts w:hint="eastAsia" w:ascii="宋体" w:hAnsi="宋体" w:eastAsia="宋体" w:cs="宋体"/>
          <w:sz w:val="20"/>
          <w:szCs w:val="20"/>
          <w:highlight w:val="none"/>
        </w:rPr>
        <w:t>公路（新建或改扩建或维修改造或</w:t>
      </w:r>
      <w:r>
        <w:rPr>
          <w:rFonts w:hint="eastAsia" w:ascii="宋体" w:hAnsi="宋体" w:eastAsia="宋体" w:cs="宋体"/>
          <w:sz w:val="20"/>
          <w:szCs w:val="20"/>
          <w:highlight w:val="none"/>
          <w:lang w:val="en-US" w:eastAsia="zh-CN"/>
        </w:rPr>
        <w:t>修复</w:t>
      </w:r>
      <w:r>
        <w:rPr>
          <w:rFonts w:hint="eastAsia" w:ascii="宋体" w:hAnsi="宋体" w:eastAsia="宋体" w:cs="宋体"/>
          <w:sz w:val="20"/>
          <w:szCs w:val="20"/>
          <w:highlight w:val="none"/>
        </w:rPr>
        <w:t>养护）工程</w:t>
      </w:r>
      <w:r>
        <w:rPr>
          <w:rFonts w:hint="eastAsia" w:ascii="宋体" w:hAnsi="宋体" w:eastAsia="宋体" w:cs="宋体"/>
          <w:sz w:val="20"/>
          <w:szCs w:val="20"/>
          <w:highlight w:val="none"/>
          <w:lang w:eastAsia="zh-CN"/>
        </w:rPr>
        <w:t>（含路面</w:t>
      </w:r>
      <w:r>
        <w:rPr>
          <w:rFonts w:hint="eastAsia" w:ascii="宋体" w:hAnsi="宋体" w:cs="宋体"/>
          <w:sz w:val="20"/>
          <w:szCs w:val="20"/>
          <w:highlight w:val="none"/>
          <w:lang w:val="en-US" w:eastAsia="zh-CN"/>
        </w:rPr>
        <w:t>工程</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施工项目，且工程验收</w:t>
      </w:r>
      <w:r>
        <w:rPr>
          <w:rFonts w:hint="eastAsia" w:ascii="宋体" w:hAnsi="宋体" w:eastAsia="宋体" w:cs="宋体"/>
          <w:sz w:val="20"/>
          <w:szCs w:val="20"/>
          <w:highlight w:val="none"/>
          <w:lang w:eastAsia="zh-CN"/>
        </w:rPr>
        <w:t>评定</w:t>
      </w:r>
      <w:r>
        <w:rPr>
          <w:rFonts w:hint="eastAsia" w:ascii="宋体" w:hAnsi="宋体" w:eastAsia="宋体" w:cs="宋体"/>
          <w:sz w:val="20"/>
          <w:szCs w:val="20"/>
          <w:highlight w:val="none"/>
        </w:rPr>
        <w:t>为合格</w:t>
      </w:r>
      <w:r>
        <w:rPr>
          <w:rFonts w:hint="eastAsia" w:ascii="宋体" w:hAnsi="宋体" w:eastAsia="宋体" w:cs="宋体"/>
          <w:sz w:val="20"/>
          <w:szCs w:val="20"/>
          <w:highlight w:val="none"/>
          <w:lang w:eastAsia="zh-CN"/>
        </w:rPr>
        <w:t>或</w:t>
      </w:r>
      <w:r>
        <w:rPr>
          <w:rFonts w:hint="eastAsia" w:ascii="宋体" w:hAnsi="宋体" w:eastAsia="宋体" w:cs="宋体"/>
          <w:sz w:val="20"/>
          <w:szCs w:val="20"/>
          <w:highlight w:val="none"/>
        </w:rPr>
        <w:t>以上等级。</w:t>
      </w:r>
    </w:p>
    <w:p w14:paraId="248EA34B">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注</w:t>
      </w:r>
      <w:r>
        <w:rPr>
          <w:rFonts w:hint="eastAsia" w:ascii="宋体" w:hAnsi="宋体" w:eastAsia="宋体" w:cs="宋体"/>
          <w:sz w:val="20"/>
          <w:szCs w:val="20"/>
          <w:highlight w:val="none"/>
          <w:lang w:eastAsia="zh-CN"/>
        </w:rPr>
        <w:t>：①</w:t>
      </w:r>
      <w:r>
        <w:rPr>
          <w:rFonts w:hint="eastAsia" w:ascii="宋体" w:hAnsi="宋体" w:eastAsia="宋体" w:cs="宋体"/>
          <w:sz w:val="20"/>
          <w:szCs w:val="20"/>
          <w:highlight w:val="none"/>
        </w:rPr>
        <w:t>改扩建是指改建</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扩建</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改扩建</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养护维修是指维修改造</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大修</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中修</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修复性养护，但不包括仅对路面面层处理的微表处</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热再生</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稀</w:t>
      </w:r>
      <w:r>
        <w:rPr>
          <w:rFonts w:hint="eastAsia" w:ascii="宋体" w:hAnsi="宋体" w:eastAsia="宋体" w:cs="宋体"/>
          <w:sz w:val="20"/>
          <w:szCs w:val="20"/>
          <w:highlight w:val="none"/>
        </w:rPr>
        <w:t>浆封层等预防性养护</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下</w:t>
      </w:r>
      <w:r>
        <w:rPr>
          <w:rFonts w:hint="eastAsia" w:ascii="宋体" w:hAnsi="宋体" w:eastAsia="宋体" w:cs="宋体"/>
          <w:sz w:val="20"/>
          <w:szCs w:val="20"/>
          <w:highlight w:val="none"/>
        </w:rPr>
        <w:t>同。</w:t>
      </w:r>
    </w:p>
    <w:p w14:paraId="1427A1A1">
      <w:pPr>
        <w:keepNext w:val="0"/>
        <w:keepLines w:val="0"/>
        <w:pageBreakBefore w:val="0"/>
        <w:widowControl/>
        <w:kinsoku w:val="0"/>
        <w:wordWrap/>
        <w:overflowPunct/>
        <w:topLinePunct w:val="0"/>
        <w:autoSpaceDE w:val="0"/>
        <w:autoSpaceDN w:val="0"/>
        <w:bidi w:val="0"/>
        <w:adjustRightInd w:val="0"/>
        <w:snapToGrid w:val="0"/>
        <w:spacing w:line="420" w:lineRule="exact"/>
        <w:ind w:firstLine="428" w:firstLineChars="200"/>
        <w:textAlignment w:val="baseline"/>
        <w:rPr>
          <w:rFonts w:hint="eastAsia" w:ascii="宋体" w:hAnsi="宋体" w:eastAsia="宋体" w:cs="宋体"/>
          <w:sz w:val="20"/>
          <w:szCs w:val="20"/>
          <w:highlight w:val="none"/>
          <w:lang w:val="en-US" w:eastAsia="zh-CN"/>
        </w:rPr>
      </w:pPr>
      <w:r>
        <w:rPr>
          <w:rFonts w:hint="eastAsia" w:ascii="宋体" w:hAnsi="宋体" w:eastAsia="宋体" w:cs="宋体"/>
          <w:spacing w:val="7"/>
          <w:sz w:val="20"/>
          <w:szCs w:val="20"/>
          <w:highlight w:val="none"/>
        </w:rPr>
        <w:t>②</w:t>
      </w:r>
      <w:r>
        <w:rPr>
          <w:rFonts w:hint="eastAsia" w:ascii="宋体" w:hAnsi="宋体" w:eastAsia="宋体" w:cs="宋体"/>
          <w:spacing w:val="7"/>
          <w:sz w:val="20"/>
          <w:szCs w:val="20"/>
          <w:highlight w:val="none"/>
          <w:lang w:val="en-US" w:eastAsia="zh-CN"/>
        </w:rPr>
        <w:t>企业业绩应在</w:t>
      </w:r>
      <w:r>
        <w:rPr>
          <w:rFonts w:hint="eastAsia" w:ascii="宋体" w:hAnsi="宋体" w:eastAsia="宋体" w:cs="宋体"/>
          <w:spacing w:val="7"/>
          <w:sz w:val="20"/>
          <w:szCs w:val="20"/>
          <w:highlight w:val="none"/>
        </w:rPr>
        <w:t>“辽宁省公共资源交易平台交通工程交易系统主体信息库”</w:t>
      </w:r>
      <w:r>
        <w:rPr>
          <w:rFonts w:hint="eastAsia" w:ascii="宋体" w:hAnsi="宋体" w:eastAsia="宋体" w:cs="宋体"/>
          <w:spacing w:val="7"/>
          <w:sz w:val="20"/>
          <w:szCs w:val="20"/>
          <w:highlight w:val="none"/>
          <w:lang w:val="en-US" w:eastAsia="zh-CN"/>
        </w:rPr>
        <w:t>中录入并通过审核。</w:t>
      </w:r>
    </w:p>
    <w:p w14:paraId="08FD9DB0">
      <w:pPr>
        <w:keepNext w:val="0"/>
        <w:keepLines w:val="0"/>
        <w:pageBreakBefore w:val="0"/>
        <w:widowControl/>
        <w:kinsoku w:val="0"/>
        <w:wordWrap/>
        <w:overflowPunct/>
        <w:topLinePunct w:val="0"/>
        <w:autoSpaceDE w:val="0"/>
        <w:autoSpaceDN w:val="0"/>
        <w:bidi w:val="0"/>
        <w:adjustRightInd w:val="0"/>
        <w:snapToGrid w:val="0"/>
        <w:spacing w:line="420" w:lineRule="exact"/>
        <w:ind w:firstLine="402" w:firstLineChars="200"/>
        <w:textAlignment w:val="baseline"/>
        <w:rPr>
          <w:rFonts w:hint="eastAsia" w:ascii="宋体" w:hAnsi="宋体" w:eastAsia="宋体" w:cs="宋体"/>
          <w:b/>
          <w:bCs/>
          <w:sz w:val="20"/>
          <w:szCs w:val="20"/>
          <w:highlight w:val="none"/>
        </w:rPr>
      </w:pPr>
      <w:r>
        <w:rPr>
          <w:rFonts w:hint="eastAsia" w:ascii="宋体" w:hAnsi="宋体" w:eastAsia="宋体" w:cs="宋体"/>
          <w:b/>
          <w:bCs/>
          <w:sz w:val="20"/>
          <w:szCs w:val="20"/>
          <w:highlight w:val="none"/>
        </w:rPr>
        <w:t>3.1.</w:t>
      </w:r>
      <w:r>
        <w:rPr>
          <w:rFonts w:hint="eastAsia" w:ascii="宋体" w:hAnsi="宋体" w:cs="宋体"/>
          <w:b/>
          <w:bCs/>
          <w:sz w:val="20"/>
          <w:szCs w:val="20"/>
          <w:highlight w:val="none"/>
          <w:lang w:val="en-US" w:eastAsia="zh-CN"/>
        </w:rPr>
        <w:t>3</w:t>
      </w:r>
      <w:r>
        <w:rPr>
          <w:rFonts w:hint="eastAsia" w:ascii="宋体" w:hAnsi="宋体" w:eastAsia="宋体" w:cs="宋体"/>
          <w:b/>
          <w:bCs/>
          <w:sz w:val="20"/>
          <w:szCs w:val="20"/>
          <w:highlight w:val="none"/>
        </w:rPr>
        <w:t>主要人员</w:t>
      </w:r>
    </w:p>
    <w:p w14:paraId="7AF6149A">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（1）项目经理1名：具有公路工程专业二级及以上</w:t>
      </w:r>
      <w:r>
        <w:rPr>
          <w:rFonts w:hint="eastAsia" w:ascii="宋体" w:hAnsi="宋体" w:cs="宋体"/>
          <w:sz w:val="20"/>
          <w:szCs w:val="20"/>
          <w:highlight w:val="none"/>
          <w:lang w:val="en-US" w:eastAsia="zh-CN"/>
        </w:rPr>
        <w:t>注册</w:t>
      </w:r>
      <w:r>
        <w:rPr>
          <w:rFonts w:hint="eastAsia" w:ascii="宋体" w:hAnsi="宋体" w:eastAsia="宋体" w:cs="宋体"/>
          <w:sz w:val="20"/>
          <w:szCs w:val="20"/>
          <w:highlight w:val="none"/>
        </w:rPr>
        <w:t>建造师证书且证书目前必须注册在投标人单位，同时具有交通运输行业主管部门颁发的安全生产考核合格“B”类证书并在有效期内且证书目前必须注册在投标人单位。</w:t>
      </w:r>
      <w:r>
        <w:rPr>
          <w:rFonts w:hint="eastAsia" w:ascii="宋体" w:hAnsi="宋体" w:eastAsia="宋体" w:cs="宋体"/>
          <w:sz w:val="20"/>
          <w:szCs w:val="20"/>
          <w:highlight w:val="none"/>
          <w:lang w:val="en-US" w:eastAsia="zh-CN"/>
        </w:rPr>
        <w:t>且该项目经理应在</w:t>
      </w:r>
      <w:r>
        <w:rPr>
          <w:rFonts w:hint="eastAsia" w:ascii="宋体" w:hAnsi="宋体" w:eastAsia="宋体" w:cs="宋体"/>
          <w:sz w:val="20"/>
          <w:szCs w:val="20"/>
          <w:highlight w:val="none"/>
        </w:rPr>
        <w:t>近5年（指交工验收时间为20</w:t>
      </w:r>
      <w:r>
        <w:rPr>
          <w:rFonts w:hint="eastAsia" w:ascii="宋体" w:hAnsi="宋体" w:eastAsia="宋体" w:cs="宋体"/>
          <w:sz w:val="20"/>
          <w:szCs w:val="20"/>
          <w:highlight w:val="none"/>
          <w:lang w:val="en-US" w:eastAsia="zh-CN"/>
        </w:rPr>
        <w:t>2</w:t>
      </w:r>
      <w:r>
        <w:rPr>
          <w:rFonts w:hint="eastAsia" w:ascii="宋体" w:hAnsi="宋体" w:cs="宋体"/>
          <w:sz w:val="20"/>
          <w:szCs w:val="20"/>
          <w:highlight w:val="none"/>
          <w:lang w:val="en-US" w:eastAsia="zh-CN"/>
        </w:rPr>
        <w:t>1</w:t>
      </w:r>
      <w:r>
        <w:rPr>
          <w:rFonts w:hint="eastAsia" w:ascii="宋体" w:hAnsi="宋体" w:eastAsia="宋体" w:cs="宋体"/>
          <w:sz w:val="20"/>
          <w:szCs w:val="20"/>
          <w:highlight w:val="none"/>
        </w:rPr>
        <w:t>年</w:t>
      </w: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月1日至投标文件递交截止日）内，至少独立</w:t>
      </w:r>
      <w:r>
        <w:rPr>
          <w:rFonts w:hint="eastAsia" w:ascii="宋体" w:hAnsi="宋体" w:eastAsia="宋体" w:cs="宋体"/>
          <w:color w:val="auto"/>
          <w:sz w:val="20"/>
          <w:szCs w:val="20"/>
          <w:highlight w:val="none"/>
        </w:rPr>
        <w:t>完成过1个</w:t>
      </w:r>
      <w:r>
        <w:rPr>
          <w:rFonts w:hint="eastAsia" w:ascii="宋体" w:hAnsi="宋体" w:eastAsia="宋体" w:cs="宋体"/>
          <w:color w:val="auto"/>
          <w:sz w:val="20"/>
          <w:szCs w:val="20"/>
          <w:highlight w:val="none"/>
          <w:lang w:val="en-US" w:eastAsia="zh-CN"/>
        </w:rPr>
        <w:t>单个合同额不少于</w:t>
      </w:r>
      <w:r>
        <w:rPr>
          <w:rFonts w:hint="eastAsia" w:ascii="宋体" w:hAnsi="宋体" w:cs="宋体"/>
          <w:color w:val="auto"/>
          <w:sz w:val="20"/>
          <w:szCs w:val="20"/>
          <w:highlight w:val="none"/>
          <w:lang w:val="en-US" w:eastAsia="zh-CN"/>
        </w:rPr>
        <w:t>400万元</w:t>
      </w:r>
      <w:r>
        <w:rPr>
          <w:rFonts w:hint="eastAsia" w:ascii="宋体" w:hAnsi="宋体" w:eastAsia="宋体" w:cs="宋体"/>
          <w:color w:val="auto"/>
          <w:sz w:val="20"/>
          <w:szCs w:val="20"/>
          <w:highlight w:val="none"/>
        </w:rPr>
        <w:t>的</w:t>
      </w:r>
      <w:r>
        <w:rPr>
          <w:rFonts w:hint="eastAsia" w:ascii="宋体" w:hAnsi="宋体" w:cs="宋体"/>
          <w:color w:val="auto"/>
          <w:sz w:val="20"/>
          <w:szCs w:val="20"/>
          <w:highlight w:val="none"/>
          <w:lang w:val="en-US" w:eastAsia="zh-CN"/>
        </w:rPr>
        <w:t>一</w:t>
      </w:r>
      <w:r>
        <w:rPr>
          <w:rFonts w:hint="eastAsia" w:ascii="宋体" w:hAnsi="宋体" w:eastAsia="宋体" w:cs="宋体"/>
          <w:color w:val="auto"/>
          <w:sz w:val="20"/>
          <w:szCs w:val="20"/>
          <w:highlight w:val="none"/>
        </w:rPr>
        <w:t>级</w:t>
      </w:r>
      <w:r>
        <w:rPr>
          <w:rFonts w:hint="eastAsia" w:ascii="宋体" w:hAnsi="宋体" w:eastAsia="宋体" w:cs="宋体"/>
          <w:sz w:val="20"/>
          <w:szCs w:val="20"/>
          <w:highlight w:val="none"/>
        </w:rPr>
        <w:t>及以上</w:t>
      </w:r>
      <w:r>
        <w:rPr>
          <w:rFonts w:hint="eastAsia" w:ascii="宋体" w:hAnsi="宋体" w:eastAsia="宋体" w:cs="宋体"/>
          <w:sz w:val="20"/>
          <w:szCs w:val="20"/>
          <w:highlight w:val="none"/>
          <w:lang w:eastAsia="zh-CN"/>
        </w:rPr>
        <w:t>等级</w:t>
      </w:r>
      <w:r>
        <w:rPr>
          <w:rFonts w:hint="eastAsia" w:ascii="宋体" w:hAnsi="宋体" w:eastAsia="宋体" w:cs="宋体"/>
          <w:sz w:val="20"/>
          <w:szCs w:val="20"/>
          <w:highlight w:val="none"/>
        </w:rPr>
        <w:t>公路（新建或改扩建或维修改造或修复养护）工程</w:t>
      </w:r>
      <w:r>
        <w:rPr>
          <w:rFonts w:hint="eastAsia" w:ascii="宋体" w:hAnsi="宋体" w:eastAsia="宋体" w:cs="宋体"/>
          <w:sz w:val="20"/>
          <w:szCs w:val="20"/>
          <w:highlight w:val="none"/>
          <w:lang w:eastAsia="zh-CN"/>
        </w:rPr>
        <w:t>（含路面）</w:t>
      </w:r>
      <w:r>
        <w:rPr>
          <w:rFonts w:hint="eastAsia" w:ascii="宋体" w:hAnsi="宋体" w:eastAsia="宋体" w:cs="宋体"/>
          <w:sz w:val="20"/>
          <w:szCs w:val="20"/>
          <w:highlight w:val="none"/>
        </w:rPr>
        <w:t>施工项目，且工程验收</w:t>
      </w:r>
      <w:r>
        <w:rPr>
          <w:rFonts w:hint="eastAsia" w:ascii="宋体" w:hAnsi="宋体" w:eastAsia="宋体" w:cs="宋体"/>
          <w:sz w:val="20"/>
          <w:szCs w:val="20"/>
          <w:highlight w:val="none"/>
          <w:lang w:eastAsia="zh-CN"/>
        </w:rPr>
        <w:t>评定</w:t>
      </w:r>
      <w:r>
        <w:rPr>
          <w:rFonts w:hint="eastAsia" w:ascii="宋体" w:hAnsi="宋体" w:eastAsia="宋体" w:cs="宋体"/>
          <w:sz w:val="20"/>
          <w:szCs w:val="20"/>
          <w:highlight w:val="none"/>
        </w:rPr>
        <w:t>为合格</w:t>
      </w:r>
      <w:r>
        <w:rPr>
          <w:rFonts w:hint="eastAsia" w:ascii="宋体" w:hAnsi="宋体" w:eastAsia="宋体" w:cs="宋体"/>
          <w:sz w:val="20"/>
          <w:szCs w:val="20"/>
          <w:highlight w:val="none"/>
          <w:lang w:eastAsia="zh-CN"/>
        </w:rPr>
        <w:t>或</w:t>
      </w:r>
      <w:r>
        <w:rPr>
          <w:rFonts w:hint="eastAsia" w:ascii="宋体" w:hAnsi="宋体" w:eastAsia="宋体" w:cs="宋体"/>
          <w:sz w:val="20"/>
          <w:szCs w:val="20"/>
          <w:highlight w:val="none"/>
        </w:rPr>
        <w:t>以上等级。</w:t>
      </w:r>
    </w:p>
    <w:p w14:paraId="39F4A6CD">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（2）项目总工1名：具有公路工程相关专业中级以上技术职称。</w:t>
      </w:r>
    </w:p>
    <w:p w14:paraId="19F36E74">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且该项目</w:t>
      </w:r>
      <w:r>
        <w:rPr>
          <w:rFonts w:hint="eastAsia" w:ascii="宋体" w:hAnsi="宋体" w:cs="宋体"/>
          <w:sz w:val="20"/>
          <w:szCs w:val="20"/>
          <w:highlight w:val="none"/>
          <w:lang w:val="en-US" w:eastAsia="zh-CN"/>
        </w:rPr>
        <w:t>总工</w:t>
      </w:r>
      <w:r>
        <w:rPr>
          <w:rFonts w:hint="eastAsia" w:ascii="宋体" w:hAnsi="宋体" w:eastAsia="宋体" w:cs="宋体"/>
          <w:sz w:val="20"/>
          <w:szCs w:val="20"/>
          <w:highlight w:val="none"/>
          <w:lang w:val="en-US" w:eastAsia="zh-CN"/>
        </w:rPr>
        <w:t>应在</w:t>
      </w:r>
      <w:r>
        <w:rPr>
          <w:rFonts w:hint="eastAsia" w:ascii="宋体" w:hAnsi="宋体" w:eastAsia="宋体" w:cs="宋体"/>
          <w:sz w:val="20"/>
          <w:szCs w:val="20"/>
          <w:highlight w:val="none"/>
        </w:rPr>
        <w:t>近5年（指交工验收时间为20</w:t>
      </w:r>
      <w:r>
        <w:rPr>
          <w:rFonts w:hint="eastAsia" w:ascii="宋体" w:hAnsi="宋体" w:eastAsia="宋体" w:cs="宋体"/>
          <w:sz w:val="20"/>
          <w:szCs w:val="20"/>
          <w:highlight w:val="none"/>
          <w:lang w:val="en-US" w:eastAsia="zh-CN"/>
        </w:rPr>
        <w:t>2</w:t>
      </w:r>
      <w:r>
        <w:rPr>
          <w:rFonts w:hint="eastAsia" w:ascii="宋体" w:hAnsi="宋体" w:cs="宋体"/>
          <w:sz w:val="20"/>
          <w:szCs w:val="20"/>
          <w:highlight w:val="none"/>
          <w:lang w:val="en-US" w:eastAsia="zh-CN"/>
        </w:rPr>
        <w:t>1</w:t>
      </w:r>
      <w:r>
        <w:rPr>
          <w:rFonts w:hint="eastAsia" w:ascii="宋体" w:hAnsi="宋体" w:eastAsia="宋体" w:cs="宋体"/>
          <w:sz w:val="20"/>
          <w:szCs w:val="20"/>
          <w:highlight w:val="none"/>
        </w:rPr>
        <w:t>年</w:t>
      </w: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月1日至投标文件递交截止日）内，至少独立</w:t>
      </w:r>
      <w:r>
        <w:rPr>
          <w:rFonts w:hint="eastAsia" w:ascii="宋体" w:hAnsi="宋体" w:eastAsia="宋体" w:cs="宋体"/>
          <w:color w:val="auto"/>
          <w:sz w:val="20"/>
          <w:szCs w:val="20"/>
          <w:highlight w:val="none"/>
        </w:rPr>
        <w:t>完成过1个</w:t>
      </w:r>
      <w:r>
        <w:rPr>
          <w:rFonts w:hint="eastAsia" w:ascii="宋体" w:hAnsi="宋体" w:eastAsia="宋体" w:cs="宋体"/>
          <w:color w:val="auto"/>
          <w:sz w:val="20"/>
          <w:szCs w:val="20"/>
          <w:highlight w:val="none"/>
          <w:lang w:val="en-US" w:eastAsia="zh-CN"/>
        </w:rPr>
        <w:t>单个合同额不少于</w:t>
      </w:r>
      <w:r>
        <w:rPr>
          <w:rFonts w:hint="eastAsia" w:ascii="宋体" w:hAnsi="宋体" w:cs="宋体"/>
          <w:color w:val="auto"/>
          <w:sz w:val="20"/>
          <w:szCs w:val="20"/>
          <w:highlight w:val="none"/>
          <w:lang w:val="en-US" w:eastAsia="zh-CN"/>
        </w:rPr>
        <w:t>400万元</w:t>
      </w:r>
      <w:r>
        <w:rPr>
          <w:rFonts w:hint="eastAsia" w:ascii="宋体" w:hAnsi="宋体" w:eastAsia="宋体" w:cs="宋体"/>
          <w:color w:val="auto"/>
          <w:sz w:val="20"/>
          <w:szCs w:val="20"/>
          <w:highlight w:val="none"/>
        </w:rPr>
        <w:t>的</w:t>
      </w:r>
      <w:r>
        <w:rPr>
          <w:rFonts w:hint="eastAsia" w:ascii="宋体" w:hAnsi="宋体" w:cs="宋体"/>
          <w:color w:val="auto"/>
          <w:sz w:val="20"/>
          <w:szCs w:val="20"/>
          <w:highlight w:val="none"/>
          <w:lang w:val="en-US" w:eastAsia="zh-CN"/>
        </w:rPr>
        <w:t>一</w:t>
      </w:r>
      <w:r>
        <w:rPr>
          <w:rFonts w:hint="eastAsia" w:ascii="宋体" w:hAnsi="宋体" w:eastAsia="宋体" w:cs="宋体"/>
          <w:color w:val="auto"/>
          <w:sz w:val="20"/>
          <w:szCs w:val="20"/>
          <w:highlight w:val="none"/>
        </w:rPr>
        <w:t>级</w:t>
      </w:r>
      <w:r>
        <w:rPr>
          <w:rFonts w:hint="eastAsia" w:ascii="宋体" w:hAnsi="宋体" w:eastAsia="宋体" w:cs="宋体"/>
          <w:sz w:val="20"/>
          <w:szCs w:val="20"/>
          <w:highlight w:val="none"/>
        </w:rPr>
        <w:t>及以上</w:t>
      </w:r>
      <w:r>
        <w:rPr>
          <w:rFonts w:hint="eastAsia" w:ascii="宋体" w:hAnsi="宋体" w:eastAsia="宋体" w:cs="宋体"/>
          <w:sz w:val="20"/>
          <w:szCs w:val="20"/>
          <w:highlight w:val="none"/>
          <w:lang w:eastAsia="zh-CN"/>
        </w:rPr>
        <w:t>等级</w:t>
      </w:r>
      <w:r>
        <w:rPr>
          <w:rFonts w:hint="eastAsia" w:ascii="宋体" w:hAnsi="宋体" w:eastAsia="宋体" w:cs="宋体"/>
          <w:sz w:val="20"/>
          <w:szCs w:val="20"/>
          <w:highlight w:val="none"/>
        </w:rPr>
        <w:t>公路（新建或改扩建或维修改造或修复养护）工程</w:t>
      </w:r>
      <w:r>
        <w:rPr>
          <w:rFonts w:hint="eastAsia" w:ascii="宋体" w:hAnsi="宋体" w:eastAsia="宋体" w:cs="宋体"/>
          <w:sz w:val="20"/>
          <w:szCs w:val="20"/>
          <w:highlight w:val="none"/>
          <w:lang w:eastAsia="zh-CN"/>
        </w:rPr>
        <w:t>（含路面）</w:t>
      </w:r>
      <w:r>
        <w:rPr>
          <w:rFonts w:hint="eastAsia" w:ascii="宋体" w:hAnsi="宋体" w:eastAsia="宋体" w:cs="宋体"/>
          <w:sz w:val="20"/>
          <w:szCs w:val="20"/>
          <w:highlight w:val="none"/>
        </w:rPr>
        <w:t>施工项目，且工程验收</w:t>
      </w:r>
      <w:r>
        <w:rPr>
          <w:rFonts w:hint="eastAsia" w:ascii="宋体" w:hAnsi="宋体" w:eastAsia="宋体" w:cs="宋体"/>
          <w:sz w:val="20"/>
          <w:szCs w:val="20"/>
          <w:highlight w:val="none"/>
          <w:lang w:eastAsia="zh-CN"/>
        </w:rPr>
        <w:t>评定</w:t>
      </w:r>
      <w:r>
        <w:rPr>
          <w:rFonts w:hint="eastAsia" w:ascii="宋体" w:hAnsi="宋体" w:eastAsia="宋体" w:cs="宋体"/>
          <w:sz w:val="20"/>
          <w:szCs w:val="20"/>
          <w:highlight w:val="none"/>
        </w:rPr>
        <w:t>为合格</w:t>
      </w:r>
      <w:r>
        <w:rPr>
          <w:rFonts w:hint="eastAsia" w:ascii="宋体" w:hAnsi="宋体" w:eastAsia="宋体" w:cs="宋体"/>
          <w:sz w:val="20"/>
          <w:szCs w:val="20"/>
          <w:highlight w:val="none"/>
          <w:lang w:eastAsia="zh-CN"/>
        </w:rPr>
        <w:t>或</w:t>
      </w:r>
      <w:r>
        <w:rPr>
          <w:rFonts w:hint="eastAsia" w:ascii="宋体" w:hAnsi="宋体" w:eastAsia="宋体" w:cs="宋体"/>
          <w:sz w:val="20"/>
          <w:szCs w:val="20"/>
          <w:highlight w:val="none"/>
        </w:rPr>
        <w:t>以上等级。</w:t>
      </w:r>
    </w:p>
    <w:p w14:paraId="34C80C3B">
      <w:pPr>
        <w:keepNext w:val="0"/>
        <w:keepLines w:val="0"/>
        <w:pageBreakBefore w:val="0"/>
        <w:widowControl w:val="0"/>
        <w:kinsoku/>
        <w:wordWrap/>
        <w:overflowPunct/>
        <w:topLinePunct w:val="0"/>
        <w:autoSpaceDE/>
        <w:autoSpaceDN/>
        <w:bidi w:val="0"/>
        <w:adjustRightInd/>
        <w:spacing w:line="360" w:lineRule="auto"/>
        <w:ind w:firstLine="400" w:firstLineChars="200"/>
        <w:textAlignment w:val="auto"/>
        <w:rPr>
          <w:rFonts w:hint="eastAsia" w:ascii="宋体" w:hAnsi="宋体" w:eastAsia="宋体" w:cs="Times New Roman"/>
          <w:color w:val="000000"/>
          <w:sz w:val="21"/>
          <w:szCs w:val="21"/>
          <w:highlight w:val="none"/>
          <w:lang w:val="en-US"/>
        </w:rPr>
      </w:pPr>
      <w:r>
        <w:rPr>
          <w:rFonts w:hint="eastAsia" w:ascii="宋体" w:hAnsi="宋体" w:eastAsia="宋体" w:cs="宋体"/>
          <w:sz w:val="20"/>
          <w:szCs w:val="20"/>
          <w:highlight w:val="none"/>
        </w:rPr>
        <w:t>注：项目经理及项目总工在岗要求须为无在岗项目（指目前未在其他项目上任职，或虽在其他项目上任职但本项目中标后能够从该项目撤离</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。根据《辽宁省公路工程施工现场主要人员履约监督管理办法》</w:t>
      </w:r>
      <w:r>
        <w:rPr>
          <w:rFonts w:hint="eastAsia" w:ascii="宋体" w:hAnsi="宋体" w:eastAsia="宋体" w:cs="宋体"/>
          <w:sz w:val="20"/>
          <w:szCs w:val="20"/>
          <w:highlight w:val="none"/>
          <w:lang w:val="en-US" w:eastAsia="zh-CN"/>
        </w:rPr>
        <w:t>(</w:t>
      </w:r>
      <w:r>
        <w:rPr>
          <w:rFonts w:hint="eastAsia" w:ascii="宋体" w:hAnsi="宋体" w:eastAsia="宋体" w:cs="宋体"/>
          <w:sz w:val="20"/>
          <w:szCs w:val="20"/>
          <w:highlight w:val="none"/>
        </w:rPr>
        <w:t>辽</w:t>
      </w:r>
      <w:r>
        <w:rPr>
          <w:rFonts w:hint="eastAsia" w:ascii="宋体" w:hAnsi="宋体" w:eastAsia="宋体" w:cs="宋体"/>
          <w:sz w:val="20"/>
          <w:szCs w:val="20"/>
          <w:highlight w:val="none"/>
          <w:lang w:val="en-US" w:eastAsia="zh-CN"/>
        </w:rPr>
        <w:t>j交</w:t>
      </w:r>
      <w:r>
        <w:rPr>
          <w:rFonts w:hint="eastAsia" w:ascii="宋体" w:hAnsi="宋体" w:eastAsia="宋体" w:cs="宋体"/>
          <w:sz w:val="20"/>
          <w:szCs w:val="20"/>
          <w:highlight w:val="none"/>
        </w:rPr>
        <w:t>公路</w:t>
      </w:r>
      <w:r>
        <w:rPr>
          <w:rFonts w:hint="eastAsia" w:ascii="宋体" w:hAnsi="宋体" w:eastAsia="宋体" w:cs="宋体"/>
          <w:sz w:val="20"/>
          <w:szCs w:val="20"/>
          <w:highlight w:val="none"/>
          <w:lang w:val="en-US" w:eastAsia="zh-CN"/>
        </w:rPr>
        <w:t>规〔</w:t>
      </w:r>
      <w:r>
        <w:rPr>
          <w:rFonts w:hint="eastAsia" w:ascii="宋体" w:hAnsi="宋体" w:eastAsia="宋体" w:cs="宋体"/>
          <w:sz w:val="20"/>
          <w:szCs w:val="20"/>
          <w:highlight w:val="none"/>
        </w:rPr>
        <w:t>20253号</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的规定</w:t>
      </w:r>
      <w:r>
        <w:rPr>
          <w:rFonts w:hint="eastAsia" w:ascii="宋体" w:hAnsi="宋体" w:eastAsia="宋体" w:cs="宋体"/>
          <w:sz w:val="20"/>
          <w:szCs w:val="20"/>
          <w:highlight w:val="none"/>
          <w:lang w:eastAsia="zh-CN"/>
        </w:rPr>
        <w:t>，</w:t>
      </w:r>
      <w:r>
        <w:rPr>
          <w:rFonts w:hint="eastAsia" w:ascii="宋体" w:hAnsi="宋体" w:eastAsia="宋体" w:cs="Times New Roman"/>
          <w:color w:val="000000"/>
          <w:sz w:val="21"/>
          <w:szCs w:val="21"/>
          <w:highlight w:val="none"/>
          <w:lang w:val="en-US"/>
        </w:rPr>
        <w:t>监管平台中所有在建项目的主要人员，均在“辽宁省交通工程主体信息库”中被设为锁定状态的人员，属于目前有在岗项目，不得参与本次投标，招标人不接受投标人对其“虽在其他项目上任职但本项目中标后能够从该项目撤离”的承诺。</w:t>
      </w:r>
    </w:p>
    <w:p w14:paraId="1C9036E6">
      <w:pPr>
        <w:pageBreakBefore w:val="0"/>
        <w:kinsoku/>
        <w:wordWrap w:val="0"/>
        <w:bidi w:val="0"/>
        <w:spacing w:line="400" w:lineRule="atLeast"/>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3.1.4其他要求</w:t>
      </w:r>
    </w:p>
    <w:p w14:paraId="23AF269E">
      <w:pPr>
        <w:keepNext w:val="0"/>
        <w:keepLines w:val="0"/>
        <w:pageBreakBefore w:val="0"/>
        <w:widowControl w:val="0"/>
        <w:kinsoku/>
        <w:wordWrap/>
        <w:overflowPunct/>
        <w:topLinePunct w:val="0"/>
        <w:autoSpaceDE/>
        <w:autoSpaceDN/>
        <w:bidi w:val="0"/>
        <w:adjustRightInd/>
        <w:spacing w:line="360" w:lineRule="auto"/>
        <w:ind w:firstLine="400" w:firstLineChars="200"/>
        <w:textAlignment w:val="auto"/>
        <w:rPr>
          <w:rFonts w:hint="eastAsia" w:ascii="宋体" w:hAnsi="宋体" w:eastAsia="宋体" w:cs="宋体"/>
          <w:sz w:val="20"/>
          <w:szCs w:val="20"/>
          <w:highlight w:val="none"/>
          <w:lang w:val="en-US" w:eastAsia="zh-CN"/>
        </w:rPr>
      </w:pPr>
    </w:p>
    <w:p w14:paraId="75C6AE88">
      <w:pPr>
        <w:keepNext w:val="0"/>
        <w:keepLines w:val="0"/>
        <w:pageBreakBefore w:val="0"/>
        <w:widowControl w:val="0"/>
        <w:kinsoku/>
        <w:wordWrap/>
        <w:overflowPunct/>
        <w:topLinePunct w:val="0"/>
        <w:autoSpaceDE/>
        <w:autoSpaceDN/>
        <w:bidi w:val="0"/>
        <w:adjustRightInd/>
        <w:spacing w:line="360" w:lineRule="auto"/>
        <w:ind w:firstLine="400" w:firstLineChars="200"/>
        <w:textAlignment w:val="auto"/>
        <w:rPr>
          <w:rFonts w:hint="default" w:ascii="宋体" w:hAnsi="宋体" w:eastAsia="宋体" w:cs="宋体"/>
          <w:sz w:val="20"/>
          <w:szCs w:val="20"/>
          <w:highlight w:val="none"/>
        </w:rPr>
      </w:pPr>
      <w:r>
        <w:rPr>
          <w:rFonts w:hint="eastAsia" w:ascii="宋体" w:hAnsi="宋体" w:eastAsia="宋体" w:cs="宋体"/>
          <w:sz w:val="20"/>
          <w:szCs w:val="20"/>
          <w:highlight w:val="none"/>
          <w:lang w:val="en-US" w:eastAsia="zh-CN"/>
        </w:rPr>
        <w:t>（1）</w:t>
      </w:r>
      <w:r>
        <w:rPr>
          <w:rFonts w:hint="default" w:ascii="宋体" w:hAnsi="宋体" w:eastAsia="宋体" w:cs="宋体"/>
          <w:sz w:val="20"/>
          <w:szCs w:val="20"/>
          <w:highlight w:val="none"/>
        </w:rPr>
        <w:t>根据《关于发布公路工程从业企业资质名录的通知》（厅公路字〔2011〕114号）要求，投标人如为名录范围的施工企业，则应进入交通运输部</w:t>
      </w:r>
      <w:r>
        <w:rPr>
          <w:rFonts w:hint="eastAsia" w:ascii="宋体" w:hAnsi="宋体" w:eastAsia="宋体" w:cs="宋体"/>
          <w:sz w:val="20"/>
          <w:szCs w:val="20"/>
          <w:highlight w:val="none"/>
        </w:rPr>
        <w:t>“</w:t>
      </w:r>
      <w:r>
        <w:rPr>
          <w:rFonts w:hint="default" w:ascii="宋体" w:hAnsi="宋体" w:eastAsia="宋体" w:cs="宋体"/>
          <w:sz w:val="20"/>
          <w:szCs w:val="20"/>
          <w:highlight w:val="none"/>
        </w:rPr>
        <w:t>全国公路建设市场监督管理系统（https://hwdms.mot.gov.cn/BMWebSite/）</w:t>
      </w:r>
      <w:r>
        <w:rPr>
          <w:rFonts w:hint="eastAsia" w:ascii="宋体" w:hAnsi="宋体" w:eastAsia="宋体" w:cs="宋体"/>
          <w:sz w:val="20"/>
          <w:szCs w:val="20"/>
          <w:highlight w:val="none"/>
        </w:rPr>
        <w:t>”</w:t>
      </w:r>
      <w:r>
        <w:rPr>
          <w:rFonts w:hint="default" w:ascii="宋体" w:hAnsi="宋体" w:eastAsia="宋体" w:cs="宋体"/>
          <w:sz w:val="20"/>
          <w:szCs w:val="20"/>
          <w:highlight w:val="none"/>
        </w:rPr>
        <w:t>中的公路工程施工资质企业名录，且投标人名称和资质与该名录中的相应企业名称和资质完全一致。</w:t>
      </w:r>
      <w:r>
        <w:rPr>
          <w:rFonts w:hint="eastAsia" w:ascii="宋体" w:hAnsi="宋体" w:eastAsia="宋体" w:cs="宋体"/>
          <w:sz w:val="20"/>
          <w:szCs w:val="20"/>
          <w:highlight w:val="none"/>
        </w:rPr>
        <w:footnoteReference w:id="3"/>
      </w:r>
    </w:p>
    <w:p w14:paraId="702EC7C2">
      <w:pPr>
        <w:keepNext w:val="0"/>
        <w:keepLines w:val="0"/>
        <w:pageBreakBefore w:val="0"/>
        <w:widowControl w:val="0"/>
        <w:numPr>
          <w:ilvl w:val="0"/>
          <w:numId w:val="2"/>
        </w:numPr>
        <w:kinsoku/>
        <w:wordWrap w:val="0"/>
        <w:overflowPunct/>
        <w:topLinePunct w:val="0"/>
        <w:autoSpaceDE/>
        <w:autoSpaceDN/>
        <w:bidi w:val="0"/>
        <w:adjustRightInd/>
        <w:snapToGrid/>
        <w:spacing w:line="400" w:lineRule="atLeast"/>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highlight w:val="none"/>
          <w:u w:val="single"/>
          <w:lang w:val="en-US" w:eastAsia="zh-CN"/>
        </w:rPr>
        <w:t xml:space="preserve">        /    </w:t>
      </w:r>
      <w:r>
        <w:rPr>
          <w:rFonts w:hint="eastAsia" w:cs="Times New Roman"/>
          <w:color w:val="auto"/>
          <w:sz w:val="24"/>
          <w:highlight w:val="none"/>
          <w:u w:val="none"/>
          <w:lang w:val="en-US" w:eastAsia="zh-CN"/>
        </w:rPr>
        <w:t>。</w:t>
      </w:r>
    </w:p>
    <w:p w14:paraId="7F769B16">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3.2本次招标不接受联合体投标。</w:t>
      </w:r>
    </w:p>
    <w:p w14:paraId="5EFED97F">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3.3与招标人存在利害关系可能影响招标公正性的单位，不得参加投标；单位负责人为同一人或者存在控股、管理关系的不同单位，不得同时参加本项目投标，否则，相关投标均无效。</w:t>
      </w:r>
    </w:p>
    <w:p w14:paraId="55B558A5">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3.4存在下列不良状况或不良信用记录的单位，不得以任何形式参加投标：</w:t>
      </w:r>
    </w:p>
    <w:p w14:paraId="6B6697E7">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（1）被省级及以上交通运输主管部门取消招标项目所在地的投标资格且处于有效期内；</w:t>
      </w:r>
    </w:p>
    <w:p w14:paraId="783AE48A">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（2）被责令停业，暂扣或吊销执照，或吊销资质证书；</w:t>
      </w:r>
    </w:p>
    <w:p w14:paraId="58D87C76">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（3）进入清算程序，或被宣告破产，或其他丧失履约能力的情形；</w:t>
      </w:r>
    </w:p>
    <w:p w14:paraId="2BA9E227">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（4）在国家企业信用信息公示系统（http://www.gsxt.gov.cn）中被列入严重违法失信企业名单；</w:t>
      </w:r>
    </w:p>
    <w:p w14:paraId="724880FE">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（5）在“信用中国”网站</w:t>
      </w:r>
      <w:r>
        <w:rPr>
          <w:rFonts w:hint="eastAsia" w:ascii="宋体" w:hAnsi="宋体" w:eastAsia="宋体" w:cs="宋体"/>
          <w:sz w:val="20"/>
          <w:szCs w:val="20"/>
          <w:lang w:eastAsia="zh-CN"/>
        </w:rPr>
        <w:t>（</w:t>
      </w:r>
      <w:r>
        <w:rPr>
          <w:rFonts w:hint="eastAsia" w:ascii="宋体" w:hAnsi="宋体" w:eastAsia="宋体" w:cs="宋体"/>
          <w:sz w:val="20"/>
          <w:szCs w:val="20"/>
        </w:rPr>
        <w:t>http://www.creditchina.gov.cn）（或中国执行信息公开网 http://zxgk.court.gov.cn/shixin/）中被列入失信被执行人名单；</w:t>
      </w:r>
    </w:p>
    <w:p w14:paraId="753389A3">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（6）投标人或其法定代表人、拟委任的项目</w:t>
      </w:r>
      <w:r>
        <w:rPr>
          <w:rFonts w:hint="eastAsia" w:ascii="宋体" w:hAnsi="宋体" w:eastAsia="宋体" w:cs="宋体"/>
          <w:sz w:val="20"/>
          <w:szCs w:val="20"/>
          <w:lang w:val="en-US" w:eastAsia="zh-CN"/>
        </w:rPr>
        <w:t>经理</w:t>
      </w:r>
      <w:r>
        <w:rPr>
          <w:rFonts w:hint="eastAsia" w:ascii="宋体" w:hAnsi="宋体" w:eastAsia="宋体" w:cs="宋体"/>
          <w:sz w:val="20"/>
          <w:szCs w:val="20"/>
        </w:rPr>
        <w:t>在近三年内有行贿犯罪行为的；</w:t>
      </w:r>
    </w:p>
    <w:p w14:paraId="2A4001EA">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w:t>
      </w:r>
      <w:r>
        <w:rPr>
          <w:rFonts w:hint="eastAsia" w:ascii="宋体" w:hAnsi="宋体" w:eastAsia="宋体" w:cs="宋体"/>
          <w:sz w:val="20"/>
          <w:szCs w:val="20"/>
          <w:lang w:val="en-US" w:eastAsia="zh-CN"/>
        </w:rPr>
        <w:t>7</w:t>
      </w:r>
      <w:r>
        <w:rPr>
          <w:rFonts w:hint="eastAsia" w:ascii="宋体" w:hAnsi="宋体" w:eastAsia="宋体" w:cs="宋体"/>
          <w:sz w:val="20"/>
          <w:szCs w:val="20"/>
        </w:rPr>
        <w:t>）投标人财产未被接管或冻结</w:t>
      </w:r>
      <w:r>
        <w:rPr>
          <w:rFonts w:hint="eastAsia" w:ascii="宋体" w:hAnsi="宋体" w:cs="宋体"/>
          <w:sz w:val="20"/>
          <w:szCs w:val="20"/>
          <w:lang w:eastAsia="zh-CN"/>
        </w:rPr>
        <w:t>；</w:t>
      </w:r>
    </w:p>
    <w:p w14:paraId="2A429D70">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lang w:eastAsia="zh-CN"/>
        </w:rPr>
      </w:pPr>
      <w:r>
        <w:rPr>
          <w:rFonts w:hint="eastAsia" w:ascii="宋体" w:hAnsi="宋体" w:eastAsia="宋体" w:cs="宋体"/>
          <w:sz w:val="20"/>
          <w:szCs w:val="20"/>
        </w:rPr>
        <w:t>（</w:t>
      </w:r>
      <w:r>
        <w:rPr>
          <w:rFonts w:hint="eastAsia" w:ascii="宋体" w:hAnsi="宋体" w:cs="宋体"/>
          <w:sz w:val="20"/>
          <w:szCs w:val="20"/>
          <w:lang w:val="en-US" w:eastAsia="zh-CN"/>
        </w:rPr>
        <w:t>8</w:t>
      </w:r>
      <w:r>
        <w:rPr>
          <w:rFonts w:hint="eastAsia" w:ascii="宋体" w:hAnsi="宋体" w:eastAsia="宋体" w:cs="宋体"/>
          <w:sz w:val="20"/>
          <w:szCs w:val="20"/>
        </w:rPr>
        <w:t>）法律法规规定的其他情形</w:t>
      </w:r>
      <w:r>
        <w:rPr>
          <w:rFonts w:hint="eastAsia" w:ascii="宋体" w:hAnsi="宋体" w:eastAsia="宋体" w:cs="宋体"/>
          <w:sz w:val="20"/>
          <w:szCs w:val="20"/>
          <w:lang w:eastAsia="zh-CN"/>
        </w:rPr>
        <w:t>。</w:t>
      </w:r>
    </w:p>
    <w:p w14:paraId="17673451">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lang w:eastAsia="zh-CN"/>
        </w:rPr>
      </w:pPr>
      <w:r>
        <w:rPr>
          <w:rFonts w:hint="eastAsia" w:ascii="宋体" w:hAnsi="宋体" w:eastAsia="宋体" w:cs="宋体"/>
          <w:sz w:val="20"/>
          <w:szCs w:val="20"/>
        </w:rPr>
        <w:t>3.5由于近期辽宁省将同期实施多个普通干线公路养护工程项目，如各潜在投标人欲同时获得多个项目的中标资格，需考虑项目主要人员的拟任安排，不同项目的任一主要人员应互不相同、互不重复</w:t>
      </w:r>
      <w:r>
        <w:rPr>
          <w:rFonts w:hint="eastAsia" w:ascii="宋体" w:hAnsi="宋体" w:cs="宋体"/>
          <w:sz w:val="20"/>
          <w:szCs w:val="20"/>
          <w:lang w:eastAsia="zh-CN"/>
        </w:rPr>
        <w:t>，投标人中标后，如招标人发现有相同、重复情况此中标人只能获得1个项目的中标资格。</w:t>
      </w:r>
    </w:p>
    <w:p w14:paraId="50D7009D">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3.6投标人不得以他人名义或者弄虚作假投标，如发现投标人存在以他人名义或者弄虚作假投标行为，招标人将取消其中标候选人资格，并上报省级交通运输主管部门，作为不良记录纳入公路建设市场监督管理系统，情节严重的取消其在辽宁省公路建设市场1</w:t>
      </w:r>
      <w:r>
        <w:rPr>
          <w:rFonts w:hint="eastAsia" w:ascii="宋体" w:hAnsi="宋体" w:eastAsia="宋体" w:cs="宋体"/>
          <w:sz w:val="20"/>
          <w:szCs w:val="20"/>
          <w:lang w:val="en-US" w:eastAsia="zh-CN"/>
        </w:rPr>
        <w:t>-</w:t>
      </w:r>
      <w:r>
        <w:rPr>
          <w:rFonts w:hint="eastAsia" w:ascii="宋体" w:hAnsi="宋体" w:eastAsia="宋体" w:cs="宋体"/>
          <w:sz w:val="20"/>
          <w:szCs w:val="20"/>
        </w:rPr>
        <w:t>3年的投标资格。</w:t>
      </w:r>
    </w:p>
    <w:p w14:paraId="7E2D1428">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22" w:name="_Toc20700"/>
      <w:bookmarkStart w:id="23" w:name="_Toc24263"/>
      <w:bookmarkStart w:id="24" w:name="_Toc470760976"/>
      <w:bookmarkStart w:id="25" w:name="_Toc31217"/>
      <w:r>
        <w:rPr>
          <w:rFonts w:hint="default" w:ascii="Times New Roman" w:hAnsi="Times New Roman" w:eastAsia="黑体" w:cs="Times New Roman"/>
          <w:color w:val="auto"/>
          <w:sz w:val="28"/>
          <w:szCs w:val="28"/>
          <w:highlight w:val="none"/>
        </w:rPr>
        <w:t>4. 招标文件的获取</w:t>
      </w:r>
      <w:bookmarkEnd w:id="22"/>
      <w:bookmarkEnd w:id="23"/>
      <w:bookmarkEnd w:id="24"/>
      <w:bookmarkEnd w:id="25"/>
      <w:r>
        <w:rPr>
          <w:rFonts w:hint="default" w:ascii="Times New Roman" w:hAnsi="Times New Roman" w:eastAsia="黑体" w:cs="Times New Roman"/>
          <w:color w:val="auto"/>
          <w:sz w:val="28"/>
          <w:szCs w:val="28"/>
          <w:highlight w:val="none"/>
        </w:rPr>
        <w:tab/>
      </w:r>
    </w:p>
    <w:p w14:paraId="1006B30F">
      <w:pPr>
        <w:spacing w:line="320" w:lineRule="atLeast"/>
        <w:ind w:left="180" w:hanging="180" w:hangingChars="100"/>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 凡有意参加投标者，请在 辽宁省公共资源交易</w:t>
      </w:r>
      <w:r>
        <w:rPr>
          <w:rFonts w:hint="eastAsia" w:ascii="Times New Roman" w:hAnsi="Times New Roman" w:eastAsia="宋体" w:cs="Times New Roman"/>
          <w:kern w:val="0"/>
          <w:sz w:val="18"/>
          <w:szCs w:val="18"/>
        </w:rPr>
        <w:t>“</w:t>
      </w:r>
      <w:r>
        <w:rPr>
          <w:rFonts w:hint="default" w:ascii="Times New Roman" w:hAnsi="Times New Roman" w:eastAsia="宋体" w:cs="Times New Roman"/>
          <w:kern w:val="0"/>
          <w:sz w:val="18"/>
          <w:szCs w:val="18"/>
        </w:rPr>
        <w:t>一张网</w:t>
      </w:r>
      <w:r>
        <w:rPr>
          <w:rFonts w:hint="eastAsia" w:ascii="Times New Roman" w:hAnsi="Times New Roman" w:eastAsia="宋体" w:cs="Times New Roman"/>
          <w:kern w:val="0"/>
          <w:sz w:val="18"/>
          <w:szCs w:val="18"/>
        </w:rPr>
        <w:t>”</w:t>
      </w:r>
      <w:r>
        <w:rPr>
          <w:rFonts w:hint="default" w:ascii="Times New Roman" w:hAnsi="Times New Roman" w:eastAsia="宋体" w:cs="Times New Roman"/>
          <w:kern w:val="0"/>
          <w:sz w:val="18"/>
          <w:szCs w:val="18"/>
        </w:rPr>
        <w:t>电子化平台（以下简称</w:t>
      </w:r>
      <w:r>
        <w:rPr>
          <w:rFonts w:hint="eastAsia" w:ascii="Times New Roman" w:hAnsi="Times New Roman" w:eastAsia="宋体" w:cs="Times New Roman"/>
          <w:kern w:val="0"/>
          <w:sz w:val="18"/>
          <w:szCs w:val="18"/>
        </w:rPr>
        <w:t>“</w:t>
      </w:r>
      <w:r>
        <w:rPr>
          <w:rFonts w:hint="eastAsia" w:ascii="Times New Roman" w:hAnsi="Times New Roman" w:eastAsia="宋体" w:cs="Times New Roman"/>
          <w:kern w:val="0"/>
          <w:sz w:val="18"/>
          <w:szCs w:val="18"/>
          <w:lang w:eastAsia="zh-CN"/>
        </w:rPr>
        <w:t>电子交易平台</w:t>
      </w:r>
      <w:r>
        <w:rPr>
          <w:rFonts w:hint="eastAsia" w:ascii="Times New Roman" w:hAnsi="Times New Roman" w:eastAsia="宋体" w:cs="Times New Roman"/>
          <w:kern w:val="0"/>
          <w:sz w:val="18"/>
          <w:szCs w:val="18"/>
        </w:rPr>
        <w:t>”</w:t>
      </w:r>
      <w:r>
        <w:rPr>
          <w:rFonts w:hint="default" w:ascii="Times New Roman" w:hAnsi="Times New Roman" w:eastAsia="宋体" w:cs="Times New Roman"/>
          <w:kern w:val="0"/>
          <w:sz w:val="18"/>
          <w:szCs w:val="18"/>
        </w:rPr>
        <w:t xml:space="preserve">，网址： </w:t>
      </w:r>
      <w:r>
        <w:rPr>
          <w:rFonts w:hint="default" w:ascii="Times New Roman" w:hAnsi="Times New Roman" w:eastAsia="宋体" w:cs="Times New Roman"/>
          <w:kern w:val="0"/>
          <w:sz w:val="18"/>
          <w:szCs w:val="18"/>
          <w:lang w:val="en-US" w:eastAsia="zh-CN"/>
        </w:rPr>
        <w:t>https://www.lnsggzy.com/EpointSSO/login/oauth2login</w:t>
      </w:r>
      <w:r>
        <w:rPr>
          <w:rFonts w:hint="default" w:ascii="Times New Roman" w:hAnsi="Times New Roman" w:eastAsia="宋体" w:cs="Times New Roman"/>
          <w:kern w:val="0"/>
          <w:sz w:val="18"/>
          <w:szCs w:val="18"/>
        </w:rPr>
        <w:t xml:space="preserve"> ）进行网员注册，并</w:t>
      </w:r>
      <w:r>
        <w:rPr>
          <w:rFonts w:hint="eastAsia" w:ascii="Times New Roman" w:hAnsi="Times New Roman" w:eastAsia="宋体" w:cs="Times New Roman"/>
          <w:kern w:val="0"/>
          <w:sz w:val="18"/>
          <w:szCs w:val="18"/>
          <w:lang w:val="en-US" w:eastAsia="zh-CN"/>
        </w:rPr>
        <w:t>办理</w:t>
      </w:r>
      <w:r>
        <w:rPr>
          <w:rFonts w:hint="default" w:ascii="Times New Roman" w:hAnsi="Times New Roman" w:eastAsia="宋体" w:cs="Times New Roman"/>
          <w:kern w:val="0"/>
          <w:sz w:val="18"/>
          <w:szCs w:val="18"/>
        </w:rPr>
        <w:t>CA数字证书。</w:t>
      </w:r>
    </w:p>
    <w:p w14:paraId="34662BEB">
      <w:pPr>
        <w:spacing w:line="320" w:lineRule="atLeast"/>
        <w:ind w:left="180" w:hanging="180" w:hangingChars="100"/>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 xml:space="preserve">4.2 完成网员注册后，请于 </w:t>
      </w:r>
      <w:r>
        <w:rPr>
          <w:rFonts w:hint="eastAsia" w:ascii="Times New Roman" w:hAnsi="Times New Roman" w:eastAsia="宋体" w:cs="Times New Roman"/>
          <w:kern w:val="0"/>
          <w:sz w:val="18"/>
          <w:szCs w:val="18"/>
          <w:highlight w:val="yellow"/>
          <w:lang w:val="en-US" w:eastAsia="zh-CN"/>
        </w:rPr>
        <w:t>2026年4月</w:t>
      </w:r>
      <w:r>
        <w:rPr>
          <w:rFonts w:hint="eastAsia" w:cs="Times New Roman"/>
          <w:kern w:val="0"/>
          <w:sz w:val="18"/>
          <w:szCs w:val="18"/>
          <w:highlight w:val="yellow"/>
          <w:lang w:val="en-US" w:eastAsia="zh-CN"/>
        </w:rPr>
        <w:t>**</w:t>
      </w:r>
      <w:r>
        <w:rPr>
          <w:rFonts w:hint="eastAsia" w:ascii="Times New Roman" w:hAnsi="Times New Roman" w:eastAsia="宋体" w:cs="Times New Roman"/>
          <w:kern w:val="0"/>
          <w:sz w:val="18"/>
          <w:szCs w:val="18"/>
          <w:highlight w:val="yellow"/>
          <w:lang w:val="en-US" w:eastAsia="zh-CN"/>
        </w:rPr>
        <w:t>日00:00时至2026年4月</w:t>
      </w:r>
      <w:r>
        <w:rPr>
          <w:rFonts w:hint="eastAsia" w:cs="Times New Roman"/>
          <w:kern w:val="0"/>
          <w:sz w:val="18"/>
          <w:szCs w:val="18"/>
          <w:highlight w:val="yellow"/>
          <w:lang w:val="en-US" w:eastAsia="zh-CN"/>
        </w:rPr>
        <w:t>**</w:t>
      </w:r>
      <w:r>
        <w:rPr>
          <w:rFonts w:hint="eastAsia" w:ascii="Times New Roman" w:hAnsi="Times New Roman" w:eastAsia="宋体" w:cs="Times New Roman"/>
          <w:kern w:val="0"/>
          <w:sz w:val="18"/>
          <w:szCs w:val="18"/>
          <w:highlight w:val="yellow"/>
          <w:lang w:val="en-US" w:eastAsia="zh-CN"/>
        </w:rPr>
        <w:t>日23:59时</w:t>
      </w:r>
      <w:r>
        <w:rPr>
          <w:rFonts w:hint="default" w:ascii="Times New Roman" w:hAnsi="Times New Roman" w:eastAsia="宋体" w:cs="Times New Roman"/>
          <w:kern w:val="0"/>
          <w:sz w:val="18"/>
          <w:szCs w:val="18"/>
        </w:rPr>
        <w:t>，通过互联网使用CA数字证书登录</w:t>
      </w:r>
      <w:r>
        <w:rPr>
          <w:rFonts w:hint="eastAsia" w:ascii="Times New Roman" w:hAnsi="Times New Roman" w:eastAsia="宋体" w:cs="Times New Roman"/>
          <w:kern w:val="0"/>
          <w:sz w:val="18"/>
          <w:szCs w:val="18"/>
        </w:rPr>
        <w:t>“</w:t>
      </w:r>
      <w:r>
        <w:rPr>
          <w:rFonts w:hint="eastAsia" w:ascii="Times New Roman" w:hAnsi="Times New Roman" w:eastAsia="宋体" w:cs="Times New Roman"/>
          <w:kern w:val="0"/>
          <w:sz w:val="18"/>
          <w:szCs w:val="18"/>
          <w:lang w:eastAsia="zh-CN"/>
        </w:rPr>
        <w:t>电子交易平台</w:t>
      </w:r>
      <w:r>
        <w:rPr>
          <w:rFonts w:hint="eastAsia" w:ascii="Times New Roman" w:hAnsi="Times New Roman" w:eastAsia="宋体" w:cs="Times New Roman"/>
          <w:kern w:val="0"/>
          <w:sz w:val="18"/>
          <w:szCs w:val="18"/>
        </w:rPr>
        <w:t>”</w:t>
      </w:r>
      <w:r>
        <w:rPr>
          <w:rFonts w:hint="default" w:ascii="Times New Roman" w:hAnsi="Times New Roman" w:eastAsia="宋体" w:cs="Times New Roman"/>
          <w:kern w:val="0"/>
          <w:sz w:val="18"/>
          <w:szCs w:val="18"/>
        </w:rPr>
        <w:t>，明确所投标段，</w:t>
      </w:r>
      <w:r>
        <w:rPr>
          <w:rFonts w:hint="default" w:ascii="Times New Roman" w:hAnsi="Times New Roman" w:eastAsia="宋体" w:cs="Times New Roman"/>
          <w:kern w:val="0"/>
          <w:sz w:val="18"/>
          <w:szCs w:val="18"/>
          <w:lang w:val="en-US" w:eastAsia="zh-CN"/>
        </w:rPr>
        <w:t>匿名免费下载招标文件</w:t>
      </w:r>
      <w:r>
        <w:rPr>
          <w:rFonts w:hint="default" w:ascii="Times New Roman" w:hAnsi="Times New Roman" w:eastAsia="宋体" w:cs="Times New Roman"/>
          <w:kern w:val="0"/>
          <w:sz w:val="18"/>
          <w:szCs w:val="18"/>
        </w:rPr>
        <w:t>、图纸和参考资料。</w:t>
      </w:r>
    </w:p>
    <w:p w14:paraId="1ECF8EFA">
      <w:pPr>
        <w:spacing w:line="320" w:lineRule="atLeast"/>
        <w:ind w:left="180" w:hanging="180" w:hangingChars="100"/>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4.3</w:t>
      </w:r>
      <w:r>
        <w:rPr>
          <w:rFonts w:hint="default" w:ascii="Times New Roman" w:hAnsi="Times New Roman" w:eastAsia="宋体" w:cs="Times New Roman"/>
          <w:kern w:val="0"/>
          <w:sz w:val="18"/>
          <w:szCs w:val="18"/>
          <w:lang w:val="en-US" w:eastAsia="zh-CN"/>
        </w:rPr>
        <w:t xml:space="preserve"> </w:t>
      </w:r>
      <w:r>
        <w:rPr>
          <w:rFonts w:hint="default" w:ascii="Times New Roman" w:hAnsi="Times New Roman" w:eastAsia="宋体" w:cs="Times New Roman"/>
          <w:kern w:val="0"/>
          <w:sz w:val="18"/>
          <w:szCs w:val="18"/>
        </w:rPr>
        <w:t>请各投标人随时关注辽宁省公共资源交易一张网电子化平台，及时获取相关信息，避免影响投标文件编制，否则一切后果由投标人自行承担。</w:t>
      </w:r>
    </w:p>
    <w:p w14:paraId="142E3B6C">
      <w:pPr>
        <w:spacing w:line="320" w:lineRule="atLeast"/>
        <w:ind w:left="180" w:hanging="180" w:hangingChars="100"/>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4.4</w:t>
      </w:r>
      <w:r>
        <w:rPr>
          <w:rFonts w:hint="default" w:ascii="Times New Roman" w:hAnsi="Times New Roman" w:eastAsia="宋体" w:cs="Times New Roman"/>
          <w:kern w:val="0"/>
          <w:sz w:val="18"/>
          <w:szCs w:val="18"/>
          <w:lang w:val="en-US" w:eastAsia="zh-CN"/>
        </w:rPr>
        <w:t xml:space="preserve"> </w:t>
      </w:r>
      <w:r>
        <w:rPr>
          <w:rFonts w:hint="default" w:ascii="Times New Roman" w:hAnsi="Times New Roman" w:eastAsia="宋体" w:cs="Times New Roman"/>
          <w:kern w:val="0"/>
          <w:sz w:val="18"/>
          <w:szCs w:val="18"/>
        </w:rPr>
        <w:t>招标文件售价：0元。</w:t>
      </w:r>
    </w:p>
    <w:p w14:paraId="7E675F3E">
      <w:pPr>
        <w:spacing w:line="320" w:lineRule="atLeast"/>
        <w:ind w:left="180" w:hanging="180" w:hangingChars="100"/>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4.5</w:t>
      </w:r>
      <w:r>
        <w:rPr>
          <w:rFonts w:hint="default" w:ascii="Times New Roman" w:hAnsi="Times New Roman" w:eastAsia="宋体" w:cs="Times New Roman"/>
          <w:kern w:val="0"/>
          <w:sz w:val="18"/>
          <w:szCs w:val="18"/>
          <w:lang w:val="en-US" w:eastAsia="zh-CN"/>
        </w:rPr>
        <w:t xml:space="preserve"> </w:t>
      </w:r>
      <w:r>
        <w:rPr>
          <w:rFonts w:hint="default" w:ascii="Times New Roman" w:hAnsi="Times New Roman" w:eastAsia="宋体" w:cs="Times New Roman"/>
          <w:kern w:val="0"/>
          <w:sz w:val="18"/>
          <w:szCs w:val="18"/>
        </w:rPr>
        <w:t>投标人须提交的投标保证金金额及其他相关要求详见招标文件。</w:t>
      </w:r>
    </w:p>
    <w:p w14:paraId="74A9B3A9">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26" w:name="_Toc26563"/>
      <w:bookmarkStart w:id="27" w:name="_Toc22946"/>
      <w:bookmarkStart w:id="28" w:name="_Toc470760977"/>
      <w:bookmarkStart w:id="29" w:name="_Toc7236"/>
      <w:r>
        <w:rPr>
          <w:rFonts w:hint="default" w:ascii="Times New Roman" w:hAnsi="Times New Roman" w:eastAsia="黑体" w:cs="Times New Roman"/>
          <w:color w:val="auto"/>
          <w:sz w:val="28"/>
          <w:szCs w:val="28"/>
          <w:highlight w:val="none"/>
        </w:rPr>
        <w:t>5. 投标文件的递交及相关事宜</w:t>
      </w:r>
      <w:bookmarkEnd w:id="26"/>
      <w:bookmarkEnd w:id="27"/>
      <w:bookmarkEnd w:id="28"/>
      <w:bookmarkEnd w:id="29"/>
    </w:p>
    <w:p w14:paraId="15D41E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 招标人不组织</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进行工程现场踏勘和召开投标预备会</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w:t>
      </w:r>
    </w:p>
    <w:p w14:paraId="601F41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 投标文件应为加密的投标文件。投标文件递交的截止时间（投标截止时间，下同）为 </w:t>
      </w:r>
      <w:r>
        <w:rPr>
          <w:rFonts w:hint="default" w:ascii="Times New Roman" w:hAnsi="Times New Roman" w:cs="Times New Roman"/>
          <w:color w:val="auto"/>
          <w:sz w:val="24"/>
          <w:highlight w:val="yellow"/>
          <w:lang w:val="en-US" w:eastAsia="zh-CN"/>
        </w:rPr>
        <w:t>2026</w:t>
      </w:r>
      <w:r>
        <w:rPr>
          <w:rFonts w:hint="default" w:ascii="Times New Roman" w:hAnsi="Times New Roman" w:cs="Times New Roman"/>
          <w:color w:val="auto"/>
          <w:sz w:val="24"/>
          <w:highlight w:val="yellow"/>
        </w:rPr>
        <w:t>年</w:t>
      </w:r>
      <w:r>
        <w:rPr>
          <w:rFonts w:hint="eastAsia" w:cs="Times New Roman"/>
          <w:color w:val="auto"/>
          <w:sz w:val="24"/>
          <w:highlight w:val="yellow"/>
          <w:lang w:val="en-US" w:eastAsia="zh-CN"/>
        </w:rPr>
        <w:t>5</w:t>
      </w:r>
      <w:r>
        <w:rPr>
          <w:rFonts w:hint="default" w:ascii="Times New Roman" w:hAnsi="Times New Roman" w:cs="Times New Roman"/>
          <w:color w:val="auto"/>
          <w:sz w:val="24"/>
          <w:highlight w:val="yellow"/>
        </w:rPr>
        <w:t>月</w:t>
      </w:r>
      <w:r>
        <w:rPr>
          <w:rFonts w:hint="eastAsia" w:cs="Times New Roman"/>
          <w:color w:val="auto"/>
          <w:sz w:val="24"/>
          <w:highlight w:val="yellow"/>
          <w:lang w:val="en-US" w:eastAsia="zh-CN"/>
        </w:rPr>
        <w:t>**</w:t>
      </w:r>
      <w:r>
        <w:rPr>
          <w:rFonts w:hint="default" w:ascii="Times New Roman" w:hAnsi="Times New Roman" w:cs="Times New Roman"/>
          <w:color w:val="auto"/>
          <w:sz w:val="24"/>
          <w:highlight w:val="yellow"/>
        </w:rPr>
        <w:t>日</w:t>
      </w:r>
      <w:r>
        <w:rPr>
          <w:rFonts w:hint="eastAsia" w:cs="Times New Roman"/>
          <w:color w:val="auto"/>
          <w:sz w:val="24"/>
          <w:highlight w:val="yellow"/>
          <w:lang w:val="en-US" w:eastAsia="zh-CN"/>
        </w:rPr>
        <w:t>10：00</w:t>
      </w:r>
      <w:r>
        <w:rPr>
          <w:rFonts w:hint="default" w:ascii="Times New Roman" w:hAnsi="Times New Roman" w:cs="Times New Roman"/>
          <w:color w:val="auto"/>
          <w:sz w:val="24"/>
          <w:highlight w:val="yellow"/>
        </w:rPr>
        <w:t xml:space="preserve"> </w:t>
      </w:r>
      <w:r>
        <w:rPr>
          <w:rFonts w:hint="default" w:ascii="Times New Roman" w:hAnsi="Times New Roman" w:cs="Times New Roman"/>
          <w:color w:val="auto"/>
          <w:sz w:val="24"/>
          <w:highlight w:val="none"/>
        </w:rPr>
        <w:t>时</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（北京时间，下同），投标人应在投标截止时间前，通过互联网使用 CA 数字证书登录“电子交易平台 ”，将加密的投标文件上传。逾期未完成上传或未按规定加密的投标文件，招标人予以拒收。。</w:t>
      </w:r>
    </w:p>
    <w:p w14:paraId="55B8E1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bookmarkStart w:id="30" w:name="bookmark8"/>
      <w:bookmarkEnd w:id="30"/>
      <w:r>
        <w:rPr>
          <w:rFonts w:hint="default" w:ascii="Times New Roman" w:hAnsi="Times New Roman" w:cs="Times New Roman"/>
          <w:color w:val="auto"/>
          <w:sz w:val="24"/>
          <w:highlight w:val="none"/>
        </w:rPr>
        <w:t>5.3</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投标人自行准备CA锁及相关解密设备，并保证网络畅通，在规定的时间内完成电子投标文件的线上解密工作。</w:t>
      </w:r>
    </w:p>
    <w:p w14:paraId="43D9D6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电子交易相关软件的下载：</w:t>
      </w:r>
    </w:p>
    <w:p w14:paraId="0C89A6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（1）驱动下载地址：https://download.bqpoint.com/download/downloaddetail.html?SourceFrom=Ztb&amp;ZtbSoftXiaQuCode=0215&amp;ZtbSoftType=DR；</w:t>
      </w:r>
    </w:p>
    <w:p w14:paraId="16CC0A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（2）投标文件制作软件下载地址：</w:t>
      </w:r>
    </w:p>
    <w:p w14:paraId="5715BF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https://download.bqpoint.com/download/downloaddetail.html?SourceFrom=Ztb&amp;ZtbSoftXiaQuCode=0209&amp;ZtbSoftType=tballinclusive；</w:t>
      </w:r>
    </w:p>
    <w:p w14:paraId="40CDF0F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（3）投标人操作手册下载地址：http://ggzy.ln.gov.cn/fwdt/xzzx1/gczb/jtgc/scxz/。</w:t>
      </w:r>
    </w:p>
    <w:p w14:paraId="695427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5.5</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逾期上传的、未上传指定地点的或不按照招标文件要求加密的投标文件，招标人将予以拒收。</w:t>
      </w:r>
    </w:p>
    <w:p w14:paraId="35BD34F0">
      <w:pPr>
        <w:pStyle w:val="2"/>
        <w:pageBreakBefore w:val="0"/>
        <w:kinsoku/>
        <w:wordWrap w:val="0"/>
        <w:overflowPunct/>
        <w:bidi w:val="0"/>
        <w:spacing w:line="240" w:lineRule="auto"/>
        <w:jc w:val="left"/>
        <w:outlineLvl w:val="1"/>
        <w:rPr>
          <w:rFonts w:hint="default" w:ascii="Times New Roman" w:hAnsi="Times New Roman" w:eastAsia="黑体" w:cs="Times New Roman"/>
          <w:b w:val="0"/>
          <w:bCs/>
          <w:i w:val="0"/>
          <w:iCs w:val="0"/>
          <w:color w:val="auto"/>
          <w:kern w:val="44"/>
          <w:sz w:val="28"/>
          <w:szCs w:val="28"/>
          <w:highlight w:val="none"/>
          <w:lang w:val="en-US" w:eastAsia="zh-CN" w:bidi="ar-SA"/>
        </w:rPr>
      </w:pPr>
      <w:bookmarkStart w:id="31" w:name="_Toc22018"/>
      <w:bookmarkStart w:id="32" w:name="_Toc4681"/>
      <w:bookmarkStart w:id="33" w:name="_Toc6994_WPSOffice_Level2"/>
      <w:bookmarkStart w:id="34" w:name="_Toc29510"/>
      <w:bookmarkStart w:id="35" w:name="_Toc21427"/>
      <w:bookmarkStart w:id="36" w:name="_Toc31627"/>
      <w:bookmarkStart w:id="37" w:name="_Toc234832850"/>
      <w:r>
        <w:rPr>
          <w:rFonts w:hint="default" w:ascii="Times New Roman" w:hAnsi="Times New Roman" w:cs="Times New Roman"/>
          <w:b w:val="0"/>
          <w:bCs/>
          <w:i w:val="0"/>
          <w:iCs w:val="0"/>
          <w:color w:val="auto"/>
          <w:kern w:val="44"/>
          <w:sz w:val="28"/>
          <w:szCs w:val="28"/>
          <w:highlight w:val="none"/>
          <w:lang w:val="en-US" w:eastAsia="zh-CN" w:bidi="ar-SA"/>
        </w:rPr>
        <w:t>6</w:t>
      </w:r>
      <w:r>
        <w:rPr>
          <w:rFonts w:hint="default" w:ascii="Times New Roman" w:hAnsi="Times New Roman" w:eastAsia="黑体" w:cs="Times New Roman"/>
          <w:b w:val="0"/>
          <w:bCs/>
          <w:i w:val="0"/>
          <w:iCs w:val="0"/>
          <w:color w:val="auto"/>
          <w:kern w:val="44"/>
          <w:sz w:val="28"/>
          <w:szCs w:val="28"/>
          <w:highlight w:val="none"/>
          <w:lang w:val="en-US" w:eastAsia="zh-CN" w:bidi="ar-SA"/>
        </w:rPr>
        <w:t>. 评标办法</w:t>
      </w:r>
      <w:bookmarkEnd w:id="31"/>
      <w:bookmarkEnd w:id="32"/>
      <w:bookmarkEnd w:id="33"/>
      <w:bookmarkEnd w:id="34"/>
      <w:bookmarkEnd w:id="35"/>
      <w:bookmarkEnd w:id="36"/>
    </w:p>
    <w:p w14:paraId="6B4AC53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lang w:val="en-US" w:eastAsia="zh-CN"/>
        </w:rPr>
      </w:pPr>
      <w:bookmarkStart w:id="38" w:name="_Toc26310"/>
      <w:bookmarkStart w:id="39" w:name="_Toc4689"/>
      <w:bookmarkStart w:id="40" w:name="_Toc31461"/>
      <w:bookmarkStart w:id="41" w:name="_Toc1626"/>
      <w:r>
        <w:rPr>
          <w:rFonts w:hint="default" w:ascii="Times New Roman" w:hAnsi="Times New Roman" w:eastAsia="宋体" w:cs="Times New Roman"/>
          <w:color w:val="auto"/>
          <w:sz w:val="24"/>
          <w:highlight w:val="none"/>
          <w:lang w:val="en-US" w:eastAsia="zh-CN"/>
        </w:rPr>
        <w:t>本项目评标办法采用合理低价法 ，评标标准和方法详见 《辽宁省招标投标监管网》（http://www.lntb.gov.cn）发布的本招标公告附件。</w:t>
      </w:r>
    </w:p>
    <w:p w14:paraId="2A615B1B">
      <w:pPr>
        <w:pStyle w:val="2"/>
        <w:pageBreakBefore w:val="0"/>
        <w:kinsoku/>
        <w:wordWrap w:val="0"/>
        <w:overflowPunct/>
        <w:bidi w:val="0"/>
        <w:spacing w:before="240" w:after="240" w:line="240" w:lineRule="atLeast"/>
        <w:outlineLvl w:val="1"/>
        <w:rPr>
          <w:rFonts w:hint="default" w:ascii="Times New Roman" w:hAnsi="Times New Roman" w:eastAsia="黑体" w:cs="Times New Roman"/>
          <w:color w:val="auto"/>
          <w:sz w:val="28"/>
          <w:szCs w:val="28"/>
          <w:highlight w:val="none"/>
        </w:rPr>
      </w:pPr>
      <w:r>
        <w:rPr>
          <w:rFonts w:hint="default" w:ascii="Times New Roman" w:hAnsi="Times New Roman" w:cs="Times New Roman"/>
          <w:color w:val="auto"/>
          <w:sz w:val="28"/>
          <w:szCs w:val="28"/>
          <w:highlight w:val="none"/>
          <w:lang w:val="en-US" w:eastAsia="zh-CN"/>
        </w:rPr>
        <w:t>7</w:t>
      </w:r>
      <w:r>
        <w:rPr>
          <w:rFonts w:hint="default" w:ascii="Times New Roman" w:hAnsi="Times New Roman" w:eastAsia="黑体" w:cs="Times New Roman"/>
          <w:color w:val="auto"/>
          <w:sz w:val="28"/>
          <w:szCs w:val="28"/>
          <w:highlight w:val="none"/>
        </w:rPr>
        <w:t>. 发布公告的媒介</w:t>
      </w:r>
      <w:bookmarkEnd w:id="37"/>
      <w:bookmarkEnd w:id="38"/>
      <w:bookmarkEnd w:id="39"/>
      <w:bookmarkEnd w:id="40"/>
      <w:bookmarkEnd w:id="41"/>
    </w:p>
    <w:p w14:paraId="664BA96A">
      <w:pPr>
        <w:pStyle w:val="16"/>
        <w:tabs>
          <w:tab w:val="left" w:pos="2897"/>
        </w:tabs>
        <w:spacing w:before="191" w:line="296" w:lineRule="auto"/>
        <w:ind w:left="28" w:right="187" w:firstLine="483"/>
        <w:rPr>
          <w:rFonts w:hint="default" w:ascii="Times New Roman" w:hAnsi="Times New Roman" w:cs="Times New Roman"/>
          <w:color w:val="auto"/>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7.1本次招标公告同时在 《辽宁省招标投标监管网》（http://www.lntb.gov.cn）、</w:t>
      </w:r>
      <w:bookmarkStart w:id="2035" w:name="_GoBack"/>
      <w:bookmarkEnd w:id="2035"/>
      <w:r>
        <w:rPr>
          <w:rFonts w:hint="eastAsia" w:ascii="Times New Roman" w:hAnsi="Times New Roman" w:eastAsia="宋体" w:cs="Times New Roman"/>
          <w:color w:val="auto"/>
          <w:kern w:val="2"/>
          <w:sz w:val="24"/>
          <w:szCs w:val="24"/>
          <w:highlight w:val="none"/>
          <w:lang w:val="en-US" w:eastAsia="zh-CN" w:bidi="ar-SA"/>
        </w:rPr>
        <w:t>《辽宁省公共资源交易网》（http://ggzy.ln.gov.cn）、《中国招标投标公共服务平台》（http://www.cebpubservice.com）、《</w:t>
      </w: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 HYPERLINK "http://ccgp.yingkou.net.cn/html/main.asp" </w:instrText>
      </w:r>
      <w:r>
        <w:rPr>
          <w:rFonts w:ascii="宋体" w:hAnsi="宋体" w:eastAsia="宋体" w:cs="宋体"/>
          <w:sz w:val="24"/>
          <w:szCs w:val="24"/>
          <w:highlight w:val="none"/>
        </w:rPr>
        <w:fldChar w:fldCharType="separate"/>
      </w:r>
      <w:r>
        <w:rPr>
          <w:rStyle w:val="45"/>
          <w:rFonts w:ascii="宋体" w:hAnsi="宋体" w:eastAsia="宋体" w:cs="宋体"/>
          <w:sz w:val="24"/>
          <w:szCs w:val="24"/>
          <w:highlight w:val="none"/>
        </w:rPr>
        <w:t>营口市公共资源交易中心</w:t>
      </w:r>
      <w:r>
        <w:rPr>
          <w:rFonts w:hint="eastAsia" w:ascii="Times New Roman" w:hAnsi="Times New Roman" w:eastAsia="宋体" w:cs="Times New Roman"/>
          <w:color w:val="auto"/>
          <w:kern w:val="2"/>
          <w:sz w:val="24"/>
          <w:szCs w:val="24"/>
          <w:highlight w:val="none"/>
          <w:lang w:val="en-US" w:eastAsia="zh-CN" w:bidi="ar-SA"/>
        </w:rPr>
        <w:t>》</w:t>
      </w:r>
      <w:r>
        <w:rPr>
          <w:rStyle w:val="45"/>
          <w:rFonts w:ascii="宋体" w:hAnsi="宋体" w:eastAsia="宋体" w:cs="宋体"/>
          <w:sz w:val="24"/>
          <w:szCs w:val="24"/>
          <w:highlight w:val="none"/>
        </w:rPr>
        <w:t xml:space="preserve"> (</w:t>
      </w:r>
      <w:r>
        <w:rPr>
          <w:rStyle w:val="45"/>
          <w:rFonts w:hint="eastAsia" w:ascii="宋体" w:hAnsi="宋体" w:eastAsia="宋体" w:cs="宋体"/>
          <w:sz w:val="24"/>
          <w:szCs w:val="24"/>
          <w:highlight w:val="none"/>
        </w:rPr>
        <w:t>http://ccgp.yingkou.net.cn/html/main.asp</w:t>
      </w:r>
      <w:r>
        <w:rPr>
          <w:rStyle w:val="45"/>
          <w:rFonts w:ascii="宋体" w:hAnsi="宋体" w:eastAsia="宋体" w:cs="宋体"/>
          <w:sz w:val="24"/>
          <w:szCs w:val="24"/>
          <w:highlight w:val="none"/>
        </w:rPr>
        <w:t>)</w:t>
      </w:r>
      <w:r>
        <w:rPr>
          <w:rFonts w:ascii="宋体" w:hAnsi="宋体" w:eastAsia="宋体" w:cs="宋体"/>
          <w:sz w:val="24"/>
          <w:szCs w:val="24"/>
          <w:highlight w:val="none"/>
        </w:rPr>
        <w:fldChar w:fldCharType="end"/>
      </w:r>
      <w:r>
        <w:rPr>
          <w:rFonts w:hint="eastAsia" w:ascii="宋体" w:hAnsi="宋体" w:eastAsia="宋体" w:cs="宋体"/>
          <w:sz w:val="24"/>
          <w:szCs w:val="24"/>
          <w:lang w:eastAsia="zh-CN"/>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营口市交通运输局</w:t>
      </w:r>
      <w:r>
        <w:rPr>
          <w:rFonts w:hint="default" w:ascii="Times New Roman" w:hAnsi="Times New Roman" w:eastAsia="宋体" w:cs="Times New Roman"/>
          <w:color w:val="auto"/>
          <w:kern w:val="2"/>
          <w:sz w:val="24"/>
          <w:szCs w:val="24"/>
          <w:highlight w:val="none"/>
          <w:lang w:val="en-US" w:eastAsia="zh-CN" w:bidi="ar-SA"/>
        </w:rPr>
        <w:t>》(https://jtj.yingkou.gov.cn/)上发布。</w:t>
      </w:r>
    </w:p>
    <w:p w14:paraId="66F150F0">
      <w:pPr>
        <w:pStyle w:val="15"/>
        <w:pageBreakBefore w:val="0"/>
        <w:kinsoku/>
        <w:wordWrap w:val="0"/>
        <w:topLinePunct/>
        <w:bidi w:val="0"/>
        <w:spacing w:line="400" w:lineRule="atLeas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7.2潜在投标人或者其他利害关系人如对本招标公告有异议，可在投标截止时间10日前按照《中华人民共和国招标投标法实施条例》中的有关规定向招标人提出。</w:t>
      </w:r>
    </w:p>
    <w:p w14:paraId="06D8EB7D">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42" w:name="_Toc31367"/>
      <w:bookmarkStart w:id="43" w:name="_Toc27909"/>
      <w:bookmarkStart w:id="44" w:name="_Toc26506"/>
      <w:bookmarkStart w:id="45" w:name="_Toc470760979"/>
      <w:r>
        <w:rPr>
          <w:rFonts w:hint="eastAsia" w:cs="Times New Roman"/>
          <w:color w:val="auto"/>
          <w:sz w:val="28"/>
          <w:szCs w:val="28"/>
          <w:highlight w:val="none"/>
          <w:lang w:val="en-US" w:eastAsia="zh-CN"/>
        </w:rPr>
        <w:t>8</w:t>
      </w:r>
      <w:r>
        <w:rPr>
          <w:rFonts w:hint="default" w:ascii="Times New Roman" w:hAnsi="Times New Roman" w:eastAsia="黑体" w:cs="Times New Roman"/>
          <w:color w:val="auto"/>
          <w:sz w:val="28"/>
          <w:szCs w:val="28"/>
          <w:highlight w:val="none"/>
        </w:rPr>
        <w:t>. 联系方式</w:t>
      </w:r>
      <w:bookmarkEnd w:id="42"/>
      <w:bookmarkEnd w:id="43"/>
      <w:bookmarkEnd w:id="44"/>
      <w:bookmarkEnd w:id="45"/>
    </w:p>
    <w:p w14:paraId="04995057">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r>
        <w:rPr>
          <w:rFonts w:hint="eastAsia" w:cs="Times New Roman"/>
          <w:color w:val="auto"/>
          <w:sz w:val="24"/>
          <w:szCs w:val="24"/>
          <w:highlight w:val="none"/>
          <w:lang w:val="en-US" w:eastAsia="zh-CN"/>
        </w:rPr>
        <w:t>盖</w:t>
      </w:r>
      <w:r>
        <w:rPr>
          <w:rFonts w:hint="eastAsia" w:ascii="Times New Roman" w:hAnsi="Times New Roman" w:eastAsia="宋体" w:cs="Times New Roman"/>
          <w:color w:val="auto"/>
          <w:sz w:val="24"/>
          <w:szCs w:val="24"/>
          <w:highlight w:val="none"/>
          <w:lang w:val="en-US" w:eastAsia="zh-CN"/>
        </w:rPr>
        <w:t>州市交通运输局</w:t>
      </w:r>
    </w:p>
    <w:p w14:paraId="6787E5F0">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default" w:ascii="Times New Roman" w:hAnsi="Times New Roman" w:cs="Times New Roman"/>
          <w:color w:val="auto"/>
          <w:sz w:val="24"/>
          <w:szCs w:val="24"/>
          <w:highlight w:val="none"/>
          <w:u w:val="single"/>
          <w:lang w:val="en-US" w:eastAsia="zh-CN"/>
        </w:rPr>
        <w:t>营口市</w:t>
      </w:r>
      <w:r>
        <w:rPr>
          <w:rFonts w:hint="default" w:ascii="Times New Roman" w:hAnsi="Times New Roman" w:cs="Times New Roman"/>
          <w:color w:val="auto"/>
          <w:sz w:val="24"/>
          <w:szCs w:val="24"/>
          <w:highlight w:val="none"/>
          <w:u w:val="single"/>
        </w:rPr>
        <w:t>盖州市</w:t>
      </w:r>
      <w:r>
        <w:rPr>
          <w:rFonts w:hint="eastAsia" w:cs="Times New Roman"/>
          <w:color w:val="auto"/>
          <w:sz w:val="24"/>
          <w:szCs w:val="24"/>
          <w:highlight w:val="none"/>
          <w:u w:val="single"/>
          <w:lang w:val="en-US" w:eastAsia="zh-CN"/>
        </w:rPr>
        <w:t>清河大街八大局七楼</w:t>
      </w:r>
    </w:p>
    <w:p w14:paraId="6D62B240">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 系 人：</w:t>
      </w:r>
      <w:r>
        <w:rPr>
          <w:rFonts w:hint="default" w:ascii="Times New Roman" w:hAnsi="Times New Roman" w:eastAsia="黑体"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杨明疏</w:t>
      </w:r>
      <w:r>
        <w:rPr>
          <w:rFonts w:hint="default"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41619C2F">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    话：</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0417-7696996</w:t>
      </w:r>
      <w:r>
        <w:rPr>
          <w:rFonts w:hint="default" w:ascii="Times New Roman" w:hAnsi="Times New Roman" w:eastAsia="黑体" w:cs="Times New Roman"/>
          <w:color w:val="auto"/>
          <w:sz w:val="24"/>
          <w:szCs w:val="24"/>
          <w:highlight w:val="none"/>
          <w:u w:val="single"/>
        </w:rPr>
        <w:t xml:space="preserve">         </w:t>
      </w:r>
    </w:p>
    <w:p w14:paraId="7D0572E1">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招 标 人：</w:t>
      </w:r>
      <w:r>
        <w:rPr>
          <w:rFonts w:hint="default" w:ascii="Times New Roman" w:hAnsi="Times New Roman" w:cs="Times New Roman"/>
          <w:color w:val="auto"/>
          <w:sz w:val="24"/>
          <w:szCs w:val="24"/>
          <w:highlight w:val="none"/>
          <w:lang w:val="en-US" w:eastAsia="zh-CN"/>
        </w:rPr>
        <w:t>盖州市交通运输服务中心</w:t>
      </w:r>
    </w:p>
    <w:p w14:paraId="254EA45A">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地  </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址：</w:t>
      </w:r>
      <w:r>
        <w:rPr>
          <w:rFonts w:hint="default" w:ascii="Times New Roman" w:hAnsi="Times New Roman" w:cs="Times New Roman"/>
          <w:color w:val="auto"/>
          <w:sz w:val="24"/>
          <w:szCs w:val="24"/>
          <w:highlight w:val="none"/>
          <w:lang w:val="en-US" w:eastAsia="zh-CN"/>
        </w:rPr>
        <w:t>营口市</w:t>
      </w:r>
      <w:r>
        <w:rPr>
          <w:rFonts w:hint="default" w:ascii="Times New Roman" w:hAnsi="Times New Roman" w:cs="Times New Roman"/>
          <w:color w:val="auto"/>
          <w:sz w:val="24"/>
          <w:szCs w:val="24"/>
          <w:highlight w:val="none"/>
        </w:rPr>
        <w:t>盖州市盖州路108号</w:t>
      </w:r>
    </w:p>
    <w:p w14:paraId="3706B8FA">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联 系 人：</w:t>
      </w:r>
      <w:r>
        <w:rPr>
          <w:rFonts w:hint="eastAsia" w:cs="Times New Roman"/>
          <w:color w:val="auto"/>
          <w:sz w:val="24"/>
          <w:szCs w:val="24"/>
          <w:highlight w:val="none"/>
          <w:lang w:val="en-US" w:eastAsia="zh-CN"/>
        </w:rPr>
        <w:t>付先生</w:t>
      </w:r>
    </w:p>
    <w:p w14:paraId="4504EC47">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电    话：</w:t>
      </w:r>
      <w:bookmarkStart w:id="46" w:name="_Toc3520"/>
      <w:bookmarkStart w:id="47" w:name="_Toc361508561"/>
      <w:bookmarkStart w:id="48" w:name="_Toc369531496"/>
      <w:bookmarkStart w:id="49" w:name="_Toc247527534"/>
      <w:bookmarkStart w:id="50" w:name="_Toc352691454"/>
      <w:bookmarkStart w:id="51" w:name="_Toc247513933"/>
      <w:bookmarkStart w:id="52" w:name="_Toc384308186"/>
      <w:bookmarkStart w:id="53" w:name="_Toc300834928"/>
      <w:r>
        <w:rPr>
          <w:rFonts w:hint="default" w:ascii="Times New Roman" w:hAnsi="Times New Roman" w:cs="Times New Roman"/>
          <w:color w:val="auto"/>
          <w:sz w:val="24"/>
          <w:szCs w:val="24"/>
          <w:highlight w:val="none"/>
        </w:rPr>
        <w:t>0417</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7805464</w:t>
      </w:r>
      <w:bookmarkEnd w:id="46"/>
      <w:bookmarkEnd w:id="47"/>
      <w:bookmarkEnd w:id="48"/>
      <w:bookmarkEnd w:id="49"/>
      <w:bookmarkEnd w:id="50"/>
      <w:bookmarkEnd w:id="51"/>
      <w:bookmarkEnd w:id="52"/>
      <w:bookmarkEnd w:id="53"/>
    </w:p>
    <w:p w14:paraId="13957C4A">
      <w:pPr>
        <w:pageBreakBefore w:val="0"/>
        <w:kinsoku/>
        <w:wordWrap w:val="0"/>
        <w:topLinePunct/>
        <w:bidi w:val="0"/>
        <w:spacing w:line="400" w:lineRule="exact"/>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招标代理：沈阳金诺工程招标代理有限公司</w:t>
      </w:r>
    </w:p>
    <w:p w14:paraId="36332E6C">
      <w:pPr>
        <w:pageBreakBefore w:val="0"/>
        <w:kinsoku/>
        <w:wordWrap w:val="0"/>
        <w:topLinePunct/>
        <w:bidi w:val="0"/>
        <w:spacing w:line="400" w:lineRule="exact"/>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地    址：辽宁省沈阳市浑南区远航中路25-1号</w:t>
      </w:r>
    </w:p>
    <w:p w14:paraId="7E53EA51">
      <w:pPr>
        <w:pageBreakBefore w:val="0"/>
        <w:kinsoku/>
        <w:wordWrap w:val="0"/>
        <w:topLinePunct/>
        <w:bidi w:val="0"/>
        <w:spacing w:line="4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联 系 人：金先生 张女士</w:t>
      </w:r>
    </w:p>
    <w:p w14:paraId="019CE379">
      <w:pPr>
        <w:pageBreakBefore w:val="0"/>
        <w:kinsoku/>
        <w:wordWrap w:val="0"/>
        <w:topLinePunct/>
        <w:bidi w:val="0"/>
        <w:spacing w:line="4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联系电话：024-31695917-8527或8529   </w:t>
      </w:r>
    </w:p>
    <w:p w14:paraId="467F7758">
      <w:pPr>
        <w:pageBreakBefore w:val="0"/>
        <w:kinsoku/>
        <w:wordWrap w:val="0"/>
        <w:topLinePunct/>
        <w:bidi w:val="0"/>
        <w:spacing w:line="400" w:lineRule="exact"/>
        <w:ind w:firstLine="480" w:firstLineChars="200"/>
        <w:rPr>
          <w:rFonts w:hint="default" w:ascii="Times New Roman" w:hAnsi="Times New Roman" w:cs="Times New Roman"/>
          <w:color w:val="0000FF"/>
          <w:sz w:val="24"/>
          <w:highlight w:val="none"/>
        </w:rPr>
      </w:pPr>
      <w:r>
        <w:rPr>
          <w:rFonts w:hint="eastAsia" w:ascii="Times New Roman" w:hAnsi="Times New Roman" w:eastAsia="宋体" w:cs="Times New Roman"/>
          <w:color w:val="auto"/>
          <w:sz w:val="24"/>
          <w:szCs w:val="24"/>
          <w:highlight w:val="none"/>
          <w:lang w:val="en-US" w:eastAsia="zh-CN"/>
        </w:rPr>
        <w:t>邮    箱：1053482638@qq.com</w:t>
      </w:r>
      <w:r>
        <w:rPr>
          <w:rFonts w:hint="default" w:ascii="Times New Roman" w:hAnsi="Times New Roman" w:cs="Times New Roman"/>
          <w:color w:val="auto"/>
          <w:sz w:val="24"/>
          <w:highlight w:val="none"/>
        </w:rPr>
        <w:t xml:space="preserve">                                               </w:t>
      </w:r>
    </w:p>
    <w:p w14:paraId="701202E8">
      <w:pPr>
        <w:tabs>
          <w:tab w:val="left" w:pos="6027"/>
        </w:tabs>
        <w:spacing w:before="179" w:line="220" w:lineRule="auto"/>
        <w:rPr>
          <w:rFonts w:hint="eastAsia" w:ascii="仿宋" w:hAnsi="仿宋" w:eastAsia="仿宋" w:cs="仿宋"/>
          <w:sz w:val="24"/>
          <w:szCs w:val="24"/>
          <w:highlight w:val="none"/>
        </w:rPr>
      </w:pPr>
      <w:r>
        <w:rPr>
          <w:rFonts w:hint="default" w:ascii="Times New Roman" w:hAnsi="Times New Roman" w:cs="Times New Roman"/>
          <w:color w:val="0000FF"/>
          <w:sz w:val="24"/>
          <w:highlight w:val="none"/>
        </w:rPr>
        <w:t>　　　　　　　　 　       　　　　　</w:t>
      </w:r>
      <w:r>
        <w:rPr>
          <w:rFonts w:hint="eastAsia" w:ascii="仿宋" w:hAnsi="仿宋" w:eastAsia="仿宋" w:cs="仿宋"/>
          <w:sz w:val="24"/>
          <w:szCs w:val="24"/>
          <w:highlight w:val="none"/>
          <w:u w:val="none" w:color="auto"/>
          <w:lang w:val="en-US" w:eastAsia="zh-CN"/>
        </w:rPr>
        <w:t>2026</w:t>
      </w:r>
      <w:r>
        <w:rPr>
          <w:rFonts w:hint="eastAsia" w:ascii="仿宋" w:hAnsi="仿宋" w:eastAsia="仿宋" w:cs="仿宋"/>
          <w:spacing w:val="-7"/>
          <w:sz w:val="24"/>
          <w:szCs w:val="24"/>
          <w:highlight w:val="none"/>
          <w:u w:val="none" w:color="auto"/>
        </w:rPr>
        <w:t>年</w:t>
      </w:r>
      <w:r>
        <w:rPr>
          <w:rFonts w:hint="eastAsia" w:ascii="仿宋" w:hAnsi="仿宋" w:eastAsia="仿宋" w:cs="仿宋"/>
          <w:sz w:val="24"/>
          <w:szCs w:val="24"/>
          <w:highlight w:val="none"/>
          <w:u w:val="none" w:color="auto"/>
          <w:lang w:val="en-US" w:eastAsia="zh-CN"/>
        </w:rPr>
        <w:t>4</w:t>
      </w:r>
      <w:r>
        <w:rPr>
          <w:rFonts w:hint="eastAsia" w:ascii="仿宋" w:hAnsi="仿宋" w:eastAsia="仿宋" w:cs="仿宋"/>
          <w:spacing w:val="-7"/>
          <w:sz w:val="24"/>
          <w:szCs w:val="24"/>
          <w:highlight w:val="none"/>
          <w:u w:val="none" w:color="auto"/>
        </w:rPr>
        <w:t>月</w:t>
      </w:r>
      <w:r>
        <w:rPr>
          <w:rFonts w:hint="eastAsia" w:ascii="仿宋" w:hAnsi="仿宋" w:eastAsia="仿宋" w:cs="仿宋"/>
          <w:sz w:val="24"/>
          <w:szCs w:val="24"/>
          <w:highlight w:val="none"/>
          <w:u w:val="none" w:color="auto"/>
          <w:lang w:val="en-US" w:eastAsia="zh-CN"/>
        </w:rPr>
        <w:t>07</w:t>
      </w:r>
      <w:r>
        <w:rPr>
          <w:rFonts w:hint="eastAsia" w:ascii="仿宋" w:hAnsi="仿宋" w:eastAsia="仿宋" w:cs="仿宋"/>
          <w:spacing w:val="-7"/>
          <w:sz w:val="24"/>
          <w:szCs w:val="24"/>
          <w:highlight w:val="none"/>
          <w:u w:val="none" w:color="auto"/>
        </w:rPr>
        <w:t>日</w:t>
      </w:r>
    </w:p>
    <w:p w14:paraId="1416F629">
      <w:pPr>
        <w:pageBreakBefore w:val="0"/>
        <w:widowControl/>
        <w:kinsoku/>
        <w:wordWrap w:val="0"/>
        <w:bidi w:val="0"/>
        <w:ind w:firstLine="960" w:firstLineChars="400"/>
        <w:jc w:val="left"/>
        <w:rPr>
          <w:rFonts w:hint="default" w:ascii="Times New Roman" w:hAnsi="Times New Roman" w:cs="Times New Roman"/>
          <w:color w:val="auto"/>
          <w:sz w:val="24"/>
          <w:highlight w:val="none"/>
        </w:rPr>
        <w:sectPr>
          <w:headerReference r:id="rId15" w:type="default"/>
          <w:footerReference r:id="rId17" w:type="default"/>
          <w:headerReference r:id="rId16" w:type="even"/>
          <w:footerReference r:id="rId18"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0776E4A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AE8B78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EB2E21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2736FCA">
      <w:pPr>
        <w:pageBreakBefore w:val="0"/>
        <w:kinsoku/>
        <w:wordWrap w:val="0"/>
        <w:topLinePunct/>
        <w:bidi w:val="0"/>
        <w:spacing w:line="440" w:lineRule="exact"/>
        <w:ind w:right="31" w:rightChars="15"/>
        <w:rPr>
          <w:rFonts w:hint="default" w:ascii="Times New Roman" w:hAnsi="Times New Roman" w:eastAsia="黑体" w:cs="Times New Roman"/>
          <w:color w:val="auto"/>
          <w:sz w:val="29"/>
          <w:szCs w:val="29"/>
          <w:highlight w:val="none"/>
        </w:rPr>
      </w:pPr>
    </w:p>
    <w:p w14:paraId="372348E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0CB3C1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1B70D8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F63DE3C">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156C7880">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5F162A05">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r>
        <w:rPr>
          <w:rFonts w:hint="default" w:ascii="Times New Roman" w:hAnsi="Times New Roman" w:eastAsia="黑体" w:cs="Times New Roman"/>
          <w:color w:val="auto"/>
          <w:sz w:val="56"/>
          <w:szCs w:val="56"/>
          <w:highlight w:val="none"/>
        </w:rPr>
        <w:t>第二章  投标人须知</w:t>
      </w:r>
    </w:p>
    <w:p w14:paraId="2E1F30B1">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11B09E97">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headerReference r:id="rId19" w:type="default"/>
          <w:footerReference r:id="rId21" w:type="default"/>
          <w:headerReference r:id="rId20" w:type="even"/>
          <w:footerReference r:id="rId22"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C1A14F0">
      <w:pPr>
        <w:pageBreakBefore w:val="0"/>
        <w:kinsoku/>
        <w:wordWrap w:val="0"/>
        <w:bidi w:val="0"/>
        <w:spacing w:line="440" w:lineRule="exact"/>
        <w:jc w:val="center"/>
        <w:outlineLvl w:val="0"/>
        <w:rPr>
          <w:rStyle w:val="53"/>
          <w:rFonts w:hint="default" w:ascii="Times New Roman" w:hAnsi="Times New Roman" w:eastAsia="黑体" w:cs="Times New Roman"/>
          <w:color w:val="auto"/>
          <w:sz w:val="42"/>
          <w:szCs w:val="42"/>
          <w:highlight w:val="none"/>
        </w:rPr>
      </w:pPr>
      <w:bookmarkStart w:id="54" w:name="_Toc9806"/>
      <w:bookmarkStart w:id="55" w:name="_Toc10289"/>
      <w:bookmarkStart w:id="56" w:name="_Toc234832861"/>
      <w:bookmarkStart w:id="57" w:name="_Toc19741"/>
      <w:r>
        <w:rPr>
          <w:rStyle w:val="53"/>
          <w:rFonts w:hint="default" w:ascii="Times New Roman" w:hAnsi="Times New Roman" w:eastAsia="黑体" w:cs="Times New Roman"/>
          <w:color w:val="auto"/>
          <w:sz w:val="42"/>
          <w:szCs w:val="42"/>
          <w:highlight w:val="none"/>
        </w:rPr>
        <w:t>第二章  投标人须知</w:t>
      </w:r>
      <w:bookmarkEnd w:id="54"/>
      <w:bookmarkEnd w:id="55"/>
      <w:bookmarkEnd w:id="56"/>
      <w:bookmarkEnd w:id="57"/>
    </w:p>
    <w:p w14:paraId="18382C42">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58" w:name="_Toc29020"/>
      <w:bookmarkStart w:id="59" w:name="_Toc8928"/>
      <w:bookmarkStart w:id="60" w:name="_Toc20369"/>
      <w:bookmarkStart w:id="61" w:name="_Toc234832862"/>
      <w:r>
        <w:rPr>
          <w:rFonts w:hint="default" w:ascii="Times New Roman" w:hAnsi="Times New Roman" w:eastAsia="黑体" w:cs="Times New Roman"/>
          <w:color w:val="auto"/>
          <w:sz w:val="28"/>
          <w:szCs w:val="28"/>
          <w:highlight w:val="none"/>
        </w:rPr>
        <w:t>投标人须知前附表</w:t>
      </w:r>
      <w:r>
        <w:rPr>
          <w:rStyle w:val="47"/>
          <w:rFonts w:hint="default" w:ascii="Times New Roman" w:hAnsi="Times New Roman" w:eastAsia="黑体" w:cs="Times New Roman"/>
          <w:color w:val="auto"/>
          <w:sz w:val="28"/>
          <w:szCs w:val="28"/>
          <w:highlight w:val="none"/>
        </w:rPr>
        <w:footnoteReference w:id="4"/>
      </w:r>
      <w:bookmarkEnd w:id="58"/>
      <w:bookmarkEnd w:id="59"/>
      <w:bookmarkEnd w:id="60"/>
      <w:bookmarkEnd w:id="61"/>
    </w:p>
    <w:tbl>
      <w:tblPr>
        <w:tblStyle w:val="39"/>
        <w:tblW w:w="0" w:type="auto"/>
        <w:tblInd w:w="0" w:type="dxa"/>
        <w:tblLayout w:type="fixed"/>
        <w:tblCellMar>
          <w:top w:w="0" w:type="dxa"/>
          <w:left w:w="108" w:type="dxa"/>
          <w:bottom w:w="0" w:type="dxa"/>
          <w:right w:w="108" w:type="dxa"/>
        </w:tblCellMar>
      </w:tblPr>
      <w:tblGrid>
        <w:gridCol w:w="1036"/>
        <w:gridCol w:w="3101"/>
        <w:gridCol w:w="4867"/>
      </w:tblGrid>
      <w:tr w14:paraId="55B68763">
        <w:tblPrEx>
          <w:tblCellMar>
            <w:top w:w="0" w:type="dxa"/>
            <w:left w:w="108" w:type="dxa"/>
            <w:bottom w:w="0" w:type="dxa"/>
            <w:right w:w="108" w:type="dxa"/>
          </w:tblCellMar>
        </w:tblPrEx>
        <w:trPr>
          <w:trHeight w:val="340" w:hRule="atLeast"/>
          <w:tblHeader/>
        </w:trPr>
        <w:tc>
          <w:tcPr>
            <w:tcW w:w="1036" w:type="dxa"/>
            <w:tcBorders>
              <w:top w:val="single" w:color="auto" w:sz="4" w:space="0"/>
              <w:left w:val="single" w:color="auto" w:sz="4" w:space="0"/>
              <w:bottom w:val="single" w:color="auto" w:sz="4" w:space="0"/>
              <w:right w:val="single" w:color="auto" w:sz="4" w:space="0"/>
            </w:tcBorders>
            <w:noWrap w:val="0"/>
            <w:vAlign w:val="center"/>
          </w:tcPr>
          <w:p w14:paraId="1C3D1844">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条款号</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60F9693">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  款  名  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EBCE4BC">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编  列  内  容</w:t>
            </w:r>
          </w:p>
        </w:tc>
      </w:tr>
      <w:tr w14:paraId="3E31A0F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9E08C0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A55DA6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招标人</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3A6E4A5">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EA2591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2DFBD6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588491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招标代理机构</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130C292">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493B401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FA032E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92BC7E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招标项目名称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6E332F4">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EAA814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DAE385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275C1B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标段建设地点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252C8F4">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D0C47B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FFABB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8C2E6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资金来源及比例</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A87285C">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DEB25C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1E036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1BC939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资金落实情况</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BEF006A">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75347E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9FC66F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C87774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招标范围</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2ABB03F">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C45538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7C722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E2D523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计划工期</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8B5AE22">
            <w:pP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6138C5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B136F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A5F2A8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88E2450">
            <w:pPr>
              <w:pStyle w:val="15"/>
              <w:pageBreakBefore w:val="0"/>
              <w:kinsoku/>
              <w:wordWrap w:val="0"/>
              <w:topLinePunct/>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标段工程交工验收的质量评定：</w:t>
            </w:r>
            <w:r>
              <w:rPr>
                <w:rFonts w:hint="eastAsia" w:ascii="仿宋" w:hAnsi="仿宋" w:eastAsia="仿宋" w:cs="仿宋"/>
                <w:spacing w:val="4"/>
                <w:u w:val="single" w:color="auto"/>
                <w:lang w:val="en-US" w:eastAsia="zh-CN"/>
              </w:rPr>
              <w:t>合格</w:t>
            </w:r>
            <w:r>
              <w:rPr>
                <w:rFonts w:hint="eastAsia" w:ascii="仿宋" w:hAnsi="仿宋" w:eastAsia="仿宋" w:cs="仿宋"/>
                <w:spacing w:val="4"/>
                <w:u w:val="single" w:color="auto"/>
              </w:rPr>
              <w:t xml:space="preserve"> </w:t>
            </w:r>
            <w:r>
              <w:rPr>
                <w:rFonts w:hint="default" w:ascii="Times New Roman" w:hAnsi="Times New Roman" w:cs="Times New Roman"/>
                <w:color w:val="auto"/>
                <w:sz w:val="24"/>
                <w:szCs w:val="24"/>
                <w:highlight w:val="none"/>
                <w:u w:val="single"/>
              </w:rPr>
              <w:t xml:space="preserve">   </w:t>
            </w:r>
            <w:r>
              <w:rPr>
                <w:rFonts w:hint="eastAsia" w:asci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rPr>
              <w:t>竣工验收的质量评定：</w:t>
            </w:r>
            <w:r>
              <w:rPr>
                <w:rFonts w:hint="eastAsia" w:ascii="仿宋" w:hAnsi="仿宋" w:eastAsia="仿宋" w:cs="仿宋"/>
                <w:spacing w:val="4"/>
                <w:u w:val="single" w:color="auto"/>
                <w:lang w:val="en-US" w:eastAsia="zh-CN"/>
              </w:rPr>
              <w:t>合格</w:t>
            </w:r>
            <w:r>
              <w:rPr>
                <w:rFonts w:hint="eastAsia" w:ascii="仿宋" w:hAnsi="仿宋" w:eastAsia="仿宋" w:cs="仿宋"/>
                <w:spacing w:val="4"/>
                <w:u w:val="single" w:color="auto"/>
              </w:rPr>
              <w:t xml:space="preserve"> </w:t>
            </w:r>
            <w:r>
              <w:rPr>
                <w:rFonts w:hint="default" w:ascii="Times New Roman" w:hAnsi="Times New Roman" w:cs="Times New Roman"/>
                <w:color w:val="auto"/>
                <w:sz w:val="24"/>
                <w:szCs w:val="24"/>
                <w:highlight w:val="none"/>
                <w:u w:val="single"/>
              </w:rPr>
              <w:t xml:space="preserve">    </w:t>
            </w:r>
          </w:p>
        </w:tc>
      </w:tr>
      <w:tr w14:paraId="09E8001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9923CD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1.3.4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66D8AE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安全目标</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A01A29D">
            <w:pPr>
              <w:pStyle w:val="15"/>
              <w:pageBreakBefore w:val="0"/>
              <w:numPr>
                <w:ilvl w:val="-1"/>
                <w:numId w:val="0"/>
              </w:numPr>
              <w:kinsoku/>
              <w:wordWrap w:val="0"/>
              <w:topLinePunct/>
              <w:bidi w:val="0"/>
              <w:spacing w:line="440" w:lineRule="exact"/>
              <w:rPr>
                <w:rFonts w:hint="default" w:ascii="Times New Roman" w:cs="Times New Roman"/>
                <w:color w:val="auto"/>
                <w:sz w:val="24"/>
                <w:szCs w:val="24"/>
                <w:highlight w:val="none"/>
                <w:lang w:val="en-US" w:eastAsia="zh-CN"/>
              </w:rPr>
            </w:pPr>
            <w:r>
              <w:rPr>
                <w:rFonts w:hint="default" w:ascii="Times New Roman" w:cs="Times New Roman"/>
                <w:color w:val="auto"/>
                <w:sz w:val="24"/>
                <w:szCs w:val="24"/>
                <w:highlight w:val="none"/>
                <w:lang w:val="en-US" w:eastAsia="zh-CN"/>
              </w:rPr>
              <w:t>杜绝较大及以上安全生产责任事故，减少一般事故，力争零责任事故。</w:t>
            </w:r>
          </w:p>
        </w:tc>
      </w:tr>
      <w:tr w14:paraId="56B7FC5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BE2AB3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21F6F7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投标人资质条件、能力和信誉</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8CFB9FD">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资质要求：见</w:t>
            </w:r>
            <w:r>
              <w:rPr>
                <w:rFonts w:hint="default" w:ascii="Times New Roman" w:hAnsi="Times New Roman" w:eastAsia="黑体" w:cs="Times New Roman"/>
                <w:color w:val="auto"/>
                <w:sz w:val="24"/>
                <w:szCs w:val="24"/>
                <w:highlight w:val="none"/>
              </w:rPr>
              <w:t>附录1</w:t>
            </w:r>
          </w:p>
          <w:p w14:paraId="51E4A75D">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财务要求：见</w:t>
            </w:r>
            <w:r>
              <w:rPr>
                <w:rFonts w:hint="default" w:ascii="Times New Roman" w:hAnsi="Times New Roman" w:eastAsia="黑体" w:cs="Times New Roman"/>
                <w:color w:val="auto"/>
                <w:sz w:val="24"/>
                <w:szCs w:val="24"/>
                <w:highlight w:val="none"/>
              </w:rPr>
              <w:t>附录2</w:t>
            </w:r>
          </w:p>
          <w:p w14:paraId="05C77E55">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业绩要求：见</w:t>
            </w:r>
            <w:r>
              <w:rPr>
                <w:rFonts w:hint="default" w:ascii="Times New Roman" w:hAnsi="Times New Roman" w:eastAsia="黑体" w:cs="Times New Roman"/>
                <w:color w:val="auto"/>
                <w:sz w:val="24"/>
                <w:szCs w:val="24"/>
                <w:highlight w:val="none"/>
              </w:rPr>
              <w:t>附录3</w:t>
            </w:r>
          </w:p>
          <w:p w14:paraId="29086515">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信誉要求：见</w:t>
            </w:r>
            <w:r>
              <w:rPr>
                <w:rFonts w:hint="default" w:ascii="Times New Roman" w:hAnsi="Times New Roman" w:eastAsia="黑体" w:cs="Times New Roman"/>
                <w:color w:val="auto"/>
                <w:sz w:val="24"/>
                <w:szCs w:val="24"/>
                <w:highlight w:val="none"/>
              </w:rPr>
              <w:t>附录4</w:t>
            </w:r>
          </w:p>
          <w:p w14:paraId="228205BC">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项目经理和项目总工资格：见</w:t>
            </w:r>
            <w:r>
              <w:rPr>
                <w:rFonts w:hint="default" w:ascii="Times New Roman" w:hAnsi="Times New Roman" w:eastAsia="黑体" w:cs="Times New Roman"/>
                <w:color w:val="auto"/>
                <w:sz w:val="24"/>
                <w:szCs w:val="24"/>
                <w:highlight w:val="none"/>
              </w:rPr>
              <w:t>附录5</w:t>
            </w:r>
          </w:p>
          <w:p w14:paraId="4463588C">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其他要求：</w:t>
            </w:r>
            <w:r>
              <w:rPr>
                <w:rFonts w:hint="eastAsia" w:ascii="Times New Roman" w:hAnsi="Times New Roman" w:eastAsia="宋体" w:cs="Times New Roman"/>
                <w:color w:val="auto"/>
                <w:kern w:val="2"/>
                <w:sz w:val="24"/>
                <w:szCs w:val="24"/>
                <w:highlight w:val="none"/>
                <w:u w:val="single"/>
                <w:lang w:val="en-US" w:eastAsia="zh-CN" w:bidi="ar-SA"/>
              </w:rPr>
              <w:t>投标文件“资格审查资料”各项表格后应提供的证明材料以本附表各附录中的注解规定为准。</w:t>
            </w:r>
          </w:p>
        </w:tc>
      </w:tr>
      <w:tr w14:paraId="5A408D2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196393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5038174">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是否接受联合体投标</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54D8711">
            <w:pPr>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不接受</w:t>
            </w:r>
          </w:p>
          <w:p w14:paraId="13A7344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lang w:val="en-US" w:eastAsia="zh-CN"/>
              </w:rPr>
              <w:t>标段，</w:t>
            </w:r>
            <w:r>
              <w:rPr>
                <w:rFonts w:hint="default" w:ascii="Times New Roman" w:hAnsi="Times New Roman" w:cs="Times New Roman"/>
                <w:color w:val="auto"/>
                <w:sz w:val="24"/>
                <w:szCs w:val="24"/>
                <w:highlight w:val="none"/>
              </w:rPr>
              <w:t>接受，应满足下列要求：</w:t>
            </w:r>
          </w:p>
        </w:tc>
      </w:tr>
      <w:tr w14:paraId="3375594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E7BBDC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123775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投标人不得存在的其他关联情形</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EB597D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与招标人存在利害关系可能影响招标公正性的单位，不得参加本项目投标。电子招标投标交易平台的运营机构，以及与该机构有控股或者管理关系可能影响招标公正性的任何单位和个人不得参与本项目投标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单位负责人为同一人或存在控股、管理关系的不同单位，不得同时参加本项目投标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否则，相关投标均无效。</w:t>
            </w:r>
          </w:p>
        </w:tc>
      </w:tr>
      <w:tr w14:paraId="12964F0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EF9F67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9E07C3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投标人不得存在的其他不良状况或不良信用记录</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6E2EB53">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ascii="仿宋" w:hAnsi="仿宋" w:eastAsia="仿宋" w:cs="仿宋"/>
                <w:sz w:val="21"/>
                <w:u w:val="single"/>
                <w:lang w:val="en-US" w:eastAsia="zh-CN"/>
              </w:rPr>
              <w:t xml:space="preserve"> </w:t>
            </w:r>
            <w:r>
              <w:rPr>
                <w:rFonts w:hint="eastAsia" w:ascii="仿宋" w:hAnsi="仿宋" w:eastAsia="仿宋" w:cs="仿宋"/>
                <w:spacing w:val="1"/>
                <w:u w:val="single" w:color="auto"/>
                <w:lang w:val="en-US" w:eastAsia="zh-CN"/>
              </w:rPr>
              <w:t xml:space="preserve">/ </w:t>
            </w:r>
          </w:p>
        </w:tc>
      </w:tr>
      <w:tr w14:paraId="0B115D9E">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5A70A89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1.10.2</w:t>
            </w:r>
          </w:p>
        </w:tc>
        <w:tc>
          <w:tcPr>
            <w:tcW w:w="3101" w:type="dxa"/>
            <w:vMerge w:val="restart"/>
            <w:tcBorders>
              <w:top w:val="single" w:color="auto" w:sz="4" w:space="0"/>
              <w:left w:val="single" w:color="auto" w:sz="4" w:space="0"/>
              <w:right w:val="single" w:color="auto" w:sz="4" w:space="0"/>
            </w:tcBorders>
            <w:noWrap w:val="0"/>
            <w:vAlign w:val="center"/>
          </w:tcPr>
          <w:p w14:paraId="6B4661E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投标人在投标预备会前提出问题</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CB8A4B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w:t>
            </w:r>
            <w:r>
              <w:rPr>
                <w:rFonts w:hint="eastAsia" w:ascii="仿宋" w:hAnsi="仿宋" w:eastAsia="仿宋" w:cs="仿宋"/>
                <w:sz w:val="21"/>
                <w:u w:val="single"/>
                <w:lang w:val="en-US" w:eastAsia="zh-CN"/>
              </w:rPr>
              <w:t xml:space="preserve"> </w:t>
            </w:r>
            <w:r>
              <w:rPr>
                <w:rFonts w:hint="eastAsia" w:ascii="仿宋" w:hAnsi="仿宋" w:eastAsia="仿宋" w:cs="仿宋"/>
                <w:spacing w:val="1"/>
                <w:u w:val="single" w:color="auto"/>
                <w:lang w:val="en-US" w:eastAsia="zh-CN"/>
              </w:rPr>
              <w:t xml:space="preserve">/ </w:t>
            </w:r>
          </w:p>
        </w:tc>
      </w:tr>
      <w:tr w14:paraId="104779D0">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6E5A0B54">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2DA8FD5C">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23DD3DA">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w:t>
            </w:r>
            <w:r>
              <w:rPr>
                <w:rFonts w:hint="eastAsia" w:ascii="仿宋" w:hAnsi="仿宋" w:eastAsia="仿宋" w:cs="仿宋"/>
                <w:sz w:val="21"/>
                <w:u w:val="single"/>
                <w:lang w:val="en-US" w:eastAsia="zh-CN"/>
              </w:rPr>
              <w:t xml:space="preserve"> </w:t>
            </w:r>
            <w:r>
              <w:rPr>
                <w:rFonts w:hint="eastAsia" w:ascii="仿宋" w:hAnsi="仿宋" w:eastAsia="仿宋" w:cs="仿宋"/>
                <w:spacing w:val="1"/>
                <w:u w:val="single" w:color="auto"/>
                <w:lang w:val="en-US" w:eastAsia="zh-CN"/>
              </w:rPr>
              <w:t xml:space="preserve">/ </w:t>
            </w:r>
          </w:p>
        </w:tc>
      </w:tr>
      <w:tr w14:paraId="0A1713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CED4D0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9F776A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  包</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9C52328">
            <w:pPr>
              <w:spacing w:line="360" w:lineRule="atLeast"/>
              <w:rPr>
                <w:rFonts w:ascii="Times New Roman" w:hAnsi="Times New Roman" w:eastAsia="宋体" w:cs="Times New Roman"/>
                <w:color w:val="auto"/>
                <w:szCs w:val="21"/>
                <w:highlight w:val="none"/>
              </w:rPr>
            </w:pPr>
            <w:r>
              <w:rPr>
                <w:rFonts w:hint="eastAsia" w:cs="Times New Roman"/>
                <w:color w:val="auto"/>
                <w:sz w:val="32"/>
                <w:highlight w:val="none"/>
                <w:lang w:eastAsia="zh-CN"/>
              </w:rPr>
              <w:t>☑</w:t>
            </w:r>
            <w:r>
              <w:rPr>
                <w:rFonts w:ascii="Times New Roman" w:hAnsi="Times New Roman" w:eastAsia="宋体" w:cs="Times New Roman"/>
                <w:color w:val="auto"/>
                <w:szCs w:val="21"/>
                <w:highlight w:val="none"/>
              </w:rPr>
              <w:t>不允许</w:t>
            </w:r>
          </w:p>
          <w:p w14:paraId="2283361F">
            <w:pPr>
              <w:pStyle w:val="14"/>
              <w:pageBreakBefore w:val="0"/>
              <w:kinsoku/>
              <w:wordWrap w:val="0"/>
              <w:bidi w:val="0"/>
              <w:spacing w:line="440" w:lineRule="exact"/>
              <w:ind w:firstLine="0" w:firstLineChars="0"/>
              <w:jc w:val="both"/>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kern w:val="2"/>
                <w:sz w:val="32"/>
                <w:szCs w:val="24"/>
                <w:highlight w:val="none"/>
                <w:lang w:val="en-US" w:eastAsia="zh-CN" w:bidi="ar-SA"/>
              </w:rPr>
              <w:t>□</w:t>
            </w:r>
            <w:r>
              <w:rPr>
                <w:rFonts w:ascii="Times New Roman" w:hAnsi="Times New Roman" w:eastAsia="宋体" w:cs="Times New Roman"/>
                <w:color w:val="auto"/>
                <w:spacing w:val="-10"/>
                <w:kern w:val="2"/>
                <w:sz w:val="21"/>
                <w:szCs w:val="21"/>
                <w:highlight w:val="none"/>
                <w:lang w:val="en-US" w:eastAsia="zh-CN" w:bidi="ar-SA"/>
              </w:rPr>
              <w:t>允许</w:t>
            </w:r>
            <w:r>
              <w:rPr>
                <w:rFonts w:hint="eastAsia" w:ascii="Times New Roman" w:hAnsi="Times New Roman" w:eastAsia="宋体" w:cs="Times New Roman"/>
                <w:color w:val="auto"/>
                <w:spacing w:val="-10"/>
                <w:kern w:val="2"/>
                <w:sz w:val="21"/>
                <w:szCs w:val="21"/>
                <w:highlight w:val="none"/>
                <w:lang w:val="en-US" w:eastAsia="zh-CN" w:bidi="ar-SA"/>
              </w:rPr>
              <w:t>，</w:t>
            </w:r>
            <w:r>
              <w:rPr>
                <w:rFonts w:hint="default" w:ascii="Times New Roman" w:hAnsi="Times New Roman" w:cs="Times New Roman"/>
                <w:color w:val="auto"/>
                <w:sz w:val="24"/>
                <w:szCs w:val="24"/>
                <w:highlight w:val="none"/>
                <w:u w:val="none"/>
              </w:rPr>
              <w:t>承包人按照合同约定或者经发包人书面同意，可以将中标项目中负面清单以外的部分单位工程、分部工程或者分项工程分包给满足相应条件的其他专业施工单位完成。</w:t>
            </w:r>
          </w:p>
        </w:tc>
      </w:tr>
      <w:tr w14:paraId="06A636F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55EC6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CAB2C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构成招标文件的其他资料</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6D5594A">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（1）详见辽宁省公共资源交易一张网电子化平台中随招标文件下载的“招标文件的其他材料”。</w:t>
            </w:r>
          </w:p>
          <w:p w14:paraId="5542108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电子系统生成的招标文件中的第二章“投标人须知”、第三章“评标办法”、第九章“投标文件格式”与“招标文件的其他资料”中对应的章节内容不一致时，以“招标文件的其他材料”中的资料为准。“招标文件的其他材料”中未约定事宜，以电子系统生成的招标文件中的第二章“投标人须知”、第三章“评标办法”为准。</w:t>
            </w:r>
          </w:p>
          <w:p w14:paraId="7C433AAC">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（2）招标人在“辽宁省公共资源交易一张网电子化平台”或“百度网盘”（链接：详见第二章“投标人须知”第2.2.2项）中，提供与本项目招标相关的资料。</w:t>
            </w:r>
          </w:p>
        </w:tc>
      </w:tr>
      <w:tr w14:paraId="40572669">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3851555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2.2.1</w:t>
            </w:r>
          </w:p>
        </w:tc>
        <w:tc>
          <w:tcPr>
            <w:tcW w:w="3101" w:type="dxa"/>
            <w:vMerge w:val="restart"/>
            <w:tcBorders>
              <w:top w:val="single" w:color="auto" w:sz="4" w:space="0"/>
              <w:left w:val="single" w:color="auto" w:sz="4" w:space="0"/>
              <w:right w:val="single" w:color="auto" w:sz="4" w:space="0"/>
            </w:tcBorders>
            <w:noWrap w:val="0"/>
            <w:vAlign w:val="center"/>
          </w:tcPr>
          <w:p w14:paraId="4DEDD15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投标人要求澄清招标文件</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960946A">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时间：递交投标文件截止之日</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10</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天前（以发出时间为准）</w:t>
            </w:r>
          </w:p>
        </w:tc>
      </w:tr>
      <w:tr w14:paraId="467ECF37">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4CB76AC3">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0B860DCA">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E24F6C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形式：</w:t>
            </w:r>
            <w:bookmarkStart w:id="62" w:name="EB1739ce6098664f60a63f86a166a66b1e"/>
            <w:r>
              <w:rPr>
                <w:rFonts w:hint="default" w:ascii="Times New Roman" w:hAnsi="Times New Roman" w:eastAsia="宋体" w:cs="Times New Roman"/>
                <w:color w:val="auto"/>
                <w:kern w:val="2"/>
                <w:sz w:val="24"/>
                <w:szCs w:val="24"/>
                <w:highlight w:val="none"/>
                <w:lang w:val="en-US" w:eastAsia="zh-CN" w:bidi="ar-SA"/>
              </w:rPr>
              <w:t>使用CA数字证书登录“电子交易平台”，在“答疑澄清”菜单以书面形式将提出的问题送达招标人，同时发送招标代理机构邮箱并电话通知招标代理机构。</w:t>
            </w:r>
            <w:bookmarkEnd w:id="62"/>
          </w:p>
        </w:tc>
      </w:tr>
      <w:tr w14:paraId="7289FF0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34BD4E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F123D8D">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招标文件澄清发出的形式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B328E10">
            <w:pPr>
              <w:pageBreakBefore w:val="0"/>
              <w:kinsoku/>
              <w:wordWrap w:val="0"/>
              <w:bidi w:val="0"/>
              <w:spacing w:line="440" w:lineRule="exact"/>
              <w:rPr>
                <w:rFonts w:hint="default" w:ascii="Times New Roman" w:hAnsi="Times New Roman" w:eastAsia="宋体" w:cs="Times New Roman"/>
                <w:color w:val="C0504D" w:themeColor="accent2"/>
                <w:kern w:val="2"/>
                <w:sz w:val="24"/>
                <w:szCs w:val="24"/>
                <w:highlight w:val="none"/>
                <w:lang w:val="en-US" w:eastAsia="zh-CN" w:bidi="ar-SA"/>
                <w14:textFill>
                  <w14:solidFill>
                    <w14:schemeClr w14:val="accent2"/>
                  </w14:solidFill>
                </w14:textFill>
              </w:rPr>
            </w:pPr>
            <w:r>
              <w:rPr>
                <w:rFonts w:hint="default" w:ascii="Times New Roman" w:hAnsi="Times New Roman" w:eastAsia="宋体" w:cs="Times New Roman"/>
                <w:color w:val="auto"/>
                <w:kern w:val="2"/>
                <w:sz w:val="24"/>
                <w:szCs w:val="24"/>
                <w:highlight w:val="none"/>
                <w:lang w:val="en-US" w:eastAsia="zh-CN" w:bidi="ar-SA"/>
              </w:rPr>
              <w:t>招标文件的澄清和修改内容将在“电子交易平台或百度网盘（链接</w:t>
            </w:r>
            <w:r>
              <w:rPr>
                <w:rFonts w:hint="eastAsia" w:cs="Times New Roman"/>
                <w:color w:val="auto"/>
                <w:kern w:val="2"/>
                <w:sz w:val="24"/>
                <w:szCs w:val="24"/>
                <w:highlight w:val="none"/>
                <w:lang w:val="en-US" w:eastAsia="zh-CN" w:bidi="ar-SA"/>
              </w:rPr>
              <w:t>：</w:t>
            </w:r>
          </w:p>
          <w:p w14:paraId="5CDC95AE">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C0504D" w:themeColor="accent2"/>
                <w:kern w:val="2"/>
                <w:sz w:val="24"/>
                <w:szCs w:val="24"/>
                <w:highlight w:val="none"/>
                <w:lang w:val="en-US" w:eastAsia="zh-CN" w:bidi="ar-SA"/>
                <w14:textFill>
                  <w14:solidFill>
                    <w14:schemeClr w14:val="accent2"/>
                  </w14:solidFill>
                </w14:textFill>
              </w:rPr>
              <w:t>链接: https://pan.baidu.com/s/1WtL-9sdeDTs2pstT9WSSEg 提取码: ykzx）</w:t>
            </w:r>
            <w:r>
              <w:rPr>
                <w:rFonts w:hint="default" w:ascii="Times New Roman" w:hAnsi="Times New Roman" w:eastAsia="宋体" w:cs="Times New Roman"/>
                <w:color w:val="auto"/>
                <w:kern w:val="2"/>
                <w:sz w:val="24"/>
                <w:szCs w:val="24"/>
                <w:highlight w:val="none"/>
                <w:lang w:val="en-US" w:eastAsia="zh-CN" w:bidi="ar-SA"/>
              </w:rPr>
              <w:t>”中发布给投标人。各潜在投标人应自行密切关注电子交易平台及百度网盘，及时获取对招标文件的澄清和修改内容，避免影响投标文件的编制及递交，否则一切后果由投标人自行承担。</w:t>
            </w:r>
          </w:p>
        </w:tc>
      </w:tr>
      <w:tr w14:paraId="7814BCB0">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428E620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2.2.3</w:t>
            </w:r>
          </w:p>
        </w:tc>
        <w:tc>
          <w:tcPr>
            <w:tcW w:w="3101" w:type="dxa"/>
            <w:tcBorders>
              <w:top w:val="single" w:color="auto" w:sz="4" w:space="0"/>
              <w:left w:val="single" w:color="auto" w:sz="4" w:space="0"/>
              <w:right w:val="single" w:color="auto" w:sz="4" w:space="0"/>
            </w:tcBorders>
            <w:noWrap w:val="0"/>
            <w:vAlign w:val="center"/>
          </w:tcPr>
          <w:p w14:paraId="307D75EC">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投标人确认收到招标文件澄清</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4C25AF2D">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投标人无需回函确认，招标文件澄清或修改上传完成即视为潜在投标人已收悉，无需回函确认。</w:t>
            </w:r>
          </w:p>
        </w:tc>
      </w:tr>
      <w:tr w14:paraId="07F7D83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C89CF9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3ACE4FB">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招标文件修改发出的形式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69CFBD7">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同本附表第2.2.2项</w:t>
            </w:r>
          </w:p>
        </w:tc>
      </w:tr>
      <w:tr w14:paraId="71364FD6">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63567D6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2.3.2</w:t>
            </w:r>
          </w:p>
        </w:tc>
        <w:tc>
          <w:tcPr>
            <w:tcW w:w="3101" w:type="dxa"/>
            <w:tcBorders>
              <w:top w:val="single" w:color="auto" w:sz="4" w:space="0"/>
              <w:left w:val="single" w:color="auto" w:sz="4" w:space="0"/>
              <w:right w:val="single" w:color="auto" w:sz="4" w:space="0"/>
            </w:tcBorders>
            <w:noWrap w:val="0"/>
            <w:vAlign w:val="center"/>
          </w:tcPr>
          <w:p w14:paraId="553D993C">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投标人确认收到招标文件修改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CB55E5C">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同本附表第2.2.2项</w:t>
            </w:r>
          </w:p>
        </w:tc>
      </w:tr>
      <w:tr w14:paraId="196D192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F39D7D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AF8B69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构成投标文件的其他资料</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CD4C11D">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构成投标文件的其他材料详见第九章</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“投标文件格式”</w:t>
            </w:r>
          </w:p>
        </w:tc>
      </w:tr>
      <w:tr w14:paraId="0AB3292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9DE694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4AEF8F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增值税税金的计算方法</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B73E225">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一般计税法</w:t>
            </w:r>
          </w:p>
          <w:p w14:paraId="5858DD60">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简易计税法</w:t>
            </w:r>
          </w:p>
          <w:p w14:paraId="15F253F2">
            <w:pPr>
              <w:spacing w:line="440" w:lineRule="exact"/>
              <w:rPr>
                <w:rFonts w:hint="eastAsia" w:ascii="宋体" w:hAnsi="宋体" w:eastAsia="宋体" w:cs="宋体"/>
                <w:color w:val="auto"/>
                <w:sz w:val="24"/>
                <w:szCs w:val="24"/>
                <w:highlight w:val="none"/>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扣缴计税法</w:t>
            </w:r>
          </w:p>
          <w:p w14:paraId="724804D1">
            <w:pPr>
              <w:pageBreakBefore w:val="0"/>
              <w:kinsoku/>
              <w:wordWrap w:val="0"/>
              <w:bidi w:val="0"/>
              <w:spacing w:line="440" w:lineRule="exact"/>
              <w:ind w:left="460" w:hanging="480" w:hangingChars="200"/>
              <w:rPr>
                <w:rFonts w:hint="default" w:ascii="Times New Roman" w:hAnsi="Times New Roman" w:cs="Times New Roman"/>
                <w:color w:val="auto"/>
                <w:spacing w:val="10"/>
                <w:sz w:val="24"/>
                <w:szCs w:val="24"/>
                <w:highlight w:val="none"/>
                <w:bdr w:val="single" w:color="auto" w:sz="4" w:space="0"/>
              </w:rPr>
            </w:pPr>
            <w:r>
              <w:rPr>
                <w:rFonts w:hint="eastAsia"/>
                <w:color w:val="auto"/>
                <w:sz w:val="24"/>
                <w:highlight w:val="none"/>
                <w:lang w:eastAsia="zh-CN"/>
              </w:rPr>
              <w:t>□</w:t>
            </w:r>
            <w:r>
              <w:rPr>
                <w:rFonts w:hint="eastAsia" w:ascii="宋体" w:hAnsi="宋体" w:eastAsia="宋体" w:cs="宋体"/>
                <w:color w:val="auto"/>
                <w:sz w:val="24"/>
                <w:szCs w:val="24"/>
                <w:highlight w:val="none"/>
              </w:rPr>
              <w:t xml:space="preserve"> 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计税法</w:t>
            </w:r>
          </w:p>
        </w:tc>
      </w:tr>
      <w:tr w14:paraId="420BFF2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5ABE18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DE5B38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工程量清单的填写方式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FF89C70">
            <w:pPr>
              <w:pageBreakBefore w:val="0"/>
              <w:kinsoku/>
              <w:wordWrap w:val="0"/>
              <w:bidi w:val="0"/>
              <w:spacing w:line="440" w:lineRule="exact"/>
              <w:rPr>
                <w:rFonts w:hint="default" w:ascii="Times New Roman" w:hAnsi="Times New Roman" w:eastAsia="宋体" w:cs="Times New Roman"/>
                <w:color w:val="C0504D" w:themeColor="accent2"/>
                <w:kern w:val="2"/>
                <w:sz w:val="24"/>
                <w:szCs w:val="24"/>
                <w:highlight w:val="none"/>
                <w:lang w:val="en-US" w:eastAsia="zh-CN" w:bidi="ar-SA"/>
                <w14:textFill>
                  <w14:solidFill>
                    <w14:schemeClr w14:val="accent2"/>
                  </w14:solidFill>
                </w14:textFill>
              </w:rPr>
            </w:pPr>
            <w:r>
              <w:rPr>
                <w:rFonts w:hint="eastAsia"/>
                <w:color w:val="auto"/>
                <w:sz w:val="24"/>
                <w:highlight w:val="none"/>
                <w:lang w:eastAsia="zh-CN"/>
              </w:rPr>
              <w:t>☑</w:t>
            </w:r>
            <w:r>
              <w:rPr>
                <w:sz w:val="24"/>
              </w:rPr>
              <w:t>投标人按照招标人提供与最高投标限价相对应的已标价工程量清单</w:t>
            </w:r>
            <w:r>
              <w:rPr>
                <w:rFonts w:hint="eastAsia"/>
                <w:sz w:val="24"/>
              </w:rPr>
              <w:t>，</w:t>
            </w:r>
            <w:r>
              <w:rPr>
                <w:b/>
                <w:bCs/>
                <w:sz w:val="24"/>
              </w:rPr>
              <w:t>本项目无需投标人提供与投标总价相对应的已标价工程量清单</w:t>
            </w:r>
            <w:r>
              <w:rPr>
                <w:rFonts w:hint="default" w:ascii="Times New Roman" w:hAnsi="Times New Roman" w:cs="Times New Roman"/>
                <w:color w:val="auto"/>
                <w:sz w:val="24"/>
                <w:szCs w:val="24"/>
                <w:highlight w:val="none"/>
              </w:rPr>
              <w:t>，下载网站：</w:t>
            </w:r>
            <w:r>
              <w:rPr>
                <w:rFonts w:hint="default" w:ascii="Times New Roman" w:hAnsi="Times New Roman" w:cs="Times New Roman"/>
                <w:color w:val="auto"/>
                <w:sz w:val="24"/>
                <w:szCs w:val="24"/>
                <w:highlight w:val="none"/>
                <w:u w:val="single"/>
              </w:rPr>
              <w:t xml:space="preserve"> 通过“电子交易平台或百度网盘</w:t>
            </w:r>
            <w:r>
              <w:rPr>
                <w:rFonts w:hint="default" w:ascii="Times New Roman" w:hAnsi="Times New Roman" w:eastAsia="宋体" w:cs="Times New Roman"/>
                <w:color w:val="auto"/>
                <w:kern w:val="2"/>
                <w:sz w:val="24"/>
                <w:szCs w:val="24"/>
                <w:highlight w:val="none"/>
                <w:lang w:val="en-US" w:eastAsia="zh-CN" w:bidi="ar-SA"/>
              </w:rPr>
              <w:t>（</w:t>
            </w:r>
          </w:p>
          <w:p w14:paraId="62C4B7E9">
            <w:pPr>
              <w:pageBreakBefore w:val="0"/>
              <w:kinsoku/>
              <w:wordWrap w:val="0"/>
              <w:bidi w:val="0"/>
              <w:spacing w:line="440" w:lineRule="exact"/>
              <w:ind w:left="160" w:hanging="120" w:hangingChars="50"/>
              <w:rPr>
                <w:rFonts w:hint="default" w:ascii="Times New Roman" w:hAnsi="Times New Roman" w:cs="Times New Roman"/>
                <w:color w:val="auto"/>
                <w:sz w:val="24"/>
                <w:szCs w:val="24"/>
                <w:highlight w:val="none"/>
                <w:u w:val="single"/>
                <w:lang w:val="en-US"/>
              </w:rPr>
            </w:pPr>
            <w:r>
              <w:rPr>
                <w:rFonts w:hint="default" w:ascii="Times New Roman" w:hAnsi="Times New Roman" w:eastAsia="宋体" w:cs="Times New Roman"/>
                <w:color w:val="C0504D" w:themeColor="accent2"/>
                <w:kern w:val="2"/>
                <w:sz w:val="24"/>
                <w:szCs w:val="24"/>
                <w:highlight w:val="none"/>
                <w:lang w:val="en-US" w:eastAsia="zh-CN" w:bidi="ar-SA"/>
                <w14:textFill>
                  <w14:solidFill>
                    <w14:schemeClr w14:val="accent2"/>
                  </w14:solidFill>
                </w14:textFill>
              </w:rPr>
              <w:t>链接: https://pan.baidu.com/s/1WtL-9sdeDTs2pstT9WSSEg 提取码: ykzx）</w:t>
            </w:r>
            <w:r>
              <w:rPr>
                <w:rFonts w:hint="default" w:ascii="Times New Roman" w:hAnsi="Times New Roman" w:cs="Times New Roman"/>
                <w:color w:val="auto"/>
                <w:sz w:val="24"/>
                <w:szCs w:val="24"/>
                <w:highlight w:val="none"/>
                <w:u w:val="single"/>
              </w:rPr>
              <w:t>”发出</w:t>
            </w:r>
          </w:p>
        </w:tc>
      </w:tr>
      <w:tr w14:paraId="48F68E8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2C5873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D08E0B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报价方式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9E73707">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单价</w:t>
            </w:r>
          </w:p>
          <w:p w14:paraId="75480E3E">
            <w:pPr>
              <w:pageBreakBefore w:val="0"/>
              <w:kinsoku/>
              <w:wordWrap w:val="0"/>
              <w:bidi w:val="0"/>
              <w:spacing w:line="440" w:lineRule="exact"/>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总价</w:t>
            </w:r>
            <w:r>
              <w:rPr>
                <w:rFonts w:hint="eastAsia" w:ascii="Times New Roman" w:hAnsi="Times New Roman" w:eastAsia="宋体" w:cs="Times New Roman"/>
                <w:color w:val="auto"/>
                <w:kern w:val="2"/>
                <w:sz w:val="24"/>
                <w:szCs w:val="24"/>
                <w:highlight w:val="none"/>
                <w:lang w:val="en-US" w:eastAsia="zh-CN" w:bidi="ar-SA"/>
              </w:rPr>
              <w:t>，</w:t>
            </w:r>
            <w:bookmarkStart w:id="63" w:name="OLE_LINK14"/>
            <w:bookmarkStart w:id="64" w:name="OLE_LINK15"/>
            <w:r>
              <w:rPr>
                <w:rFonts w:hint="eastAsia" w:cs="宋体" w:asciiTheme="minorEastAsia" w:hAnsiTheme="minorEastAsia" w:eastAsiaTheme="minorEastAsia"/>
                <w:b/>
                <w:sz w:val="24"/>
              </w:rPr>
              <w:t>投标报价精确到个位</w:t>
            </w:r>
            <w:bookmarkEnd w:id="63"/>
            <w:bookmarkEnd w:id="64"/>
            <w:r>
              <w:rPr>
                <w:rFonts w:hint="eastAsia" w:ascii="Times New Roman" w:hAnsi="Times New Roman" w:eastAsia="宋体" w:cs="Times New Roman"/>
                <w:color w:val="auto"/>
                <w:kern w:val="2"/>
                <w:sz w:val="24"/>
                <w:szCs w:val="24"/>
                <w:highlight w:val="none"/>
                <w:lang w:val="en-US" w:eastAsia="zh-CN" w:bidi="ar-SA"/>
              </w:rPr>
              <w:t>。</w:t>
            </w:r>
          </w:p>
          <w:p w14:paraId="77424299">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投标人只填报投标总价（X），并相对于最高投标限价形成投标系数（Y）。</w:t>
            </w:r>
          </w:p>
          <w:p w14:paraId="66B19347">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Y＝［（X﹣A）/（N﹣A）］</w:t>
            </w:r>
          </w:p>
          <w:p w14:paraId="433DA4C5">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投标人已标价工程量清单的各清单子目（安全生产费、沥青估价款等不可变动的子目除外）单项报价（Z）直接由 M×Y 确定，无需投标人另行逐项填报。本项目合同价格采用总价方式，中标人已标价工程量清单将作为履约过程期中计量支付的参考，并作为确定变更工作单价的依据。详见第四章“项目专用合同条款”中的相关约定。</w:t>
            </w:r>
          </w:p>
          <w:p w14:paraId="03A62D00">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注：</w:t>
            </w:r>
          </w:p>
          <w:p w14:paraId="4F51E0C0">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 M为招标人提供的已标价工程量清单中各子目具体价格；</w:t>
            </w:r>
          </w:p>
          <w:p w14:paraId="5C7CD00E">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 N为本项目最高投标限价；</w:t>
            </w:r>
          </w:p>
          <w:p w14:paraId="07345F25">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 A为安全生产费、沥青暂估价款等不可变动价款，详见“招标人提供与最高投标限价相对应的已标价工程量清单”；</w:t>
            </w:r>
          </w:p>
          <w:p w14:paraId="7C3D01AE">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 投标系数Y为计算中标人已标价工程量清单的过程值，不约定其小数点后保留位数，根据投标系数Y计算得出的中标人已标价工程量清单中单价、合价小数点后保留两位小数。小数点后第三位“四舍五入”；</w:t>
            </w:r>
          </w:p>
          <w:p w14:paraId="0E307DF9">
            <w:pPr>
              <w:pStyle w:val="4"/>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 如根据第④项计算的中标人已标价工程量清单合计金额与中标人投标报价不一致时，将以中标人投标报价不变为原则，对中标人已标价工程量清单个别子目单价进行细微调整；</w:t>
            </w:r>
          </w:p>
          <w:p w14:paraId="100501FB">
            <w:pPr>
              <w:rPr>
                <w:rFonts w:hint="eastAsia"/>
                <w:highlight w:val="none"/>
                <w:lang w:eastAsia="zh-CN"/>
              </w:rPr>
            </w:pPr>
            <w:r>
              <w:rPr>
                <w:rFonts w:hint="eastAsia" w:ascii="Times New Roman" w:hAnsi="Times New Roman" w:eastAsia="宋体" w:cs="Times New Roman"/>
                <w:color w:val="auto"/>
                <w:kern w:val="2"/>
                <w:sz w:val="24"/>
                <w:szCs w:val="24"/>
                <w:highlight w:val="none"/>
                <w:lang w:val="en-US" w:eastAsia="zh-CN" w:bidi="ar-SA"/>
              </w:rPr>
              <w:t>⑥投标人填报投标总价(X)应精确到个位数。</w:t>
            </w:r>
          </w:p>
        </w:tc>
      </w:tr>
      <w:tr w14:paraId="7700DD9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BBE0231">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1B501C5">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最高投标限价</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FC8CB95">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2FF4381C">
            <w:pPr>
              <w:pageBreakBefore w:val="0"/>
              <w:kinsoku/>
              <w:wordWrap w:val="0"/>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有，最高投标限价：</w:t>
            </w:r>
            <w:r>
              <w:rPr>
                <w:rFonts w:hint="eastAsia" w:cs="Times New Roman"/>
                <w:color w:val="auto"/>
                <w:sz w:val="24"/>
                <w:szCs w:val="24"/>
                <w:highlight w:val="none"/>
                <w:lang w:val="en-US" w:eastAsia="zh-CN"/>
              </w:rPr>
              <w:t xml:space="preserve">960.7万元          </w:t>
            </w:r>
          </w:p>
          <w:p w14:paraId="1B540D9F">
            <w:pPr>
              <w:pStyle w:val="15"/>
              <w:pageBreakBefore w:val="0"/>
              <w:kinsoku/>
              <w:wordWrap w:val="0"/>
              <w:overflowPunct/>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投标人的投标报价(X)不得超过最高投标限价(N)，否则评标委员会将否决其投标。</w:t>
            </w:r>
          </w:p>
        </w:tc>
      </w:tr>
      <w:tr w14:paraId="33309CA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581BBFF">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D0F83A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投标报价的其他要求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E530403">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详见本</w:t>
            </w:r>
            <w:r>
              <w:rPr>
                <w:rFonts w:hint="default" w:ascii="Times New Roman" w:hAnsi="Times New Roman" w:cs="Times New Roman"/>
                <w:color w:val="auto"/>
                <w:sz w:val="24"/>
                <w:szCs w:val="24"/>
                <w:highlight w:val="none"/>
                <w:lang w:val="en-US" w:eastAsia="zh-CN"/>
              </w:rPr>
              <w:t>附</w:t>
            </w:r>
            <w:r>
              <w:rPr>
                <w:rFonts w:hint="default" w:ascii="Times New Roman" w:hAnsi="Times New Roman" w:cs="Times New Roman"/>
                <w:color w:val="auto"/>
                <w:sz w:val="24"/>
                <w:szCs w:val="24"/>
                <w:highlight w:val="none"/>
              </w:rPr>
              <w:t>表中补充的其他内容</w:t>
            </w:r>
          </w:p>
        </w:tc>
      </w:tr>
      <w:tr w14:paraId="2EBA1C8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17E604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87D87C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投标有效期</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B8C1D53">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自投标人提交投标文件截止之日起计算</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90</w:t>
            </w:r>
            <w:r>
              <w:rPr>
                <w:rFonts w:hint="default" w:ascii="Times New Roman" w:hAnsi="Times New Roman" w:cs="Times New Roman"/>
                <w:color w:val="auto"/>
                <w:sz w:val="24"/>
                <w:szCs w:val="24"/>
                <w:highlight w:val="none"/>
              </w:rPr>
              <w:t>日</w:t>
            </w:r>
          </w:p>
        </w:tc>
      </w:tr>
      <w:tr w14:paraId="036C177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9D37E6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406C27D">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投标保证金</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7BC044D">
            <w:pPr>
              <w:pStyle w:val="15"/>
              <w:topLinePunct/>
              <w:spacing w:line="440" w:lineRule="exact"/>
              <w:rPr>
                <w:spacing w:val="6"/>
                <w:highlight w:val="none"/>
              </w:rPr>
            </w:pPr>
            <w:r>
              <w:rPr>
                <w:spacing w:val="9"/>
                <w:highlight w:val="none"/>
              </w:rPr>
              <w:t>投标人应按本项规定递交投标保证金，并作为其投标文件的组成部分。投标保证金有效期应与投标有效期一致。招标人如果</w:t>
            </w:r>
            <w:r>
              <w:rPr>
                <w:spacing w:val="6"/>
                <w:highlight w:val="none"/>
              </w:rPr>
              <w:t>按本章第3.3.3项的规定延长了投标有效期，则投标保</w:t>
            </w:r>
            <w:r>
              <w:rPr>
                <w:spacing w:val="5"/>
                <w:highlight w:val="none"/>
              </w:rPr>
              <w:t>证金的有效</w:t>
            </w:r>
            <w:r>
              <w:rPr>
                <w:spacing w:val="6"/>
                <w:highlight w:val="none"/>
              </w:rPr>
              <w:t>期也相应延长</w:t>
            </w:r>
          </w:p>
          <w:p w14:paraId="233C8D40">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是否要求投标人递交投标保证金：</w:t>
            </w:r>
          </w:p>
          <w:p w14:paraId="6B33AAFE">
            <w:pPr>
              <w:pStyle w:val="15"/>
              <w:topLinePunct/>
              <w:spacing w:line="440" w:lineRule="exact"/>
              <w:rPr>
                <w:rFonts w:hint="default" w:ascii="Times New Roman" w:hAnsi="Times New Roman" w:cs="Times New Roman"/>
                <w:color w:val="auto"/>
                <w:sz w:val="24"/>
                <w:szCs w:val="24"/>
                <w:highlight w:val="none"/>
                <w:lang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w:t>
            </w:r>
            <w:r>
              <w:rPr>
                <w:rFonts w:hint="default" w:ascii="Times New Roman" w:hAnsi="Times New Roman" w:cs="Times New Roman"/>
                <w:color w:val="auto"/>
                <w:sz w:val="24"/>
                <w:szCs w:val="24"/>
                <w:highlight w:val="none"/>
                <w:lang w:eastAsia="zh-CN"/>
              </w:rPr>
              <w:t>：</w:t>
            </w:r>
          </w:p>
          <w:p w14:paraId="531D70B1">
            <w:pPr>
              <w:pStyle w:val="93"/>
              <w:keepNext w:val="0"/>
              <w:keepLines w:val="0"/>
              <w:pageBreakBefore w:val="0"/>
              <w:widowControl/>
              <w:kinsoku w:val="0"/>
              <w:wordWrap/>
              <w:overflowPunct/>
              <w:topLinePunct w:val="0"/>
              <w:autoSpaceDE w:val="0"/>
              <w:autoSpaceDN w:val="0"/>
              <w:bidi w:val="0"/>
              <w:adjustRightInd w:val="0"/>
              <w:snapToGrid w:val="0"/>
              <w:spacing w:line="300" w:lineRule="auto"/>
              <w:ind w:left="118"/>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（1）投标保证金的金额： 人民币8万元  </w:t>
            </w:r>
          </w:p>
          <w:p w14:paraId="536B545E">
            <w:pPr>
              <w:pStyle w:val="93"/>
              <w:keepNext w:val="0"/>
              <w:keepLines w:val="0"/>
              <w:pageBreakBefore w:val="0"/>
              <w:widowControl/>
              <w:kinsoku w:val="0"/>
              <w:wordWrap/>
              <w:overflowPunct/>
              <w:topLinePunct w:val="0"/>
              <w:autoSpaceDE w:val="0"/>
              <w:autoSpaceDN w:val="0"/>
              <w:bidi w:val="0"/>
              <w:adjustRightInd w:val="0"/>
              <w:snapToGrid w:val="0"/>
              <w:spacing w:line="300" w:lineRule="auto"/>
              <w:ind w:left="118"/>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（2）投标保证金的形式</w:t>
            </w:r>
          </w:p>
          <w:p w14:paraId="73C0A85E">
            <w:pPr>
              <w:pStyle w:val="93"/>
              <w:keepNext w:val="0"/>
              <w:keepLines w:val="0"/>
              <w:pageBreakBefore w:val="0"/>
              <w:widowControl/>
              <w:kinsoku w:val="0"/>
              <w:wordWrap/>
              <w:overflowPunct/>
              <w:topLinePunct w:val="0"/>
              <w:autoSpaceDE w:val="0"/>
              <w:autoSpaceDN w:val="0"/>
              <w:bidi w:val="0"/>
              <w:adjustRightInd w:val="0"/>
              <w:snapToGrid w:val="0"/>
              <w:spacing w:line="300" w:lineRule="auto"/>
              <w:ind w:left="113" w:right="103" w:firstLine="263"/>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☑现金（银行电汇或网银转账）形式：</w:t>
            </w:r>
          </w:p>
          <w:p w14:paraId="39788B2C">
            <w:pPr>
              <w:pStyle w:val="93"/>
              <w:keepNext w:val="0"/>
              <w:keepLines w:val="0"/>
              <w:pageBreakBefore w:val="0"/>
              <w:widowControl/>
              <w:kinsoku w:val="0"/>
              <w:wordWrap/>
              <w:overflowPunct/>
              <w:topLinePunct w:val="0"/>
              <w:autoSpaceDE w:val="0"/>
              <w:autoSpaceDN w:val="0"/>
              <w:bidi w:val="0"/>
              <w:adjustRightInd w:val="0"/>
              <w:snapToGrid w:val="0"/>
              <w:spacing w:line="300" w:lineRule="auto"/>
              <w:ind w:left="353"/>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招标人指定的开户银行及账号如下：</w:t>
            </w:r>
          </w:p>
          <w:p w14:paraId="464B6B2E">
            <w:pPr>
              <w:pStyle w:val="93"/>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账户名称：沈阳金诺工程招标代理有限公司</w:t>
            </w:r>
          </w:p>
          <w:p w14:paraId="0F8D4965">
            <w:pPr>
              <w:pStyle w:val="93"/>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开户银行：中国建设银行股份有限公司沈阳浑南支行</w:t>
            </w:r>
          </w:p>
          <w:p w14:paraId="13C84313">
            <w:pPr>
              <w:pStyle w:val="93"/>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账    号：21001430008052515863</w:t>
            </w:r>
          </w:p>
          <w:p w14:paraId="435E43BB">
            <w:pPr>
              <w:pStyle w:val="93"/>
              <w:keepNext w:val="0"/>
              <w:keepLines w:val="0"/>
              <w:pageBreakBefore w:val="0"/>
              <w:widowControl/>
              <w:kinsoku w:val="0"/>
              <w:wordWrap/>
              <w:overflowPunct/>
              <w:topLinePunct w:val="0"/>
              <w:autoSpaceDE w:val="0"/>
              <w:autoSpaceDN w:val="0"/>
              <w:bidi w:val="0"/>
              <w:adjustRightInd w:val="0"/>
              <w:snapToGrid w:val="0"/>
              <w:spacing w:line="300" w:lineRule="auto"/>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投标人将投标保证金由投标人基本账户转入指定账户，否则，视为投标保证金无效。</w:t>
            </w:r>
          </w:p>
          <w:p w14:paraId="497AE33D">
            <w:pPr>
              <w:pStyle w:val="93"/>
              <w:keepNext w:val="0"/>
              <w:keepLines w:val="0"/>
              <w:pageBreakBefore w:val="0"/>
              <w:widowControl/>
              <w:kinsoku w:val="0"/>
              <w:wordWrap/>
              <w:overflowPunct/>
              <w:topLinePunct w:val="0"/>
              <w:autoSpaceDE w:val="0"/>
              <w:autoSpaceDN w:val="0"/>
              <w:bidi w:val="0"/>
              <w:adjustRightInd w:val="0"/>
              <w:snapToGrid w:val="0"/>
              <w:spacing w:line="300" w:lineRule="auto"/>
              <w:ind w:right="103"/>
              <w:jc w:val="both"/>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投标保证金的汇款单位必须与投标人名称一致，且应在汇款凭证上注明本次招标项目信息（</w:t>
            </w:r>
            <w:r>
              <w:rPr>
                <w:rFonts w:hint="eastAsia"/>
                <w:highlight w:val="none"/>
                <w:u w:val="single"/>
                <w:lang w:eastAsia="zh-CN"/>
              </w:rPr>
              <w:t>营口市庄西线（太阳升至桥南段）修复养护工程</w:t>
            </w:r>
            <w:r>
              <w:rPr>
                <w:rFonts w:hint="default"/>
                <w:highlight w:val="none"/>
                <w:u w:val="single"/>
              </w:rPr>
              <w:t>施工</w:t>
            </w:r>
            <w:r>
              <w:rPr>
                <w:rFonts w:hint="eastAsia" w:ascii="Times New Roman" w:hAnsi="Times New Roman" w:eastAsia="宋体" w:cs="Times New Roman"/>
                <w:color w:val="auto"/>
                <w:kern w:val="2"/>
                <w:sz w:val="24"/>
                <w:szCs w:val="24"/>
                <w:highlight w:val="none"/>
                <w:lang w:val="en-US" w:eastAsia="zh-CN" w:bidi="ar-SA"/>
              </w:rPr>
              <w:t>）投标保证金)。对逾期递交(以到账时间为准)或从非投标人基本账户汇出的投标保证金，视为投标保证金无效。投标人应将投标保证金汇款凭单的彩色影印件附在投标文件内。</w:t>
            </w:r>
          </w:p>
          <w:p w14:paraId="19B4D26A">
            <w:pPr>
              <w:pStyle w:val="93"/>
              <w:keepNext w:val="0"/>
              <w:keepLines w:val="0"/>
              <w:pageBreakBefore w:val="0"/>
              <w:widowControl/>
              <w:kinsoku w:val="0"/>
              <w:wordWrap/>
              <w:overflowPunct/>
              <w:topLinePunct w:val="0"/>
              <w:autoSpaceDE w:val="0"/>
              <w:autoSpaceDN w:val="0"/>
              <w:bidi w:val="0"/>
              <w:adjustRightInd w:val="0"/>
              <w:snapToGrid w:val="0"/>
              <w:spacing w:line="300" w:lineRule="auto"/>
              <w:ind w:right="103"/>
              <w:jc w:val="both"/>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为确保在规定时间前投标保证金能到达招标人指定账户，投标人在汇款时须充分考虑银行汇款的时间误差风险，否则所造成的后果由投标人自负。</w:t>
            </w:r>
          </w:p>
          <w:p w14:paraId="0E593DE5">
            <w:pPr>
              <w:pStyle w:val="93"/>
              <w:keepNext w:val="0"/>
              <w:keepLines w:val="0"/>
              <w:pageBreakBefore w:val="0"/>
              <w:widowControl/>
              <w:kinsoku w:val="0"/>
              <w:wordWrap/>
              <w:overflowPunct/>
              <w:topLinePunct w:val="0"/>
              <w:autoSpaceDE w:val="0"/>
              <w:autoSpaceDN w:val="0"/>
              <w:bidi w:val="0"/>
              <w:adjustRightInd w:val="0"/>
              <w:snapToGrid w:val="0"/>
              <w:spacing w:line="300" w:lineRule="auto"/>
              <w:ind w:left="376"/>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☑银行保函形式：</w:t>
            </w:r>
          </w:p>
          <w:p w14:paraId="20EA98EC">
            <w:pPr>
              <w:pStyle w:val="93"/>
              <w:keepNext w:val="0"/>
              <w:keepLines w:val="0"/>
              <w:pageBreakBefore w:val="0"/>
              <w:widowControl/>
              <w:kinsoku w:val="0"/>
              <w:wordWrap/>
              <w:overflowPunct/>
              <w:topLinePunct w:val="0"/>
              <w:autoSpaceDE w:val="0"/>
              <w:autoSpaceDN w:val="0"/>
              <w:bidi w:val="0"/>
              <w:adjustRightInd w:val="0"/>
              <w:snapToGrid w:val="0"/>
              <w:spacing w:line="300" w:lineRule="auto"/>
              <w:ind w:left="113" w:right="103" w:firstLine="241"/>
              <w:jc w:val="both"/>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出具保函的银行级别： 国有商业银行或股份制商业银行的支行及其以上银行 </w:t>
            </w:r>
          </w:p>
          <w:p w14:paraId="4D3742E6">
            <w:pPr>
              <w:pStyle w:val="93"/>
              <w:keepNext w:val="0"/>
              <w:keepLines w:val="0"/>
              <w:pageBreakBefore w:val="0"/>
              <w:widowControl/>
              <w:kinsoku w:val="0"/>
              <w:wordWrap/>
              <w:overflowPunct/>
              <w:topLinePunct w:val="0"/>
              <w:autoSpaceDE w:val="0"/>
              <w:autoSpaceDN w:val="0"/>
              <w:bidi w:val="0"/>
              <w:adjustRightInd w:val="0"/>
              <w:snapToGrid w:val="0"/>
              <w:spacing w:line="300" w:lineRule="auto"/>
              <w:ind w:left="376"/>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☑采用电子保函形式：</w:t>
            </w:r>
          </w:p>
          <w:p w14:paraId="0EAEF762">
            <w:pPr>
              <w:pStyle w:val="93"/>
              <w:keepNext w:val="0"/>
              <w:keepLines w:val="0"/>
              <w:pageBreakBefore w:val="0"/>
              <w:widowControl/>
              <w:kinsoku w:val="0"/>
              <w:wordWrap/>
              <w:overflowPunct/>
              <w:topLinePunct w:val="0"/>
              <w:autoSpaceDE w:val="0"/>
              <w:autoSpaceDN w:val="0"/>
              <w:bidi w:val="0"/>
              <w:adjustRightInd w:val="0"/>
              <w:snapToGrid w:val="0"/>
              <w:spacing w:line="300" w:lineRule="auto"/>
              <w:ind w:right="103"/>
              <w:jc w:val="both"/>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由投标人自主选择具有金融服务担保能力的机构出具，办理机构应提供电子化保函验真渠道和保函财务费用支付凭证（保函财务费用应从投标人基本账户支出）。</w:t>
            </w:r>
          </w:p>
          <w:p w14:paraId="102D82C3">
            <w:pPr>
              <w:pStyle w:val="15"/>
              <w:topLinePunct/>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☑其他要求： ① 若投标人发生招标文件明确规定可以不予退还投标保证金的任一情况时，保函出具单位收到招标人书面通知后，应无条件向招标人支付对应金额的投标保证金，电子保函中不得设置任何支付保证金的前提条件。②（解密后）保函彩色影印件及保函办理机构提供的电子化保函验真渠道便捷方式等需附在投标文件内。③ 保函应采用招标文件提供的格式，若采用保函办理机构自有格式，其提交的保函内容不得对担保金额、担保范围、担保期限、担保内容作出降低担保效力的实质性修改。</w:t>
            </w:r>
          </w:p>
        </w:tc>
      </w:tr>
      <w:tr w14:paraId="534720F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01F1BC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53742A7">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eastAsiaTheme="minorEastAsia"/>
                <w:color w:val="auto"/>
                <w:sz w:val="24"/>
                <w:szCs w:val="24"/>
                <w:highlight w:val="none"/>
              </w:rPr>
              <w:t>投标保证金利息计算原则</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0A47C37">
            <w:pPr>
              <w:pageBreakBefore w:val="0"/>
              <w:kinsoku/>
              <w:wordWrap w:val="0"/>
              <w:bidi w:val="0"/>
              <w:spacing w:line="440" w:lineRule="exact"/>
              <w:rPr>
                <w:rFonts w:hint="default" w:ascii="Times New Roman" w:hAnsi="Times New Roman" w:eastAsia="宋体" w:cs="Times New Roman"/>
                <w:color w:val="C0504D" w:themeColor="accent2"/>
                <w:kern w:val="2"/>
                <w:sz w:val="24"/>
                <w:szCs w:val="24"/>
                <w:highlight w:val="none"/>
                <w:lang w:val="en-US" w:eastAsia="zh-CN" w:bidi="ar-SA"/>
                <w14:textFill>
                  <w14:solidFill>
                    <w14:schemeClr w14:val="accent2"/>
                  </w14:solidFill>
                </w14:textFill>
              </w:rPr>
            </w:pPr>
            <w:r>
              <w:rPr>
                <w:rFonts w:hint="default" w:ascii="Times New Roman" w:hAnsi="Times New Roman" w:eastAsia="宋体" w:cs="Times New Roman"/>
                <w:color w:val="auto"/>
                <w:kern w:val="2"/>
                <w:sz w:val="24"/>
                <w:szCs w:val="24"/>
                <w:highlight w:val="none"/>
                <w:lang w:val="en-US" w:eastAsia="zh-CN" w:bidi="ar-SA"/>
              </w:rPr>
              <w:t>投标保证金由</w:t>
            </w:r>
            <w:r>
              <w:rPr>
                <w:rFonts w:hint="eastAsia" w:ascii="宋体" w:hAnsi="宋体" w:eastAsia="宋体" w:cs="宋体"/>
                <w:spacing w:val="9"/>
                <w:highlight w:val="none"/>
                <w:lang w:eastAsia="zh-CN"/>
              </w:rPr>
              <w:t>沈阳金诺工程招标代理有限公司</w:t>
            </w:r>
            <w:r>
              <w:rPr>
                <w:rFonts w:hint="default" w:ascii="Times New Roman" w:hAnsi="Times New Roman" w:eastAsia="宋体" w:cs="Times New Roman"/>
                <w:color w:val="auto"/>
                <w:kern w:val="2"/>
                <w:sz w:val="24"/>
                <w:szCs w:val="24"/>
                <w:highlight w:val="none"/>
                <w:lang w:val="en-US" w:eastAsia="zh-CN" w:bidi="ar-SA"/>
              </w:rPr>
              <w:t>收取，投标保证金利息计算原则从其相关规定</w:t>
            </w:r>
            <w:r>
              <w:rPr>
                <w:rFonts w:hint="eastAsia" w:ascii="Times New Roman" w:cs="Times New Roman"/>
                <w:color w:val="auto"/>
                <w:kern w:val="2"/>
                <w:sz w:val="24"/>
                <w:szCs w:val="24"/>
                <w:highlight w:val="none"/>
                <w:lang w:val="en-US" w:eastAsia="zh-CN" w:bidi="ar-SA"/>
              </w:rPr>
              <w:t>。保证金退还申请表见</w:t>
            </w:r>
            <w:r>
              <w:rPr>
                <w:rFonts w:hint="default" w:ascii="Times New Roman" w:hAnsi="Times New Roman" w:cs="Times New Roman"/>
                <w:color w:val="auto"/>
                <w:sz w:val="24"/>
                <w:szCs w:val="24"/>
                <w:highlight w:val="none"/>
                <w:u w:val="none"/>
              </w:rPr>
              <w:t>百度网盘</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链接</w:t>
            </w:r>
            <w:r>
              <w:rPr>
                <w:rFonts w:hint="default" w:ascii="Times New Roman" w:hAnsi="Times New Roman" w:eastAsia="宋体" w:cs="Times New Roman"/>
                <w:color w:val="C0504D" w:themeColor="accent2"/>
                <w:kern w:val="2"/>
                <w:sz w:val="24"/>
                <w:szCs w:val="24"/>
                <w:highlight w:val="none"/>
                <w:lang w:val="en-US" w:eastAsia="zh-CN" w:bidi="ar-SA"/>
                <w14:textFill>
                  <w14:solidFill>
                    <w14:schemeClr w14:val="accent2"/>
                  </w14:solidFill>
                </w14:textFill>
              </w:rPr>
              <w:t xml:space="preserve">: </w:t>
            </w:r>
          </w:p>
          <w:p w14:paraId="01AF28C0">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C0504D" w:themeColor="accent2"/>
                <w:kern w:val="2"/>
                <w:sz w:val="24"/>
                <w:szCs w:val="24"/>
                <w:highlight w:val="none"/>
                <w:lang w:val="en-US" w:eastAsia="zh-CN" w:bidi="ar-SA"/>
                <w14:textFill>
                  <w14:solidFill>
                    <w14:schemeClr w14:val="accent2"/>
                  </w14:solidFill>
                </w14:textFill>
              </w:rPr>
              <w:t>https://pan.baidu.com/s/1WtL-9sdeDTs2pstT9WSSEg 提取码: ykzx）</w:t>
            </w:r>
          </w:p>
        </w:tc>
      </w:tr>
      <w:tr w14:paraId="5B7AC9D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21B8D1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442EB9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其他可以不予退还投标保证金的情形</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2FD7CA0">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有下列情形之一的，投标保证金将不予退还：</w:t>
            </w:r>
          </w:p>
          <w:p w14:paraId="61F28C1C">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（1）投标人在投标有效期内撤销投标文件，包括在收到中标通知书前放弃中标候选人资格的情形；</w:t>
            </w:r>
          </w:p>
          <w:p w14:paraId="769E18D5">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（2）中标人在收到中标通知书后，无正当理由不与招标人订立合同，在签订合同时向招标人提出附加条件，或不按照招标文件要求提交履约保证金。</w:t>
            </w:r>
          </w:p>
          <w:p w14:paraId="4EEDF628">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3</w:t>
            </w:r>
            <w:r>
              <w:rPr>
                <w:rFonts w:hint="default" w:ascii="Times New Roman" w:hAnsi="Times New Roman" w:cs="Times New Roman"/>
                <w:color w:val="auto"/>
                <w:sz w:val="24"/>
                <w:szCs w:val="24"/>
                <w:highlight w:val="none"/>
                <w:u w:val="none"/>
              </w:rPr>
              <w:t>）投标人提交了虚假资料；</w:t>
            </w:r>
          </w:p>
          <w:p w14:paraId="29CEE5BC">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4</w:t>
            </w:r>
            <w:r>
              <w:rPr>
                <w:rFonts w:hint="default" w:ascii="Times New Roman" w:hAnsi="Times New Roman" w:cs="Times New Roman"/>
                <w:color w:val="auto"/>
                <w:sz w:val="24"/>
                <w:szCs w:val="24"/>
                <w:highlight w:val="none"/>
                <w:u w:val="none"/>
              </w:rPr>
              <w:t>）投标人有串标、围标、“挂靠”其他单位参与投标，贿赂评标专家或招标工作人员，以及其他违反国家招标投标管理有关规定的行为。</w:t>
            </w:r>
          </w:p>
          <w:p w14:paraId="1AAB2A23">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w:t>
            </w:r>
            <w:r>
              <w:rPr>
                <w:rFonts w:hint="eastAsia" w:ascii="Times New Roman" w:hAnsi="Times New Roman" w:cs="Times New Roman"/>
                <w:color w:val="auto"/>
                <w:sz w:val="24"/>
                <w:szCs w:val="24"/>
                <w:highlight w:val="none"/>
                <w:u w:val="none"/>
                <w:lang w:val="en-US" w:eastAsia="zh-CN"/>
              </w:rPr>
              <w:t>5</w:t>
            </w:r>
            <w:r>
              <w:rPr>
                <w:rFonts w:hint="default" w:ascii="Times New Roman" w:hAnsi="Times New Roman" w:cs="Times New Roman"/>
                <w:color w:val="auto"/>
                <w:sz w:val="24"/>
                <w:szCs w:val="24"/>
                <w:highlight w:val="none"/>
                <w:u w:val="none"/>
              </w:rPr>
              <w:t>）给招标人造成的损失超过投标保证金数额的，投标人还应对超过部分予以赔偿。</w:t>
            </w:r>
          </w:p>
        </w:tc>
      </w:tr>
      <w:tr w14:paraId="5C16567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95014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D23861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资格审查资料的特殊要求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B57A13C">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09953703">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有，具体要求：</w:t>
            </w:r>
            <w:r>
              <w:rPr>
                <w:rFonts w:hint="default" w:ascii="Times New Roman" w:hAnsi="Times New Roman" w:cs="Times New Roman"/>
                <w:color w:val="auto"/>
                <w:sz w:val="24"/>
                <w:szCs w:val="24"/>
                <w:highlight w:val="none"/>
                <w:u w:val="single"/>
              </w:rPr>
              <w:t xml:space="preserve"> 投标文件“资格审查资料”各项表格应提供的证明材料以本附表各附录中的规定为准。 </w:t>
            </w:r>
          </w:p>
        </w:tc>
      </w:tr>
      <w:tr w14:paraId="25A1FAD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15394A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4E3CB5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近年财务状况的年份要求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4C371E7">
            <w:pPr>
              <w:pageBreakBefore w:val="0"/>
              <w:kinsoku/>
              <w:wordWrap w:val="0"/>
              <w:bidi w:val="0"/>
              <w:spacing w:line="440" w:lineRule="exact"/>
              <w:rPr>
                <w:rFonts w:hint="eastAsia" w:ascii="Times New Roman" w:hAnsi="Times New Roman" w:eastAsia="宋体" w:cs="Times New Roman"/>
                <w:color w:val="auto"/>
                <w:sz w:val="24"/>
                <w:szCs w:val="24"/>
                <w:highlight w:val="none"/>
                <w:lang w:eastAsia="zh-CN"/>
              </w:rPr>
            </w:pPr>
            <w:r>
              <w:rPr>
                <w:rFonts w:hint="eastAsia" w:eastAsia="黑体" w:cs="Times New Roman"/>
                <w:color w:val="auto"/>
                <w:sz w:val="24"/>
                <w:szCs w:val="24"/>
                <w:highlight w:val="none"/>
                <w:u w:val="single"/>
                <w:lang w:val="en-US" w:eastAsia="zh-CN"/>
              </w:rPr>
              <w:t>/</w:t>
            </w:r>
          </w:p>
        </w:tc>
      </w:tr>
      <w:tr w14:paraId="74F7275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5C1332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907793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近年完成的类似项目情况的时间要求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E62E0B5">
            <w:pPr>
              <w:pageBreakBefore w:val="0"/>
              <w:kinsoku/>
              <w:wordWrap w:val="0"/>
              <w:bidi w:val="0"/>
              <w:spacing w:line="440" w:lineRule="exact"/>
              <w:rPr>
                <w:rFonts w:hint="default" w:ascii="Times New Roman" w:hAnsi="Times New Roman" w:cs="Times New Roman"/>
                <w:color w:val="auto"/>
                <w:sz w:val="24"/>
                <w:szCs w:val="24"/>
                <w:highlight w:val="none"/>
              </w:rPr>
            </w:pPr>
            <w:r>
              <w:rPr>
                <w:b/>
                <w:bCs/>
                <w:spacing w:val="5"/>
              </w:rPr>
              <w:t>详见本附表附录</w:t>
            </w:r>
            <w:r>
              <w:rPr>
                <w:rFonts w:hint="eastAsia"/>
                <w:b/>
                <w:bCs/>
                <w:spacing w:val="5"/>
                <w:lang w:val="en-US" w:eastAsia="zh-CN"/>
              </w:rPr>
              <w:t>1</w:t>
            </w:r>
            <w:r>
              <w:rPr>
                <w:spacing w:val="22"/>
              </w:rPr>
              <w:t xml:space="preserve"> :</w:t>
            </w:r>
            <w:r>
              <w:rPr>
                <w:rFonts w:hint="default" w:ascii="Times New Roman" w:hAnsi="Times New Roman" w:eastAsia="宋体" w:cs="Times New Roman"/>
                <w:color w:val="auto"/>
                <w:kern w:val="2"/>
                <w:sz w:val="24"/>
                <w:szCs w:val="24"/>
                <w:highlight w:val="none"/>
                <w:lang w:val="en-US" w:eastAsia="zh-CN" w:bidi="ar-SA"/>
              </w:rPr>
              <w:t>资格审查条件(业绩最低要求)</w:t>
            </w:r>
          </w:p>
        </w:tc>
      </w:tr>
      <w:tr w14:paraId="48C8583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AC9E56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A3B9CD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是否允许递交备选投标方案</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95994BF">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不允许</w:t>
            </w:r>
          </w:p>
          <w:p w14:paraId="764C27EC">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允许</w:t>
            </w:r>
          </w:p>
        </w:tc>
      </w:tr>
      <w:tr w14:paraId="7F859CA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F878849">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br w:type="page"/>
            </w: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494A8B3">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投标文件</w:t>
            </w:r>
            <w:r>
              <w:rPr>
                <w:rFonts w:hint="default" w:ascii="Times New Roman" w:hAnsi="Times New Roman" w:cs="Times New Roman"/>
                <w:color w:val="auto"/>
                <w:sz w:val="24"/>
                <w:szCs w:val="24"/>
                <w:highlight w:val="none"/>
                <w:lang w:val="en-US" w:eastAsia="zh-CN"/>
              </w:rPr>
              <w:t>上传</w:t>
            </w:r>
            <w:r>
              <w:rPr>
                <w:rFonts w:hint="default" w:ascii="Times New Roman" w:hAnsi="Times New Roman" w:cs="Times New Roman"/>
                <w:color w:val="auto"/>
                <w:sz w:val="24"/>
                <w:szCs w:val="24"/>
                <w:highlight w:val="none"/>
              </w:rPr>
              <w:t>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DBDB356">
            <w:pPr>
              <w:pStyle w:val="15"/>
              <w:pageBreakBefore w:val="0"/>
              <w:kinsoku/>
              <w:wordWrap w:val="0"/>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投标人应在规定的投标截止时间前，通过互联网</w:t>
            </w:r>
            <w:r>
              <w:rPr>
                <w:rFonts w:hint="eastAsia" w:ascii="Times New Roman"/>
                <w:color w:val="auto"/>
                <w:sz w:val="24"/>
                <w:szCs w:val="32"/>
                <w:highlight w:val="none"/>
                <w:lang w:val="en-US" w:eastAsia="zh-CN"/>
              </w:rPr>
              <w:t>使用</w:t>
            </w:r>
            <w:r>
              <w:rPr>
                <w:rFonts w:hint="default" w:ascii="Times New Roman" w:hAnsi="Times New Roman" w:cs="Times New Roman"/>
                <w:color w:val="auto"/>
                <w:sz w:val="24"/>
                <w:szCs w:val="24"/>
                <w:highlight w:val="none"/>
              </w:rPr>
              <w:t>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tc>
      </w:tr>
      <w:tr w14:paraId="75E827A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F9CF69E">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B853BDB">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投标文件其他要求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0147400">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本项目采用电子招标投标形式，投标期间不需提供纸质投标文件。中标人在</w:t>
            </w:r>
            <w:r>
              <w:rPr>
                <w:rFonts w:hint="eastAsia" w:cs="Times New Roman"/>
                <w:color w:val="auto"/>
                <w:sz w:val="24"/>
                <w:szCs w:val="24"/>
                <w:highlight w:val="none"/>
                <w:lang w:val="en-US" w:eastAsia="zh-CN"/>
              </w:rPr>
              <w:t>获取中标通知书</w:t>
            </w:r>
            <w:r>
              <w:rPr>
                <w:rFonts w:hint="default" w:ascii="Times New Roman" w:hAnsi="Times New Roman" w:cs="Times New Roman"/>
                <w:color w:val="auto"/>
                <w:sz w:val="24"/>
                <w:szCs w:val="24"/>
                <w:highlight w:val="none"/>
              </w:rPr>
              <w:t>前需向招标</w:t>
            </w:r>
            <w:r>
              <w:rPr>
                <w:rFonts w:hint="eastAsia" w:cs="Times New Roman"/>
                <w:color w:val="auto"/>
                <w:sz w:val="24"/>
                <w:szCs w:val="24"/>
                <w:highlight w:val="none"/>
                <w:lang w:val="en-US" w:eastAsia="zh-CN"/>
              </w:rPr>
              <w:t>代理</w:t>
            </w:r>
            <w:r>
              <w:rPr>
                <w:rFonts w:hint="default" w:ascii="Times New Roman" w:hAnsi="Times New Roman" w:cs="Times New Roman"/>
                <w:color w:val="auto"/>
                <w:sz w:val="24"/>
                <w:szCs w:val="24"/>
                <w:highlight w:val="none"/>
              </w:rPr>
              <w:t>提交资料：</w:t>
            </w:r>
          </w:p>
          <w:p w14:paraId="67D0840E">
            <w:pPr>
              <w:spacing w:line="440" w:lineRule="exact"/>
              <w:jc w:val="lef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 xml:space="preserve"> 纸质版投标文件：</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lang w:val="en-US" w:eastAsia="zh-CN"/>
              </w:rPr>
              <w:t>套（1正</w:t>
            </w:r>
            <w:r>
              <w:rPr>
                <w:rFonts w:hint="eastAsia" w:cs="Times New Roman"/>
                <w:color w:val="auto"/>
                <w:sz w:val="24"/>
                <w:szCs w:val="24"/>
                <w:highlight w:val="none"/>
                <w:u w:val="single"/>
                <w:lang w:val="en-US" w:eastAsia="zh-CN"/>
              </w:rPr>
              <w:t>4</w:t>
            </w:r>
            <w:r>
              <w:rPr>
                <w:rFonts w:hint="default" w:ascii="Times New Roman" w:hAnsi="Times New Roman" w:cs="Times New Roman"/>
                <w:color w:val="auto"/>
                <w:sz w:val="24"/>
                <w:szCs w:val="24"/>
                <w:highlight w:val="none"/>
                <w:u w:val="single"/>
                <w:lang w:val="en-US" w:eastAsia="zh-CN"/>
              </w:rPr>
              <w:t>副）</w:t>
            </w:r>
            <w:r>
              <w:rPr>
                <w:rFonts w:hint="default" w:ascii="Times New Roman" w:hAnsi="Times New Roman" w:cs="Times New Roman"/>
                <w:color w:val="auto"/>
                <w:sz w:val="24"/>
                <w:szCs w:val="24"/>
                <w:highlight w:val="none"/>
              </w:rPr>
              <w:t>；</w:t>
            </w:r>
          </w:p>
          <w:p w14:paraId="04384546">
            <w:pPr>
              <w:pStyle w:val="15"/>
              <w:pageBreakBefore w:val="0"/>
              <w:kinsoku/>
              <w:wordWrap w:val="0"/>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Cs w:val="24"/>
                <w:highlight w:val="none"/>
              </w:rPr>
              <w:t xml:space="preserve"> 电子版投标文件，具体要求为：存储介质为 U盘（U盘中应包括第一信封与第二信封全部内容）；U盘中存放的投标文件电子文件需采用doc或xls文档格式及一份完整加盖公章的pdf格式文档。</w:t>
            </w:r>
          </w:p>
        </w:tc>
      </w:tr>
      <w:tr w14:paraId="63D87D0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75DE9AA">
            <w:pPr>
              <w:pStyle w:val="93"/>
              <w:spacing w:before="238" w:line="268" w:lineRule="exact"/>
              <w:ind w:left="187" w:leftChars="0"/>
              <w:rPr>
                <w:rFonts w:hint="default" w:ascii="宋体" w:hAnsi="宋体" w:eastAsia="宋体" w:cs="宋体"/>
                <w:spacing w:val="3"/>
                <w:kern w:val="2"/>
                <w:position w:val="1"/>
                <w:sz w:val="24"/>
                <w:szCs w:val="24"/>
                <w:lang w:val="en-US" w:eastAsia="zh-CN" w:bidi="ar-SA"/>
              </w:rPr>
            </w:pPr>
            <w:r>
              <w:rPr>
                <w:rFonts w:hint="eastAsia"/>
                <w:spacing w:val="3"/>
                <w:position w:val="1"/>
                <w:lang w:val="en-US" w:eastAsia="zh-CN"/>
              </w:rPr>
              <w:t>4.2.1</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74B2E0">
            <w:pPr>
              <w:pStyle w:val="93"/>
              <w:spacing w:before="34" w:line="359" w:lineRule="auto"/>
              <w:ind w:left="740" w:leftChars="0" w:right="213" w:rightChars="0" w:hanging="501" w:firstLineChars="0"/>
              <w:jc w:val="center"/>
              <w:rPr>
                <w:rFonts w:hint="default" w:ascii="宋体" w:hAnsi="宋体" w:eastAsia="宋体" w:cs="宋体"/>
                <w:spacing w:val="5"/>
                <w:kern w:val="2"/>
                <w:sz w:val="24"/>
                <w:szCs w:val="24"/>
                <w:lang w:val="en-US" w:eastAsia="en-US" w:bidi="ar-SA"/>
              </w:rPr>
            </w:pPr>
            <w:r>
              <w:rPr>
                <w:rFonts w:hint="eastAsia"/>
                <w:spacing w:val="5"/>
              </w:rPr>
              <w:t>银行保函的密封</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F33C9C2">
            <w:pPr>
              <w:pStyle w:val="93"/>
              <w:spacing w:before="34" w:line="359" w:lineRule="auto"/>
              <w:ind w:right="122" w:rightChars="0"/>
              <w:rPr>
                <w:rFonts w:hint="default" w:ascii="宋体" w:hAnsi="宋体" w:eastAsia="宋体" w:cs="宋体"/>
                <w:spacing w:val="5"/>
                <w:kern w:val="2"/>
                <w:sz w:val="24"/>
                <w:szCs w:val="24"/>
                <w:lang w:val="en-US" w:eastAsia="zh-CN" w:bidi="ar-SA"/>
              </w:rPr>
            </w:pPr>
            <w:r>
              <w:rPr>
                <w:rFonts w:hint="eastAsia"/>
                <w:spacing w:val="5"/>
              </w:rPr>
              <w:t>采</w:t>
            </w:r>
            <w:r>
              <w:rPr>
                <w:rFonts w:hint="eastAsia" w:ascii="Times New Roman" w:hAnsi="Times New Roman" w:eastAsia="宋体" w:cs="Times New Roman"/>
                <w:color w:val="auto"/>
                <w:kern w:val="2"/>
                <w:sz w:val="24"/>
                <w:szCs w:val="24"/>
                <w:highlight w:val="none"/>
                <w:lang w:val="en-US" w:eastAsia="zh-CN" w:bidi="ar-SA"/>
              </w:rPr>
              <w:t>用银行保函形式提交投标保证金的，银行保函彩色影印件及银行保函开具银行的官网网站保函验真查询截图彩色影印件应附在投标文件内，银行保函原件不需要单独密封递交。</w:t>
            </w:r>
          </w:p>
        </w:tc>
      </w:tr>
      <w:tr w14:paraId="5018E78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5B0872">
            <w:pPr>
              <w:spacing w:line="377" w:lineRule="auto"/>
              <w:jc w:val="left"/>
              <w:rPr>
                <w:rFonts w:ascii="Arial"/>
                <w:sz w:val="21"/>
              </w:rPr>
            </w:pPr>
          </w:p>
          <w:p w14:paraId="0CB2228B">
            <w:pPr>
              <w:pStyle w:val="93"/>
              <w:spacing w:before="65" w:line="268" w:lineRule="exact"/>
              <w:ind w:left="187" w:leftChars="0"/>
              <w:jc w:val="left"/>
              <w:rPr>
                <w:rFonts w:hint="eastAsia" w:ascii="宋体" w:hAnsi="宋体" w:eastAsia="宋体" w:cs="宋体"/>
                <w:snapToGrid w:val="0"/>
                <w:color w:val="000000"/>
                <w:kern w:val="0"/>
                <w:sz w:val="20"/>
                <w:szCs w:val="20"/>
                <w:lang w:val="en-US" w:eastAsia="zh-CN" w:bidi="ar-SA"/>
              </w:rPr>
            </w:pPr>
            <w:r>
              <w:rPr>
                <w:spacing w:val="3"/>
                <w:position w:val="1"/>
              </w:rPr>
              <w:t>4.2.2</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057BF2">
            <w:pPr>
              <w:pStyle w:val="93"/>
              <w:spacing w:before="34" w:line="359" w:lineRule="auto"/>
              <w:ind w:right="213" w:rightChars="0"/>
              <w:jc w:val="center"/>
              <w:rPr>
                <w:rFonts w:hint="eastAsia"/>
                <w:spacing w:val="5"/>
                <w:lang w:val="en-US" w:eastAsia="en-US"/>
              </w:rPr>
            </w:pPr>
            <w:r>
              <w:rPr>
                <w:rFonts w:hint="eastAsia"/>
                <w:spacing w:val="5"/>
              </w:rPr>
              <w:t>电子投标文件上传</w:t>
            </w:r>
            <w:r>
              <w:rPr>
                <w:rFonts w:hint="eastAsia"/>
                <w:spacing w:val="5"/>
                <w:lang w:val="en-US" w:eastAsia="zh-CN"/>
              </w:rPr>
              <w:t>要</w:t>
            </w:r>
            <w:r>
              <w:rPr>
                <w:rFonts w:hint="eastAsia"/>
                <w:spacing w:val="5"/>
              </w:rPr>
              <w:t>求</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222224">
            <w:pPr>
              <w:pStyle w:val="93"/>
              <w:spacing w:before="36" w:line="365" w:lineRule="auto"/>
              <w:ind w:left="113" w:leftChars="0" w:right="108" w:rightChars="0" w:firstLine="2" w:firstLineChars="0"/>
              <w:jc w:val="left"/>
              <w:rPr>
                <w:rFonts w:hint="eastAsia" w:ascii="宋体" w:hAnsi="宋体" w:eastAsia="宋体" w:cs="宋体"/>
                <w:snapToGrid w:val="0"/>
                <w:color w:val="000000"/>
                <w:kern w:val="0"/>
                <w:sz w:val="20"/>
                <w:szCs w:val="20"/>
                <w:lang w:val="en-US" w:eastAsia="en-US" w:bidi="ar-SA"/>
              </w:rPr>
            </w:pPr>
            <w:r>
              <w:rPr>
                <w:spacing w:val="10"/>
              </w:rPr>
              <w:t>投标人应在规定的投标截止时间前，通过互联网使用</w:t>
            </w:r>
            <w:r>
              <w:t>CA</w:t>
            </w:r>
            <w:r>
              <w:rPr>
                <w:spacing w:val="10"/>
              </w:rPr>
              <w:t xml:space="preserve">数字证书 </w:t>
            </w:r>
            <w:r>
              <w:rPr>
                <w:spacing w:val="8"/>
              </w:rPr>
              <w:t>登录“</w:t>
            </w:r>
            <w:r>
              <w:rPr>
                <w:spacing w:val="-65"/>
              </w:rPr>
              <w:t xml:space="preserve"> </w:t>
            </w:r>
            <w:r>
              <w:rPr>
                <w:spacing w:val="8"/>
              </w:rPr>
              <w:t>电子交易平台</w:t>
            </w:r>
            <w:r>
              <w:rPr>
                <w:spacing w:val="-73"/>
              </w:rPr>
              <w:t xml:space="preserve"> </w:t>
            </w:r>
            <w:r>
              <w:rPr>
                <w:spacing w:val="8"/>
              </w:rPr>
              <w:t>”，将加密的投标文件上传。投标</w:t>
            </w:r>
            <w:r>
              <w:rPr>
                <w:spacing w:val="7"/>
              </w:rPr>
              <w:t>人应充分</w:t>
            </w:r>
            <w:r>
              <w:rPr>
                <w:spacing w:val="10"/>
              </w:rPr>
              <w:t>考虑上传文件时的不可预见因素，未在投标截止时间前完成上传</w:t>
            </w:r>
            <w:r>
              <w:rPr>
                <w:spacing w:val="5"/>
              </w:rPr>
              <w:t>的，视为逾期送达，招标人（“电子交易平台”）将拒</w:t>
            </w:r>
            <w:r>
              <w:rPr>
                <w:spacing w:val="4"/>
              </w:rPr>
              <w:t>绝接收。</w:t>
            </w:r>
          </w:p>
        </w:tc>
      </w:tr>
      <w:tr w14:paraId="2876DDE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3B1EBE7">
            <w:pPr>
              <w:pStyle w:val="93"/>
              <w:spacing w:before="234" w:line="267" w:lineRule="exact"/>
              <w:ind w:left="187" w:leftChars="0"/>
              <w:rPr>
                <w:rFonts w:hint="default" w:ascii="宋体" w:hAnsi="宋体" w:eastAsia="宋体" w:cs="宋体"/>
                <w:snapToGrid w:val="0"/>
                <w:color w:val="000000"/>
                <w:kern w:val="0"/>
                <w:sz w:val="20"/>
                <w:szCs w:val="20"/>
                <w:lang w:val="en-US" w:eastAsia="zh-CN" w:bidi="ar-SA"/>
              </w:rPr>
            </w:pPr>
            <w:r>
              <w:rPr>
                <w:spacing w:val="3"/>
                <w:position w:val="1"/>
              </w:rPr>
              <w:t>4.2.3</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C193B7">
            <w:pPr>
              <w:pStyle w:val="93"/>
              <w:spacing w:before="34" w:line="359" w:lineRule="auto"/>
              <w:ind w:left="740" w:leftChars="0" w:right="213" w:rightChars="0" w:hanging="501" w:firstLineChars="0"/>
              <w:jc w:val="center"/>
              <w:rPr>
                <w:rFonts w:hint="default"/>
                <w:spacing w:val="5"/>
                <w:lang w:val="en-US" w:eastAsia="en-US"/>
              </w:rPr>
            </w:pPr>
            <w:r>
              <w:rPr>
                <w:rFonts w:hint="eastAsia"/>
                <w:spacing w:val="5"/>
              </w:rPr>
              <w:t>是否退还投标文件</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47D8FFC">
            <w:pPr>
              <w:pStyle w:val="93"/>
              <w:keepNext w:val="0"/>
              <w:keepLines w:val="0"/>
              <w:pageBreakBefore w:val="0"/>
              <w:widowControl w:val="0"/>
              <w:kinsoku/>
              <w:wordWrap/>
              <w:overflowPunct/>
              <w:topLinePunct w:val="0"/>
              <w:autoSpaceDE/>
              <w:autoSpaceDN/>
              <w:bidi w:val="0"/>
              <w:adjustRightInd/>
              <w:snapToGrid/>
              <w:spacing w:line="360" w:lineRule="auto"/>
              <w:ind w:left="11" w:leftChars="0" w:right="0" w:rightChars="0" w:hanging="11" w:firstLineChars="0"/>
              <w:jc w:val="left"/>
              <w:textAlignment w:val="auto"/>
              <w:rPr>
                <w:spacing w:val="6"/>
              </w:rPr>
            </w:pPr>
            <w:r>
              <w:rPr>
                <w:rFonts w:ascii="MS Gothic" w:hAnsi="MS Gothic" w:eastAsia="MS Gothic" w:cs="MS Gothic"/>
                <w:spacing w:val="6"/>
              </w:rPr>
              <w:t>☑</w:t>
            </w:r>
            <w:r>
              <w:rPr>
                <w:spacing w:val="6"/>
              </w:rPr>
              <w:t>否：招标文件中有特殊说明的除外。</w:t>
            </w:r>
          </w:p>
          <w:p w14:paraId="63F923EC">
            <w:pPr>
              <w:pStyle w:val="93"/>
              <w:keepNext w:val="0"/>
              <w:keepLines w:val="0"/>
              <w:pageBreakBefore w:val="0"/>
              <w:widowControl w:val="0"/>
              <w:kinsoku/>
              <w:wordWrap/>
              <w:overflowPunct/>
              <w:topLinePunct w:val="0"/>
              <w:autoSpaceDE/>
              <w:autoSpaceDN/>
              <w:bidi w:val="0"/>
              <w:adjustRightInd/>
              <w:snapToGrid/>
              <w:spacing w:line="360" w:lineRule="auto"/>
              <w:ind w:left="11" w:leftChars="0" w:right="0" w:rightChars="0" w:hanging="11" w:firstLineChars="0"/>
              <w:jc w:val="left"/>
              <w:textAlignment w:val="auto"/>
              <w:rPr>
                <w:rFonts w:hint="default" w:ascii="宋体" w:hAnsi="宋体" w:eastAsia="宋体" w:cs="宋体"/>
                <w:snapToGrid w:val="0"/>
                <w:color w:val="000000"/>
                <w:kern w:val="0"/>
                <w:sz w:val="20"/>
                <w:szCs w:val="20"/>
                <w:lang w:val="en-US" w:eastAsia="zh-CN" w:bidi="ar-SA"/>
              </w:rPr>
            </w:pPr>
            <w:r>
              <w:rPr>
                <w:spacing w:val="12"/>
              </w:rPr>
              <w:t xml:space="preserve"> </w:t>
            </w:r>
            <w:r>
              <w:rPr>
                <w:rFonts w:hint="eastAsia"/>
                <w:spacing w:val="-6"/>
                <w:lang w:eastAsia="zh-CN"/>
              </w:rPr>
              <w:t>□</w:t>
            </w:r>
            <w:r>
              <w:rPr>
                <w:spacing w:val="-6"/>
              </w:rPr>
              <w:t>是</w:t>
            </w:r>
          </w:p>
        </w:tc>
      </w:tr>
      <w:tr w14:paraId="16810AF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47E8B8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06F8A40">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49557ED4">
            <w:pPr>
              <w:shd w:val="clear"/>
              <w:spacing w:line="440" w:lineRule="exact"/>
              <w:rPr>
                <w:rFonts w:hint="default" w:ascii="Times New Roman" w:hAnsi="Times New Roman" w:cs="Times New Roman"/>
                <w:color w:val="auto"/>
                <w:kern w:val="2"/>
                <w:sz w:val="24"/>
                <w:szCs w:val="24"/>
                <w:highlight w:val="none"/>
                <w:u w:val="none"/>
                <w:lang w:val="en-US" w:eastAsia="zh-CN" w:bidi="ar-SA"/>
              </w:rPr>
            </w:pPr>
            <w:r>
              <w:rPr>
                <w:rFonts w:hint="default" w:ascii="Times New Roman" w:hAnsi="Times New Roman" w:cs="Times New Roman"/>
                <w:color w:val="auto"/>
                <w:kern w:val="2"/>
                <w:sz w:val="24"/>
                <w:szCs w:val="24"/>
                <w:highlight w:val="none"/>
                <w:u w:val="none"/>
                <w:lang w:val="en-US" w:eastAsia="zh-CN" w:bidi="ar-SA"/>
              </w:rPr>
              <w:t>投标文件第一个信封（商务及技术文件）开标时间： 同投标截止时间</w:t>
            </w:r>
          </w:p>
          <w:p w14:paraId="398D47DE">
            <w:pPr>
              <w:shd w:val="clear"/>
              <w:spacing w:line="440" w:lineRule="exact"/>
              <w:rPr>
                <w:rFonts w:hint="default" w:ascii="Times New Roman" w:hAnsi="Times New Roman" w:cs="Times New Roman"/>
                <w:color w:val="auto"/>
                <w:kern w:val="2"/>
                <w:sz w:val="24"/>
                <w:szCs w:val="24"/>
                <w:highlight w:val="none"/>
                <w:u w:val="none"/>
                <w:lang w:val="en-US" w:eastAsia="zh-CN" w:bidi="ar-SA"/>
              </w:rPr>
            </w:pPr>
            <w:r>
              <w:rPr>
                <w:rFonts w:hint="default" w:ascii="Times New Roman" w:hAnsi="Times New Roman" w:cs="Times New Roman"/>
                <w:color w:val="auto"/>
                <w:kern w:val="2"/>
                <w:sz w:val="24"/>
                <w:szCs w:val="24"/>
                <w:highlight w:val="none"/>
                <w:u w:val="none"/>
                <w:lang w:val="en-US" w:eastAsia="zh-CN" w:bidi="ar-SA"/>
              </w:rPr>
              <w:t>按照第一章“招标公告”需要随机确定投标人参与的具体标段号的时间：另行通知（如需）</w:t>
            </w:r>
          </w:p>
          <w:p w14:paraId="6AFBF208">
            <w:pPr>
              <w:shd w:val="clear"/>
              <w:spacing w:line="440" w:lineRule="exact"/>
              <w:rPr>
                <w:rFonts w:hint="default" w:ascii="Times New Roman" w:hAnsi="Times New Roman" w:cs="Times New Roman"/>
                <w:color w:val="auto"/>
                <w:kern w:val="2"/>
                <w:sz w:val="24"/>
                <w:szCs w:val="24"/>
                <w:highlight w:val="none"/>
                <w:u w:val="none"/>
                <w:lang w:val="en-US" w:eastAsia="zh-CN" w:bidi="ar-SA"/>
              </w:rPr>
            </w:pPr>
            <w:r>
              <w:rPr>
                <w:rFonts w:hint="default" w:ascii="Times New Roman" w:hAnsi="Times New Roman" w:cs="Times New Roman"/>
                <w:color w:val="auto"/>
                <w:kern w:val="2"/>
                <w:sz w:val="24"/>
                <w:szCs w:val="24"/>
                <w:highlight w:val="none"/>
                <w:u w:val="none"/>
                <w:lang w:val="en-US" w:eastAsia="zh-CN" w:bidi="ar-SA"/>
              </w:rPr>
              <w:t>投标文件第二个信封（报价文件）开标时间：另行通知</w:t>
            </w:r>
          </w:p>
          <w:p w14:paraId="50641453">
            <w:pPr>
              <w:shd w:val="clear"/>
              <w:spacing w:line="440" w:lineRule="exact"/>
              <w:rPr>
                <w:rFonts w:hint="default" w:ascii="Times New Roman" w:hAnsi="Times New Roman" w:cs="Times New Roman"/>
                <w:color w:val="auto"/>
                <w:kern w:val="2"/>
                <w:sz w:val="24"/>
                <w:szCs w:val="24"/>
                <w:highlight w:val="none"/>
                <w:u w:val="none"/>
                <w:lang w:val="en-US" w:eastAsia="zh-CN" w:bidi="ar-SA"/>
              </w:rPr>
            </w:pPr>
            <w:r>
              <w:rPr>
                <w:rFonts w:hint="default" w:ascii="Times New Roman" w:hAnsi="Times New Roman" w:cs="Times New Roman"/>
                <w:color w:val="auto"/>
                <w:kern w:val="2"/>
                <w:sz w:val="24"/>
                <w:szCs w:val="24"/>
                <w:highlight w:val="none"/>
                <w:u w:val="none"/>
                <w:lang w:val="en-US" w:eastAsia="zh-CN" w:bidi="ar-SA"/>
              </w:rPr>
              <w:t>地点：本项目采用不见面开标，投标人无需至开标现场。</w:t>
            </w:r>
          </w:p>
          <w:p w14:paraId="5AA5E48E">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u w:val="none"/>
                <w:lang w:val="en-US" w:eastAsia="zh-CN" w:bidi="ar-SA"/>
              </w:rPr>
              <w:t>开标系统：</w:t>
            </w:r>
            <w:r>
              <w:rPr>
                <w:rFonts w:hint="eastAsia" w:cs="Times New Roman"/>
                <w:color w:val="auto"/>
                <w:kern w:val="2"/>
                <w:sz w:val="24"/>
                <w:szCs w:val="24"/>
                <w:highlight w:val="none"/>
                <w:u w:val="none"/>
                <w:lang w:val="en-US" w:eastAsia="zh-CN" w:bidi="ar-SA"/>
              </w:rPr>
              <w:t>辽宁省公共资源不见面开标大厅</w:t>
            </w:r>
            <w:r>
              <w:rPr>
                <w:rFonts w:cs="宋体" w:asciiTheme="minorEastAsia" w:hAnsiTheme="minorEastAsia" w:eastAsiaTheme="minorEastAsia"/>
                <w:color w:val="000000" w:themeColor="text1"/>
                <w:szCs w:val="21"/>
                <w:highlight w:val="none"/>
                <w14:textFill>
                  <w14:solidFill>
                    <w14:schemeClr w14:val="tx1"/>
                  </w14:solidFill>
                </w14:textFill>
              </w:rPr>
              <w:t xml:space="preserve">https://www.lnsggzy.com/BidOpeningHall/bidhall/dqliaoning/login  </w:t>
            </w:r>
          </w:p>
        </w:tc>
      </w:tr>
      <w:tr w14:paraId="2AE7EC5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36DED7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674C8BF">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第一个信封（商务及技术文件）开标程序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75E2C11">
            <w:pPr>
              <w:pageBreakBefore w:val="0"/>
              <w:numPr>
                <w:ilvl w:val="0"/>
                <w:numId w:val="0"/>
              </w:numPr>
              <w:kinsoku/>
              <w:wordWrap w:val="0"/>
              <w:bidi w:val="0"/>
              <w:spacing w:line="440" w:lineRule="exac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30</w:t>
            </w:r>
            <w:r>
              <w:rPr>
                <w:rFonts w:hint="eastAsia" w:cs="Times New Roman"/>
                <w:color w:val="auto"/>
                <w:sz w:val="24"/>
                <w:szCs w:val="24"/>
                <w:highlight w:val="none"/>
                <w:u w:val="none"/>
                <w:lang w:val="en-US" w:eastAsia="zh-CN"/>
              </w:rPr>
              <w:t>分钟，当所有上传的电子投标文件均完成解密时，时长相应缩短。</w:t>
            </w:r>
          </w:p>
          <w:p w14:paraId="4D6945F7">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投标人必须在</w:t>
            </w:r>
            <w:r>
              <w:rPr>
                <w:rFonts w:hint="eastAsia" w:cs="Times New Roman"/>
                <w:color w:val="auto"/>
                <w:sz w:val="24"/>
                <w:szCs w:val="24"/>
                <w:highlight w:val="none"/>
                <w:lang w:val="en-US" w:eastAsia="zh-CN"/>
              </w:rPr>
              <w:t>规定</w:t>
            </w:r>
            <w:r>
              <w:rPr>
                <w:rFonts w:hint="default" w:ascii="Times New Roman" w:hAnsi="Times New Roman" w:cs="Times New Roman"/>
                <w:color w:val="auto"/>
                <w:sz w:val="24"/>
                <w:szCs w:val="24"/>
                <w:highlight w:val="none"/>
                <w:lang w:eastAsia="zh-CN"/>
              </w:rPr>
              <w:t>解密时间</w:t>
            </w:r>
            <w:r>
              <w:rPr>
                <w:rFonts w:hint="eastAsia" w:cs="Times New Roman"/>
                <w:color w:val="auto"/>
                <w:sz w:val="24"/>
                <w:szCs w:val="24"/>
                <w:highlight w:val="none"/>
                <w:lang w:val="en-US" w:eastAsia="zh-CN"/>
              </w:rPr>
              <w:t>内</w:t>
            </w:r>
            <w:r>
              <w:rPr>
                <w:rFonts w:hint="default" w:ascii="Times New Roman" w:hAnsi="Times New Roman" w:cs="Times New Roman"/>
                <w:color w:val="auto"/>
                <w:sz w:val="24"/>
                <w:szCs w:val="24"/>
                <w:highlight w:val="none"/>
                <w:lang w:eastAsia="zh-CN"/>
              </w:rPr>
              <w:t>完成投标文件的远程解密。</w:t>
            </w:r>
            <w:r>
              <w:rPr>
                <w:rFonts w:hint="eastAsia" w:cs="Times New Roman"/>
                <w:color w:val="auto"/>
                <w:sz w:val="24"/>
                <w:szCs w:val="24"/>
                <w:highlight w:val="none"/>
                <w:lang w:val="en-US" w:eastAsia="zh-CN"/>
              </w:rPr>
              <w:t>除特殊说明情况外，若出现在规定时间未成功解密的情况，视为撤销投标文件</w:t>
            </w:r>
            <w:r>
              <w:rPr>
                <w:rFonts w:hint="default" w:ascii="Times New Roman" w:hAnsi="Times New Roman" w:cs="Times New Roman"/>
                <w:color w:val="auto"/>
                <w:sz w:val="24"/>
                <w:szCs w:val="24"/>
                <w:highlight w:val="none"/>
                <w:lang w:eastAsia="zh-CN"/>
              </w:rPr>
              <w:t>。</w:t>
            </w:r>
          </w:p>
        </w:tc>
      </w:tr>
      <w:tr w14:paraId="41F94AF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DE2B33D">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5.2.</w:t>
            </w:r>
            <w:r>
              <w:rPr>
                <w:rFonts w:hint="eastAsia" w:cs="Times New Roman"/>
                <w:color w:val="auto"/>
                <w:sz w:val="24"/>
                <w:szCs w:val="24"/>
                <w:highlight w:val="none"/>
                <w:lang w:val="en-US" w:eastAsia="zh-CN"/>
              </w:rPr>
              <w:t>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6EAD249">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投标人参与详细评审的具体标段号的随机确定程序</w:t>
            </w:r>
            <w:r>
              <w:rPr>
                <w:rStyle w:val="47"/>
                <w:rFonts w:hint="default" w:ascii="Times New Roman" w:hAnsi="Times New Roman" w:cs="Times New Roman"/>
                <w:color w:val="auto"/>
                <w:sz w:val="24"/>
                <w:szCs w:val="24"/>
                <w:highlight w:val="none"/>
              </w:rPr>
              <w:footnoteReference w:id="5"/>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C44A162">
            <w:pPr>
              <w:pageBreakBefore w:val="0"/>
              <w:kinsoku/>
              <w:wordWrap w:val="0"/>
              <w:bidi w:val="0"/>
              <w:spacing w:line="440" w:lineRule="exact"/>
              <w:ind w:firstLine="0" w:firstLineChars="0"/>
              <w:rPr>
                <w:rFonts w:hint="default" w:ascii="Times New Roman" w:hAnsi="Times New Roman"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适用，</w:t>
            </w:r>
            <w:r>
              <w:rPr>
                <w:rFonts w:hint="eastAsia" w:cs="Times New Roman"/>
                <w:color w:val="auto"/>
                <w:sz w:val="24"/>
                <w:szCs w:val="24"/>
                <w:highlight w:val="none"/>
                <w:lang w:val="en-US" w:eastAsia="zh-CN"/>
              </w:rPr>
              <w:t>随机确定投标标段</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u w:val="single"/>
                <w:lang w:val="en-US" w:eastAsia="zh-CN"/>
              </w:rPr>
              <w:t xml:space="preserve">        </w:t>
            </w:r>
          </w:p>
          <w:p w14:paraId="714BFA5E">
            <w:pPr>
              <w:pageBreakBefore w:val="0"/>
              <w:kinsoku/>
              <w:wordWrap w:val="0"/>
              <w:bidi w:val="0"/>
              <w:spacing w:line="440" w:lineRule="exact"/>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不适用</w:t>
            </w:r>
          </w:p>
        </w:tc>
      </w:tr>
      <w:tr w14:paraId="722A423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A9954A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6B56510">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第二个信封（报价文件）开标程序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AB375F3">
            <w:pPr>
              <w:wordWrap w:val="0"/>
              <w:spacing w:line="440" w:lineRule="exact"/>
              <w:rPr>
                <w:color w:val="auto"/>
                <w:sz w:val="24"/>
                <w:highlight w:val="none"/>
                <w:lang w:eastAsia="zh"/>
              </w:rPr>
            </w:pP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rPr>
              <w:t>第二个信封（报价文件）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30</w:t>
            </w:r>
            <w:r>
              <w:rPr>
                <w:rFonts w:hint="eastAsia"/>
                <w:color w:val="auto"/>
                <w:sz w:val="24"/>
                <w:highlight w:val="none"/>
                <w:u w:val="single"/>
              </w:rPr>
              <w:t xml:space="preserve"> </w:t>
            </w:r>
            <w:r>
              <w:rPr>
                <w:rFonts w:hint="eastAsia"/>
                <w:color w:val="auto"/>
                <w:sz w:val="24"/>
                <w:highlight w:val="none"/>
                <w:u w:val="none"/>
                <w:lang w:eastAsia="zh"/>
              </w:rPr>
              <w:t>分钟，当所有参与第二个信封评审的电子投标文件均完成解密时，时长相应缩短。</w:t>
            </w:r>
          </w:p>
          <w:p w14:paraId="57D3A74E">
            <w:pPr>
              <w:pageBreakBefore w:val="0"/>
              <w:kinsoku/>
              <w:wordWrap w:val="0"/>
              <w:bidi w:val="0"/>
              <w:spacing w:line="44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投标人必须在</w:t>
            </w:r>
            <w:r>
              <w:rPr>
                <w:rFonts w:hint="eastAsia" w:cs="Times New Roman"/>
                <w:color w:val="auto"/>
                <w:sz w:val="24"/>
                <w:szCs w:val="24"/>
                <w:highlight w:val="none"/>
                <w:lang w:val="en-US" w:eastAsia="zh-CN"/>
              </w:rPr>
              <w:t>规定</w:t>
            </w:r>
            <w:r>
              <w:rPr>
                <w:rFonts w:hint="default" w:ascii="Times New Roman" w:hAnsi="Times New Roman" w:cs="Times New Roman"/>
                <w:color w:val="auto"/>
                <w:sz w:val="24"/>
                <w:szCs w:val="24"/>
                <w:highlight w:val="none"/>
                <w:lang w:eastAsia="zh-CN"/>
              </w:rPr>
              <w:t>解密时间</w:t>
            </w:r>
            <w:r>
              <w:rPr>
                <w:rFonts w:hint="eastAsia" w:cs="Times New Roman"/>
                <w:color w:val="auto"/>
                <w:sz w:val="24"/>
                <w:szCs w:val="24"/>
                <w:highlight w:val="none"/>
                <w:lang w:val="en-US" w:eastAsia="zh-CN"/>
              </w:rPr>
              <w:t>内</w:t>
            </w:r>
            <w:r>
              <w:rPr>
                <w:rFonts w:hint="default" w:ascii="Times New Roman" w:hAnsi="Times New Roman" w:cs="Times New Roman"/>
                <w:color w:val="auto"/>
                <w:sz w:val="24"/>
                <w:szCs w:val="24"/>
                <w:highlight w:val="none"/>
                <w:lang w:eastAsia="zh-CN"/>
              </w:rPr>
              <w:t>完成投标文件的远程解密。除特殊说明情况外，若出现在规定时间未成功解密的情况，视为撤销投标文件。投标人应确保</w:t>
            </w:r>
            <w:r>
              <w:rPr>
                <w:rFonts w:hint="eastAsia" w:ascii="宋体" w:hAnsi="宋体" w:eastAsia="宋体" w:cs="宋体"/>
                <w:color w:val="auto"/>
                <w:sz w:val="24"/>
                <w:szCs w:val="24"/>
                <w:highlight w:val="none"/>
                <w:lang w:eastAsia="zh-CN"/>
              </w:rPr>
              <w:t>“不见面开标大厅”</w:t>
            </w:r>
            <w:r>
              <w:rPr>
                <w:rFonts w:hint="default" w:ascii="Times New Roman" w:hAnsi="Times New Roman" w:cs="Times New Roman"/>
                <w:color w:val="auto"/>
                <w:sz w:val="24"/>
                <w:szCs w:val="24"/>
                <w:highlight w:val="none"/>
                <w:lang w:eastAsia="zh-CN"/>
              </w:rPr>
              <w:t>所留项目联系方式正确且开评标期间全程畅通。如若投标人未解密文件或投标人电话未接通或投标人所留联系方式不正确，均视为自动放弃，按未递交处理。</w:t>
            </w:r>
          </w:p>
        </w:tc>
      </w:tr>
      <w:tr w14:paraId="73EF62E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31776CB">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53ADD01">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开标补救措施</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0FD0DBD">
            <w:pPr>
              <w:pageBreakBefore w:val="0"/>
              <w:kinsoku/>
              <w:wordWrap w:val="0"/>
              <w:bidi w:val="0"/>
              <w:spacing w:line="440" w:lineRule="exact"/>
              <w:rPr>
                <w:rFonts w:hint="default" w:ascii="Times New Roman" w:hAnsi="Times New Roman" w:cs="Times New Roman"/>
                <w:color w:val="auto"/>
                <w:sz w:val="24"/>
                <w:szCs w:val="24"/>
                <w:highlight w:val="none"/>
                <w:lang w:val="en-US"/>
              </w:rPr>
            </w:pPr>
            <w:r>
              <w:rPr>
                <w:rFonts w:hint="eastAsia" w:ascii="仿宋" w:hAnsi="仿宋" w:eastAsia="仿宋" w:cs="仿宋"/>
                <w:spacing w:val="-1"/>
                <w:highlight w:val="none"/>
                <w:u w:val="single" w:color="auto"/>
                <w:lang w:val="en-US" w:eastAsia="zh-CN"/>
              </w:rPr>
              <w:t xml:space="preserve"> </w:t>
            </w:r>
            <w:r>
              <w:rPr>
                <w:rFonts w:hint="eastAsia" w:ascii="Times New Roman" w:hAnsi="Times New Roman" w:eastAsia="宋体" w:cs="Times New Roman"/>
                <w:color w:val="auto"/>
                <w:sz w:val="24"/>
                <w:szCs w:val="24"/>
                <w:highlight w:val="none"/>
                <w:lang w:val="en-US" w:eastAsia="zh-CN"/>
              </w:rPr>
              <w:t>见总则5.3</w:t>
            </w:r>
          </w:p>
        </w:tc>
      </w:tr>
      <w:tr w14:paraId="697B124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622AED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34D6D5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评标委员会的组建</w:t>
            </w:r>
            <w:r>
              <w:rPr>
                <w:rStyle w:val="47"/>
                <w:rFonts w:hint="default" w:ascii="Times New Roman" w:hAnsi="Times New Roman" w:cs="Times New Roman"/>
                <w:color w:val="auto"/>
                <w:sz w:val="24"/>
                <w:szCs w:val="24"/>
                <w:highlight w:val="none"/>
              </w:rPr>
              <w:footnoteReference w:id="6"/>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5252560">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评标委员会构成：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人，其中招标人代表</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人，专家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w:t>
            </w:r>
          </w:p>
          <w:p w14:paraId="0B9EE5EE">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评标专家确定方式：</w:t>
            </w:r>
            <w:r>
              <w:rPr>
                <w:rFonts w:hint="default" w:ascii="Times New Roman" w:hAnsi="Times New Roman" w:cs="Times New Roman"/>
                <w:color w:val="auto"/>
                <w:sz w:val="24"/>
                <w:szCs w:val="24"/>
                <w:highlight w:val="none"/>
                <w:u w:val="single"/>
              </w:rPr>
              <w:t xml:space="preserve"> 依法从辽宁省综合评标专家库中随机抽取 </w:t>
            </w:r>
          </w:p>
        </w:tc>
      </w:tr>
      <w:tr w14:paraId="782F7D7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A6184B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93528C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评标委员会推荐中标候选人的人数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9F4F2D7">
            <w:pPr>
              <w:pageBreakBefore w:val="0"/>
              <w:kinsoku/>
              <w:wordWrap w:val="0"/>
              <w:bidi w:val="0"/>
              <w:spacing w:line="440" w:lineRule="exact"/>
              <w:rPr>
                <w:rFonts w:hint="default" w:ascii="Times New Roman" w:hAnsi="Times New Roman" w:cs="Times New Roman"/>
                <w:color w:val="auto"/>
                <w:spacing w:val="10"/>
                <w:sz w:val="24"/>
                <w:szCs w:val="24"/>
                <w:highlight w:val="none"/>
                <w:u w:val="single"/>
                <w:bdr w:val="single" w:color="auto" w:sz="4" w:space="0"/>
              </w:rPr>
            </w:pPr>
            <w:r>
              <w:rPr>
                <w:rFonts w:hint="eastAsia" w:ascii="Times New Roman" w:hAnsi="Times New Roman" w:eastAsia="宋体" w:cs="Times New Roman"/>
                <w:color w:val="auto"/>
                <w:sz w:val="24"/>
                <w:szCs w:val="24"/>
                <w:highlight w:val="none"/>
                <w:u w:val="single"/>
                <w:lang w:val="en-US" w:eastAsia="zh-CN"/>
              </w:rPr>
              <w:t>推荐的中标候选人数为3名</w:t>
            </w:r>
          </w:p>
        </w:tc>
      </w:tr>
      <w:tr w14:paraId="74DF369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260491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32251E9">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中标候选人公示媒介及期限</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FDE3060">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公示媒介：同发布招标公告媒介</w:t>
            </w:r>
          </w:p>
          <w:p w14:paraId="1C142625">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公示期限：</w:t>
            </w:r>
            <w:r>
              <w:rPr>
                <w:rFonts w:hint="default" w:ascii="Times New Roman" w:hAnsi="Times New Roman" w:cs="Times New Roman"/>
                <w:color w:val="auto"/>
                <w:sz w:val="24"/>
                <w:szCs w:val="24"/>
                <w:highlight w:val="none"/>
                <w:u w:val="single"/>
              </w:rPr>
              <w:t xml:space="preserve"> 不少于3  </w:t>
            </w:r>
            <w:r>
              <w:rPr>
                <w:rFonts w:hint="default" w:ascii="Times New Roman" w:hAnsi="Times New Roman" w:cs="Times New Roman"/>
                <w:color w:val="auto"/>
                <w:sz w:val="24"/>
                <w:szCs w:val="24"/>
                <w:highlight w:val="none"/>
              </w:rPr>
              <w:t>日</w:t>
            </w:r>
          </w:p>
          <w:p w14:paraId="0E3F2216">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公示的其他内容：</w:t>
            </w:r>
          </w:p>
          <w:p w14:paraId="0A721ED5">
            <w:pPr>
              <w:spacing w:line="400" w:lineRule="exact"/>
              <w:rPr>
                <w:rFonts w:hint="default" w:ascii="Times New Roman" w:hAnsi="Times New Roman" w:cs="Times New Roman"/>
                <w:color w:val="auto"/>
                <w:sz w:val="24"/>
                <w:szCs w:val="24"/>
                <w:highlight w:val="none"/>
              </w:rPr>
            </w:pPr>
            <w:r>
              <w:rPr>
                <w:rFonts w:hint="eastAsia"/>
                <w:sz w:val="24"/>
              </w:rPr>
              <w:t>☑</w:t>
            </w:r>
            <w:r>
              <w:rPr>
                <w:rFonts w:hint="eastAsia" w:cs="宋体" w:asciiTheme="minorEastAsia" w:hAnsiTheme="minorEastAsia" w:eastAsiaTheme="minorEastAsia"/>
                <w:sz w:val="24"/>
              </w:rPr>
              <w:t>第一个信封和第二个信封开标记录</w:t>
            </w:r>
          </w:p>
          <w:p w14:paraId="662FF46C">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详细评审的评标委员会成员打分</w:t>
            </w:r>
          </w:p>
          <w:p w14:paraId="594CDEB9">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受理异议和投诉的联系方式</w:t>
            </w:r>
          </w:p>
          <w:p w14:paraId="04420BE4">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u w:val="none"/>
              </w:rPr>
              <w:t>如发现投标人存在弄虚作假行为，招标人将取消其中标候选人资格，并上报省级交通主管部门，作为不良记录纳入</w:t>
            </w:r>
            <w:r>
              <w:rPr>
                <w:rFonts w:hint="eastAsia" w:cs="Times New Roman"/>
                <w:color w:val="auto"/>
                <w:sz w:val="24"/>
                <w:szCs w:val="24"/>
                <w:highlight w:val="none"/>
                <w:u w:val="none"/>
                <w:lang w:eastAsia="zh-CN"/>
              </w:rPr>
              <w:t>全国公路建设市场监督管理系统</w:t>
            </w:r>
            <w:r>
              <w:rPr>
                <w:rFonts w:hint="default" w:ascii="Times New Roman" w:hAnsi="Times New Roman" w:cs="Times New Roman"/>
                <w:color w:val="auto"/>
                <w:sz w:val="24"/>
                <w:szCs w:val="24"/>
                <w:highlight w:val="none"/>
                <w:u w:val="none"/>
              </w:rPr>
              <w:t>。</w:t>
            </w:r>
          </w:p>
        </w:tc>
      </w:tr>
      <w:tr w14:paraId="545A304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75C18EC">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7.4</w:t>
            </w:r>
            <w:r>
              <w:rPr>
                <w:rFonts w:hint="eastAsia" w:cs="Times New Roman"/>
                <w:color w:val="auto"/>
                <w:sz w:val="24"/>
                <w:szCs w:val="24"/>
                <w:highlight w:val="none"/>
                <w:lang w:val="en-US" w:eastAsia="zh-CN"/>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A8A0C8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是否授权评标委员会确定中标人</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45CF3693">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是</w:t>
            </w:r>
          </w:p>
          <w:p w14:paraId="4E24C956">
            <w:pPr>
              <w:pageBreakBefore w:val="0"/>
              <w:kinsoku/>
              <w:wordWrap w:val="0"/>
              <w:bidi w:val="0"/>
              <w:snapToGrid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否</w:t>
            </w:r>
          </w:p>
        </w:tc>
      </w:tr>
      <w:tr w14:paraId="54F082B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E7D9D93">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7.4.2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F9C1D8">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定标规则</w:t>
            </w:r>
            <w:r>
              <w:rPr>
                <w:rStyle w:val="47"/>
                <w:rFonts w:hint="eastAsia" w:cs="Times New Roman"/>
                <w:color w:val="auto"/>
                <w:sz w:val="24"/>
                <w:szCs w:val="24"/>
                <w:highlight w:val="none"/>
                <w:lang w:val="en-US" w:eastAsia="zh-CN"/>
              </w:rPr>
              <w:footnoteReference w:id="7"/>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040C518">
            <w:pPr>
              <w:pageBreakBefore w:val="0"/>
              <w:kinsoku/>
              <w:wordWrap w:val="0"/>
              <w:bidi w:val="0"/>
              <w:snapToGrid w:val="0"/>
              <w:spacing w:line="440" w:lineRule="exact"/>
              <w:rPr>
                <w:rFonts w:hint="default"/>
                <w:color w:val="auto"/>
                <w:sz w:val="24"/>
                <w:highlight w:val="none"/>
                <w:lang w:val="en-US" w:eastAsia="zh-CN"/>
              </w:rPr>
            </w:pPr>
            <w:r>
              <w:rPr>
                <w:rFonts w:hint="default"/>
                <w:color w:val="auto"/>
                <w:sz w:val="24"/>
                <w:highlight w:val="none"/>
                <w:lang w:val="en-US" w:eastAsia="zh-CN"/>
              </w:rPr>
              <w:t>按招标人制订的定标规则执行</w:t>
            </w:r>
          </w:p>
        </w:tc>
      </w:tr>
      <w:tr w14:paraId="4F32909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CA03D3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3179105">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中标通知书的形式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01D0F79">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书面形式</w:t>
            </w:r>
          </w:p>
          <w:p w14:paraId="4F063CFF">
            <w:pPr>
              <w:pageBreakBefore w:val="0"/>
              <w:kinsoku/>
              <w:wordWrap w:val="0"/>
              <w:overflow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电子形式：</w:t>
            </w:r>
            <w:r>
              <w:rPr>
                <w:rFonts w:hint="eastAsia" w:cs="Times New Roman"/>
                <w:color w:val="auto"/>
                <w:sz w:val="24"/>
                <w:szCs w:val="24"/>
                <w:highlight w:val="none"/>
                <w:lang w:val="en-US" w:eastAsia="zh-CN"/>
              </w:rPr>
              <w:t xml:space="preserve">            </w:t>
            </w:r>
          </w:p>
        </w:tc>
      </w:tr>
      <w:tr w14:paraId="0530614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95D228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22362A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中标结果公告媒介及期限</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617A59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公告媒介：同发布招标公告媒介</w:t>
            </w:r>
          </w:p>
          <w:p w14:paraId="54006055">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公告期限：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tc>
      </w:tr>
      <w:tr w14:paraId="01CCFED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E9677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7.7.1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D0929E0">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履约保证金</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9B2B92C">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是否要求中标人提交履约保证金：</w:t>
            </w:r>
          </w:p>
          <w:p w14:paraId="6E1B739A">
            <w:pPr>
              <w:pStyle w:val="15"/>
              <w:keepNext w:val="0"/>
              <w:keepLines w:val="0"/>
              <w:pageBreakBefore w:val="0"/>
              <w:widowControl w:val="0"/>
              <w:kinsoku/>
              <w:wordWrap w:val="0"/>
              <w:overflowPunct/>
              <w:topLinePunct/>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要求，履约保证金的形式：由中标人自主选择电子保函或银行保函或现金（电汇或转账）、支票等招标人可接受的支付形式</w:t>
            </w:r>
            <w:r>
              <w:rPr>
                <w:rStyle w:val="47"/>
                <w:rFonts w:hint="default" w:ascii="Times New Roman" w:hAnsi="Times New Roman" w:cs="Times New Roman"/>
                <w:color w:val="auto"/>
                <w:sz w:val="24"/>
                <w:szCs w:val="24"/>
                <w:highlight w:val="none"/>
              </w:rPr>
              <w:footnoteReference w:id="8"/>
            </w:r>
          </w:p>
          <w:p w14:paraId="592DF386">
            <w:pPr>
              <w:pStyle w:val="15"/>
              <w:keepNext w:val="0"/>
              <w:keepLines w:val="0"/>
              <w:pageBreakBefore w:val="0"/>
              <w:widowControl w:val="0"/>
              <w:kinsoku/>
              <w:wordWrap w:val="0"/>
              <w:overflowPunct/>
              <w:topLinePunct/>
              <w:autoSpaceDE/>
              <w:autoSpaceDN/>
              <w:bidi w:val="0"/>
              <w:adjustRightInd/>
              <w:snapToGrid/>
              <w:spacing w:line="440" w:lineRule="exact"/>
              <w:textAlignment w:val="auto"/>
              <w:rPr>
                <w:color w:val="auto"/>
                <w:sz w:val="24"/>
                <w:highlight w:val="none"/>
              </w:rPr>
            </w:pPr>
            <w:r>
              <w:rPr>
                <w:color w:val="auto"/>
                <w:sz w:val="24"/>
                <w:highlight w:val="none"/>
              </w:rPr>
              <w:t>履约保证金的金额：</w:t>
            </w:r>
            <w:r>
              <w:rPr>
                <w:rFonts w:hint="eastAsia"/>
                <w:color w:val="auto"/>
                <w:sz w:val="24"/>
                <w:highlight w:val="yellow"/>
              </w:rPr>
              <w:t xml:space="preserve"> 3%签约合同价</w:t>
            </w:r>
            <w:r>
              <w:rPr>
                <w:rStyle w:val="47"/>
                <w:rFonts w:hint="default" w:ascii="Times New Roman" w:hAnsi="Times New Roman" w:cs="Times New Roman"/>
                <w:color w:val="auto"/>
                <w:sz w:val="24"/>
                <w:szCs w:val="24"/>
                <w:highlight w:val="yellow"/>
              </w:rPr>
              <w:footnoteReference w:id="9"/>
            </w:r>
          </w:p>
          <w:p w14:paraId="49697657">
            <w:pPr>
              <w:wordWrap w:val="0"/>
              <w:spacing w:line="440" w:lineRule="exact"/>
              <w:rPr>
                <w:color w:val="auto"/>
                <w:sz w:val="24"/>
                <w:highlight w:val="none"/>
                <w:u w:val="single"/>
              </w:rPr>
            </w:pPr>
            <w:r>
              <w:rPr>
                <w:color w:val="auto"/>
                <w:spacing w:val="-8"/>
                <w:sz w:val="24"/>
                <w:highlight w:val="none"/>
              </w:rPr>
              <w:t>采用银行保函时，出具保函的银行级别</w:t>
            </w:r>
            <w:r>
              <w:rPr>
                <w:color w:val="auto"/>
                <w:sz w:val="24"/>
                <w:highlight w:val="none"/>
              </w:rPr>
              <w:t>：</w:t>
            </w:r>
            <w:r>
              <w:rPr>
                <w:rFonts w:hint="eastAsia"/>
                <w:color w:val="auto"/>
                <w:sz w:val="24"/>
                <w:highlight w:val="none"/>
              </w:rPr>
              <w:t>国有商业银行或股份制商业银行的支行及其以上银行</w:t>
            </w:r>
          </w:p>
          <w:p w14:paraId="78DBF09B">
            <w:pPr>
              <w:wordWrap w:val="0"/>
              <w:spacing w:line="440" w:lineRule="exact"/>
              <w:rPr>
                <w:rFonts w:hint="eastAsia"/>
                <w:color w:val="auto"/>
                <w:sz w:val="24"/>
                <w:highlight w:val="none"/>
                <w:u w:val="single"/>
                <w:lang w:val="en-US" w:eastAsia="zh-CN"/>
              </w:rPr>
            </w:pPr>
            <w:r>
              <w:rPr>
                <w:rFonts w:hint="eastAsia"/>
                <w:color w:val="auto"/>
                <w:sz w:val="24"/>
                <w:highlight w:val="none"/>
                <w:u w:val="none"/>
                <w:lang w:val="en-US" w:eastAsia="zh-CN"/>
              </w:rPr>
              <w:t xml:space="preserve">采用电子保函： 具有金融服务担保能力的机构 </w:t>
            </w:r>
          </w:p>
          <w:p w14:paraId="61A26866">
            <w:pPr>
              <w:keepNext w:val="0"/>
              <w:keepLines w:val="0"/>
              <w:pageBreakBefore w:val="0"/>
              <w:widowControl w:val="0"/>
              <w:kinsoku/>
              <w:wordWrap w:val="0"/>
              <w:overflowPunct/>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不要求</w:t>
            </w:r>
          </w:p>
        </w:tc>
      </w:tr>
      <w:tr w14:paraId="3002D3A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7A2CA2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1620FF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DB363DD">
            <w:pPr>
              <w:pageBreakBefore w:val="0"/>
              <w:kinsoku/>
              <w:wordWrap w:val="0"/>
              <w:bidi w:val="0"/>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监督部门： 详见第一章《招标公告》</w:t>
            </w:r>
            <w:r>
              <w:rPr>
                <w:rFonts w:hint="default" w:ascii="Times New Roman" w:hAnsi="Times New Roman" w:cs="Times New Roman"/>
                <w:color w:val="auto"/>
                <w:sz w:val="24"/>
                <w:szCs w:val="24"/>
                <w:highlight w:val="none"/>
                <w:lang w:val="en-US" w:eastAsia="zh-CN"/>
              </w:rPr>
              <w:t>信息</w:t>
            </w:r>
            <w:r>
              <w:rPr>
                <w:rFonts w:hint="default" w:ascii="Times New Roman" w:hAnsi="Times New Roman" w:cs="Times New Roman"/>
                <w:color w:val="auto"/>
                <w:sz w:val="24"/>
                <w:szCs w:val="24"/>
                <w:highlight w:val="none"/>
              </w:rPr>
              <w:t xml:space="preserve"> </w:t>
            </w:r>
          </w:p>
          <w:p w14:paraId="4DB3B77D">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w:t>
            </w:r>
          </w:p>
          <w:p w14:paraId="73A6AA1C">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行政监督部门按照《招标投标法实施条例》《工程建设项目招标投标活动投诉处理办法》（2013年3月国家发展改革委第23号令修改）、《</w:t>
            </w: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HYPERLINK "https://www.ndrc.gov.cn/xwdt/tzgg/202102/t20210225_1267906.html"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u w:val="none"/>
                <w:lang w:val="en-US" w:eastAsia="zh-CN" w:bidi="ar-SA"/>
              </w:rPr>
              <w:t>关于建立健全招标投标领域优化营商环境长效机制的通知</w:t>
            </w:r>
            <w:r>
              <w:rPr>
                <w:rFonts w:hint="default" w:ascii="Times New Roman" w:hAnsi="Times New Roman" w:eastAsia="宋体" w:cs="Times New Roman"/>
                <w:color w:val="auto"/>
                <w:kern w:val="2"/>
                <w:sz w:val="24"/>
                <w:szCs w:val="24"/>
                <w:highlight w:val="none"/>
                <w:u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发改法规〔2021〕240号）、交通运输部</w:t>
            </w:r>
            <w:r>
              <w:rPr>
                <w:rFonts w:hint="default" w:ascii="Times New Roman" w:hAnsi="Times New Roman" w:eastAsia="宋体" w:cs="Times New Roman"/>
                <w:color w:val="auto"/>
                <w:kern w:val="2"/>
                <w:sz w:val="24"/>
                <w:szCs w:val="24"/>
                <w:highlight w:val="none"/>
                <w:lang w:val="en-US" w:eastAsia="zh-CN" w:bidi="ar-SA"/>
              </w:rPr>
              <w:t>《公路工程建设项目招标投标管理办法》等相关规定，接受针对公示内容的投诉。投诉材料要求、投诉受理条件及查处按照上述规定执行。</w:t>
            </w:r>
          </w:p>
          <w:p w14:paraId="2A58B3CB">
            <w:pPr>
              <w:keepNext w:val="0"/>
              <w:keepLines w:val="0"/>
              <w:pageBreakBefore w:val="0"/>
              <w:widowControl w:val="0"/>
              <w:kinsoku/>
              <w:wordWrap/>
              <w:overflowPunct/>
              <w:topLinePunct w:val="0"/>
              <w:autoSpaceDE/>
              <w:autoSpaceDN/>
              <w:bidi w:val="0"/>
              <w:adjustRightInd/>
              <w:snapToGrid/>
              <w:spacing w:line="440" w:lineRule="exact"/>
              <w:ind w:lef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（1）如果投标人或其他利害关系人就招标文件、开标及评标结果等事项投诉的，应当按法律、法规有关异议的规定先向招标人提出异议，对招标人的答复不满意或招标人未答复的，可向有关行政监督部门投诉。</w:t>
            </w:r>
          </w:p>
          <w:p w14:paraId="54916680">
            <w:pPr>
              <w:keepNext w:val="0"/>
              <w:keepLines w:val="0"/>
              <w:pageBreakBefore w:val="0"/>
              <w:widowControl w:val="0"/>
              <w:kinsoku/>
              <w:overflowPunct/>
              <w:topLinePunct w:val="0"/>
              <w:autoSpaceDE/>
              <w:autoSpaceDN/>
              <w:bidi w:val="0"/>
              <w:adjustRightInd/>
              <w:snapToGrid/>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于按法律法规规定需要先提出异议的投诉，行政监督部门在受理投诉时另要求投诉人递交提出异议的证明文件，已向其他有关行政监督部门投诉的，应当一并说明。未按规定提出异议或者未提交已提出异议的证明文件的投诉，不予受理。</w:t>
            </w:r>
          </w:p>
          <w:p w14:paraId="202741FC">
            <w:pPr>
              <w:keepNext w:val="0"/>
              <w:keepLines w:val="0"/>
              <w:pageBreakBefore w:val="0"/>
              <w:widowControl w:val="0"/>
              <w:kinsoku/>
              <w:overflowPunct/>
              <w:topLinePunct w:val="0"/>
              <w:autoSpaceDE/>
              <w:autoSpaceDN/>
              <w:bidi w:val="0"/>
              <w:adjustRightInd/>
              <w:snapToGrid/>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投诉人缺乏事实根据或者法律依据进行投诉的，或者有证据表明投诉人捏造事实、伪造材料的，或者投诉人以非法手段取得证明材料进行投诉的，交通运输主管部门应当予以驳回，并对恶意投诉按照有关规定追究投诉人责任。</w:t>
            </w:r>
          </w:p>
          <w:p w14:paraId="06DCB46E">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default" w:ascii="Times New Roman" w:hAnsi="Times New Roman" w:eastAsia="宋体" w:cs="Times New Roman"/>
                <w:color w:val="auto"/>
                <w:sz w:val="24"/>
                <w:szCs w:val="24"/>
                <w:highlight w:val="none"/>
              </w:rPr>
              <w:t>（4）行政监督部门对投诉事项作出的处理决定，在对该项目具有招标监督职责的部门网站上进行公告，包括投诉的事由、调查结果、处理决定、处罚依据以及处罚意见等内容。</w:t>
            </w:r>
          </w:p>
        </w:tc>
      </w:tr>
      <w:tr w14:paraId="3DCF8411">
        <w:tblPrEx>
          <w:tblCellMar>
            <w:top w:w="0" w:type="dxa"/>
            <w:left w:w="108" w:type="dxa"/>
            <w:bottom w:w="0" w:type="dxa"/>
            <w:right w:w="108" w:type="dxa"/>
          </w:tblCellMar>
        </w:tblPrEx>
        <w:trPr>
          <w:trHeight w:val="340" w:hRule="atLeast"/>
        </w:trPr>
        <w:tc>
          <w:tcPr>
            <w:tcW w:w="9004" w:type="dxa"/>
            <w:gridSpan w:val="3"/>
            <w:tcBorders>
              <w:top w:val="single" w:color="auto" w:sz="4" w:space="0"/>
              <w:left w:val="single" w:color="auto" w:sz="4" w:space="0"/>
              <w:bottom w:val="single" w:color="auto" w:sz="4" w:space="0"/>
              <w:right w:val="single" w:color="auto" w:sz="4" w:space="0"/>
            </w:tcBorders>
            <w:noWrap w:val="0"/>
            <w:vAlign w:val="center"/>
          </w:tcPr>
          <w:p w14:paraId="70921439">
            <w:pPr>
              <w:pageBreakBefore w:val="0"/>
              <w:kinsoku/>
              <w:wordWrap w:val="0"/>
              <w:bidi w:val="0"/>
              <w:spacing w:line="44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需要补充的其他内容</w:t>
            </w:r>
          </w:p>
        </w:tc>
      </w:tr>
      <w:tr w14:paraId="62BAA82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49DCDED">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9.1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9C74215">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施工组织设计的编制要求</w:t>
            </w:r>
            <w:r>
              <w:rPr>
                <w:rStyle w:val="47"/>
                <w:rFonts w:hint="default" w:ascii="Times New Roman" w:hAnsi="Times New Roman" w:cs="Times New Roman"/>
                <w:color w:val="auto"/>
                <w:sz w:val="24"/>
                <w:szCs w:val="24"/>
                <w:highlight w:val="none"/>
                <w:lang w:val="en-US" w:eastAsia="zh-CN"/>
              </w:rPr>
              <w:footnoteReference w:id="10"/>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D4C9BFE">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val="en-US" w:eastAsia="zh-CN"/>
              </w:rPr>
              <w:t>施工组织设计</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编制要求：</w:t>
            </w:r>
          </w:p>
          <w:p w14:paraId="7A577B1B">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采用暗标形式，必须按下列格式编制，否则视为未对招标文件作出实质性响应，按否决投标处理。</w:t>
            </w:r>
          </w:p>
          <w:p w14:paraId="291D8D31">
            <w:pPr>
              <w:pageBreakBefore w:val="0"/>
              <w:kinsoku/>
              <w:wordWrap/>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A4</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纸张。页边距：</w:t>
            </w:r>
            <w:r>
              <w:rPr>
                <w:rFonts w:hint="default" w:ascii="Times New Roman" w:hAnsi="Times New Roman" w:cs="Times New Roman"/>
                <w:color w:val="auto"/>
                <w:sz w:val="24"/>
                <w:szCs w:val="24"/>
                <w:highlight w:val="none"/>
                <w:u w:val="single"/>
                <w:lang w:val="en-US" w:eastAsia="zh-CN"/>
              </w:rPr>
              <w:t xml:space="preserve"> 左边距为3.17厘米、右边及上下边距为2.54厘米</w:t>
            </w:r>
            <w:r>
              <w:rPr>
                <w:rFonts w:hint="default" w:ascii="Times New Roman" w:hAnsi="Times New Roman" w:cs="Times New Roman"/>
                <w:color w:val="auto"/>
                <w:sz w:val="24"/>
                <w:szCs w:val="24"/>
                <w:highlight w:val="none"/>
              </w:rPr>
              <w:t>。</w:t>
            </w:r>
          </w:p>
          <w:p w14:paraId="4FE5AE13">
            <w:pPr>
              <w:pageBreakBefore w:val="0"/>
              <w:kinsoku/>
              <w:wordWrap w:val="0"/>
              <w:bidi w:val="0"/>
              <w:spacing w:line="440" w:lineRule="exact"/>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（2）除图纸、图表外所用文字采用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黑色</w:t>
            </w:r>
            <w:r>
              <w:rPr>
                <w:rFonts w:hint="default" w:ascii="Times New Roman" w:hAnsi="Times New Roman" w:cs="Times New Roman"/>
                <w:color w:val="auto"/>
                <w:sz w:val="24"/>
                <w:szCs w:val="24"/>
                <w:highlight w:val="none"/>
                <w:u w:val="single"/>
                <w:lang w:val="en-US" w:eastAsia="zh-CN"/>
              </w:rPr>
              <w:t>宋体</w:t>
            </w:r>
            <w:r>
              <w:rPr>
                <w:rFonts w:hint="eastAsia" w:cs="Times New Roman"/>
                <w:color w:val="auto"/>
                <w:sz w:val="24"/>
                <w:szCs w:val="24"/>
                <w:highlight w:val="none"/>
                <w:u w:val="single"/>
                <w:lang w:val="en-US" w:eastAsia="zh-CN"/>
              </w:rPr>
              <w:t>四</w:t>
            </w:r>
            <w:r>
              <w:rPr>
                <w:rFonts w:hint="default" w:ascii="Times New Roman" w:hAnsi="Times New Roman" w:cs="Times New Roman"/>
                <w:color w:val="auto"/>
                <w:sz w:val="24"/>
                <w:szCs w:val="24"/>
                <w:highlight w:val="none"/>
                <w:u w:val="single"/>
                <w:lang w:val="en-US" w:eastAsia="zh-CN"/>
              </w:rPr>
              <w:t>号</w:t>
            </w:r>
            <w:r>
              <w:rPr>
                <w:rFonts w:hint="eastAsia" w:cs="Times New Roman"/>
                <w:color w:val="auto"/>
                <w:sz w:val="24"/>
                <w:szCs w:val="24"/>
                <w:highlight w:val="none"/>
                <w:u w:val="single"/>
                <w:lang w:val="en-US" w:eastAsia="zh-CN"/>
              </w:rPr>
              <w:t>（含标题及目录）</w:t>
            </w:r>
            <w:r>
              <w:rPr>
                <w:rFonts w:hint="default"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，图纸、图表中所有文字采用</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黑色</w:t>
            </w:r>
            <w:r>
              <w:rPr>
                <w:rFonts w:hint="default" w:ascii="Times New Roman" w:hAnsi="Times New Roman" w:cs="Times New Roman"/>
                <w:color w:val="auto"/>
                <w:sz w:val="24"/>
                <w:szCs w:val="24"/>
                <w:highlight w:val="none"/>
                <w:u w:val="single"/>
                <w:lang w:val="en-US" w:eastAsia="zh-CN"/>
              </w:rPr>
              <w:t>宋体</w:t>
            </w:r>
            <w:r>
              <w:rPr>
                <w:rFonts w:hint="eastAsia" w:cs="Times New Roman"/>
                <w:color w:val="auto"/>
                <w:sz w:val="24"/>
                <w:szCs w:val="24"/>
                <w:highlight w:val="none"/>
                <w:u w:val="single"/>
                <w:lang w:val="en-US" w:eastAsia="zh-CN"/>
              </w:rPr>
              <w:t>五</w:t>
            </w:r>
            <w:r>
              <w:rPr>
                <w:rFonts w:hint="default" w:ascii="Times New Roman" w:hAnsi="Times New Roman" w:cs="Times New Roman"/>
                <w:color w:val="auto"/>
                <w:sz w:val="24"/>
                <w:szCs w:val="24"/>
                <w:highlight w:val="none"/>
                <w:u w:val="single"/>
                <w:lang w:val="en-US" w:eastAsia="zh-CN"/>
              </w:rPr>
              <w:t xml:space="preserve">号 </w:t>
            </w:r>
            <w:r>
              <w:rPr>
                <w:rFonts w:hint="default" w:ascii="Times New Roman" w:hAnsi="Times New Roman" w:cs="Times New Roman"/>
                <w:color w:val="auto"/>
                <w:sz w:val="24"/>
                <w:szCs w:val="24"/>
                <w:highlight w:val="none"/>
              </w:rPr>
              <w:t>；不得有任何加粗、斜体、下划线、边框、底纹、阴影等标记。不得设置页码、页眉、页脚；段落设置：</w:t>
            </w:r>
            <w:r>
              <w:rPr>
                <w:rFonts w:hint="default" w:ascii="Times New Roman" w:hAnsi="Times New Roman" w:cs="Times New Roman"/>
                <w:color w:val="auto"/>
                <w:sz w:val="24"/>
                <w:szCs w:val="24"/>
                <w:highlight w:val="none"/>
                <w:u w:val="single"/>
                <w:lang w:val="en-US" w:eastAsia="zh-CN"/>
              </w:rPr>
              <w:t xml:space="preserve"> </w:t>
            </w:r>
            <w:r>
              <w:rPr>
                <w:rFonts w:hint="eastAsia" w:cs="Times New Roman"/>
                <w:color w:val="auto"/>
                <w:sz w:val="24"/>
                <w:szCs w:val="24"/>
                <w:highlight w:val="none"/>
                <w:u w:val="single"/>
                <w:lang w:val="en-US" w:eastAsia="zh-CN"/>
              </w:rPr>
              <w:t xml:space="preserve">行距为固定值18磅 </w:t>
            </w:r>
            <w:r>
              <w:rPr>
                <w:rFonts w:hint="default" w:ascii="Times New Roman" w:hAnsi="Times New Roman" w:cs="Times New Roman"/>
                <w:color w:val="auto"/>
                <w:sz w:val="24"/>
                <w:szCs w:val="24"/>
                <w:highlight w:val="none"/>
              </w:rPr>
              <w:t>，段落设置中</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如果定义了文档网格，则自动调整右缩进</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不打勾，</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如果定义了文档网格，则对齐到网格</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要打勾。</w:t>
            </w:r>
          </w:p>
          <w:p w14:paraId="75C694DB">
            <w:pPr>
              <w:pageBreakBefore w:val="0"/>
              <w:kinsoku/>
              <w:wordWrap w:val="0"/>
              <w:bidi w:val="0"/>
              <w:spacing w:line="440" w:lineRule="exact"/>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auto"/>
                <w:sz w:val="24"/>
                <w:szCs w:val="24"/>
                <w:highlight w:val="none"/>
                <w:lang w:val="en-US" w:eastAsia="zh-CN"/>
              </w:rPr>
              <w:t>投标人</w:t>
            </w:r>
            <w:r>
              <w:rPr>
                <w:rFonts w:hint="default" w:ascii="Times New Roman" w:hAnsi="Times New Roman" w:cs="Times New Roman"/>
                <w:color w:val="auto"/>
                <w:sz w:val="24"/>
                <w:szCs w:val="24"/>
                <w:highlight w:val="none"/>
              </w:rPr>
              <w:t>或人员电子签章，不得出现其他不符合暗标要求的内容</w:t>
            </w:r>
            <w:r>
              <w:rPr>
                <w:rFonts w:hint="default" w:ascii="Times New Roman" w:hAnsi="Times New Roman" w:cs="Times New Roman"/>
                <w:color w:val="auto"/>
                <w:sz w:val="24"/>
                <w:szCs w:val="24"/>
                <w:highlight w:val="none"/>
                <w:lang w:eastAsia="zh-CN"/>
              </w:rPr>
              <w:t>。</w:t>
            </w:r>
          </w:p>
          <w:p w14:paraId="0B4D7F9C">
            <w:pPr>
              <w:pageBreakBefore w:val="0"/>
              <w:kinsoku/>
              <w:wordWrap w:val="0"/>
              <w:bidi w:val="0"/>
              <w:spacing w:line="440" w:lineRule="exact"/>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）投标人应当(且仅允许)在电子投标文件第一个信封(商务及技术文件)“施工组织设计”节点处上传“施工组织设计”</w:t>
            </w:r>
            <w:r>
              <w:rPr>
                <w:rFonts w:hint="default" w:ascii="Times New Roman" w:hAnsi="Times New Roman" w:cs="Times New Roman"/>
                <w:color w:val="auto"/>
                <w:sz w:val="24"/>
                <w:szCs w:val="24"/>
                <w:highlight w:val="none"/>
              </w:rPr>
              <w:t>。</w:t>
            </w:r>
          </w:p>
        </w:tc>
      </w:tr>
      <w:tr w14:paraId="4FC6A51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171F63F">
            <w:pPr>
              <w:pageBreakBefore w:val="0"/>
              <w:kinsoku/>
              <w:wordWrap w:val="0"/>
              <w:bidi w:val="0"/>
              <w:spacing w:line="440" w:lineRule="exact"/>
              <w:jc w:val="center"/>
              <w:rPr>
                <w:rFonts w:hint="eastAsia" w:eastAsia="宋体" w:cs="Times New Roman"/>
                <w:color w:val="auto"/>
                <w:sz w:val="24"/>
                <w:szCs w:val="24"/>
                <w:highlight w:val="none"/>
                <w:lang w:val="en-US" w:eastAsia="zh-CN"/>
              </w:rPr>
            </w:pP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33D0564">
            <w:pPr>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投标人须知正文补充第</w:t>
            </w:r>
            <w:r>
              <w:rPr>
                <w:rFonts w:hint="eastAsia" w:cs="Times New Roman"/>
                <w:color w:val="auto"/>
                <w:sz w:val="24"/>
                <w:szCs w:val="24"/>
                <w:highlight w:val="none"/>
                <w:lang w:eastAsia="zh-CN"/>
              </w:rPr>
              <w:t>9</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2款</w:t>
            </w:r>
            <w:r>
              <w:rPr>
                <w:rFonts w:hint="default" w:ascii="Times New Roman" w:hAnsi="Times New Roman" w:eastAsia="宋体" w:cs="Times New Roman"/>
                <w:color w:val="auto"/>
                <w:sz w:val="24"/>
                <w:szCs w:val="24"/>
                <w:highlight w:val="none"/>
                <w:vertAlign w:val="superscript"/>
              </w:rPr>
              <w:footnoteReference w:id="11"/>
            </w:r>
            <w:r>
              <w:rPr>
                <w:rFonts w:hint="default" w:ascii="Times New Roman" w:hAnsi="Times New Roman" w:eastAsia="宋体" w:cs="Times New Roman"/>
                <w:color w:val="auto"/>
                <w:sz w:val="24"/>
                <w:szCs w:val="24"/>
                <w:highlight w:val="none"/>
              </w:rPr>
              <w:t>：</w:t>
            </w:r>
          </w:p>
          <w:p w14:paraId="44CA5A90">
            <w:pPr>
              <w:pageBreakBefore w:val="0"/>
              <w:kinsoku/>
              <w:wordWrap w:val="0"/>
              <w:bidi w:val="0"/>
              <w:spacing w:line="440" w:lineRule="exact"/>
              <w:jc w:val="lef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72F6DB9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626BCAE">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07E29DE5">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3.2 投标报价</w:t>
            </w:r>
          </w:p>
          <w:p w14:paraId="7646210B">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第3.2.5项补充：投标人应根据《公路水运工程安全生产监督管理办法》（交通运输部令2017年第25号）以及《关于印发&lt;企业安全生产费用提取和使用管理办法&gt;的通知》（财资〔2022〕136号）的规定，在投标总价中计入安全生产费用，安全生产费用以固定金额形式计入工程量清单第100章中，投标人在投标报价时不得对该固定金额进行调整。如投标人须在此基础上增加安全生产费用以满足项目施工需要，则投标人应在本项目工程量清单其它相关子目的单价或总额价中予以考虑，发包人不再单独支付。</w:t>
            </w:r>
          </w:p>
          <w:p w14:paraId="30FEB691">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承包人的施工安全生产费用，应当用于施工安全防护用具及设施的采购和更新、安全施工措施的落实、安全生产条件的改善，不得挪作他用。</w:t>
            </w:r>
          </w:p>
          <w:p w14:paraId="76EAC5E2">
            <w:pPr>
              <w:pStyle w:val="93"/>
              <w:spacing w:line="228" w:lineRule="auto"/>
              <w:ind w:left="116"/>
              <w:rPr>
                <w:b/>
                <w:bCs/>
                <w:spacing w:val="8"/>
                <w:vertAlign w:val="baseline"/>
              </w:rPr>
            </w:pPr>
            <w:r>
              <w:rPr>
                <w:spacing w:val="3"/>
              </w:rPr>
              <w:t>3.2.8</w:t>
            </w:r>
            <w:r>
              <w:rPr>
                <w:spacing w:val="-36"/>
              </w:rPr>
              <w:t xml:space="preserve"> </w:t>
            </w:r>
            <w:r>
              <w:rPr>
                <w:spacing w:val="3"/>
              </w:rPr>
              <w:t>项细化：</w:t>
            </w:r>
            <w:r>
              <w:rPr>
                <w:spacing w:val="9"/>
              </w:rPr>
              <w:t>本工程招标采用限价招标，招标人设有最高投标限价</w:t>
            </w:r>
            <w:r>
              <w:rPr>
                <w:highlight w:val="none"/>
              </w:rPr>
              <w:t>(N)</w:t>
            </w:r>
            <w:r>
              <w:rPr>
                <w:spacing w:val="9"/>
              </w:rPr>
              <w:t>。</w:t>
            </w:r>
            <w:r>
              <w:rPr>
                <w:b/>
                <w:bCs/>
                <w:spacing w:val="9"/>
              </w:rPr>
              <w:t>投标人的投标报价</w:t>
            </w:r>
            <w:r>
              <w:rPr>
                <w:b/>
                <w:bCs/>
                <w:highlight w:val="none"/>
              </w:rPr>
              <w:t>(X)</w:t>
            </w:r>
            <w:r>
              <w:rPr>
                <w:b/>
                <w:bCs/>
                <w:spacing w:val="9"/>
              </w:rPr>
              <w:t>不得超</w:t>
            </w:r>
            <w:r>
              <w:rPr>
                <w:b/>
                <w:bCs/>
                <w:spacing w:val="10"/>
              </w:rPr>
              <w:t>过最高投标限价</w:t>
            </w:r>
            <w:r>
              <w:rPr>
                <w:b/>
                <w:bCs/>
                <w:highlight w:val="none"/>
              </w:rPr>
              <w:t>(N)</w:t>
            </w:r>
            <w:r>
              <w:rPr>
                <w:b/>
                <w:bCs/>
                <w:spacing w:val="10"/>
              </w:rPr>
              <w:t>,否则评标委员会将否决其投</w:t>
            </w:r>
            <w:r>
              <w:rPr>
                <w:b/>
                <w:bCs/>
                <w:spacing w:val="9"/>
              </w:rPr>
              <w:t>标，招标人给定的最高投标限价</w:t>
            </w:r>
            <w:r>
              <w:rPr>
                <w:b/>
                <w:bCs/>
                <w:highlight w:val="none"/>
              </w:rPr>
              <w:t>(N)</w:t>
            </w:r>
            <w:r>
              <w:rPr>
                <w:b/>
                <w:bCs/>
                <w:spacing w:val="8"/>
              </w:rPr>
              <w:t>如下：</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1666"/>
              <w:gridCol w:w="1925"/>
              <w:gridCol w:w="1925"/>
            </w:tblGrid>
            <w:tr w14:paraId="380E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2184" w:type="dxa"/>
                  <w:vAlign w:val="center"/>
                </w:tcPr>
                <w:p w14:paraId="3B465654">
                  <w:pPr>
                    <w:pStyle w:val="93"/>
                    <w:spacing w:before="161" w:line="367" w:lineRule="auto"/>
                    <w:ind w:right="108"/>
                    <w:jc w:val="center"/>
                    <w:rPr>
                      <w:rFonts w:hint="eastAsia" w:ascii="宋体" w:hAnsi="宋体" w:eastAsia="宋体" w:cs="宋体"/>
                      <w:b/>
                      <w:bCs/>
                      <w:spacing w:val="8"/>
                      <w:sz w:val="18"/>
                      <w:szCs w:val="18"/>
                      <w:vertAlign w:val="baseline"/>
                      <w:lang w:val="en-US" w:eastAsia="zh-CN"/>
                    </w:rPr>
                  </w:pPr>
                  <w:r>
                    <w:rPr>
                      <w:rFonts w:hint="eastAsia" w:ascii="宋体" w:hAnsi="宋体" w:eastAsia="宋体" w:cs="宋体"/>
                      <w:b/>
                      <w:bCs/>
                      <w:spacing w:val="8"/>
                      <w:sz w:val="18"/>
                      <w:szCs w:val="18"/>
                      <w:vertAlign w:val="baseline"/>
                      <w:lang w:val="en-US" w:eastAsia="zh-CN"/>
                    </w:rPr>
                    <w:t>工程名称</w:t>
                  </w:r>
                </w:p>
              </w:tc>
              <w:tc>
                <w:tcPr>
                  <w:tcW w:w="1666" w:type="dxa"/>
                  <w:vAlign w:val="center"/>
                </w:tcPr>
                <w:p w14:paraId="2136667D">
                  <w:pPr>
                    <w:pStyle w:val="93"/>
                    <w:spacing w:before="161" w:line="367" w:lineRule="auto"/>
                    <w:ind w:right="108"/>
                    <w:jc w:val="center"/>
                    <w:rPr>
                      <w:rFonts w:hint="eastAsia" w:ascii="宋体" w:hAnsi="宋体" w:eastAsia="宋体" w:cs="宋体"/>
                      <w:b/>
                      <w:bCs/>
                      <w:spacing w:val="8"/>
                      <w:sz w:val="18"/>
                      <w:szCs w:val="18"/>
                      <w:vertAlign w:val="baseline"/>
                      <w:lang w:val="en-US" w:eastAsia="zh-CN"/>
                    </w:rPr>
                  </w:pPr>
                  <w:r>
                    <w:rPr>
                      <w:rFonts w:hint="eastAsia" w:ascii="宋体" w:hAnsi="宋体" w:eastAsia="宋体" w:cs="宋体"/>
                      <w:b/>
                      <w:bCs/>
                      <w:spacing w:val="8"/>
                      <w:sz w:val="18"/>
                      <w:szCs w:val="18"/>
                      <w:vertAlign w:val="baseline"/>
                      <w:lang w:val="en-US" w:eastAsia="zh-CN"/>
                    </w:rPr>
                    <w:t>最高投标限价（万元）</w:t>
                  </w:r>
                </w:p>
              </w:tc>
              <w:tc>
                <w:tcPr>
                  <w:tcW w:w="1925" w:type="dxa"/>
                  <w:vAlign w:val="center"/>
                </w:tcPr>
                <w:p w14:paraId="531A1C91">
                  <w:pPr>
                    <w:pStyle w:val="93"/>
                    <w:spacing w:before="161" w:line="367" w:lineRule="auto"/>
                    <w:ind w:right="108"/>
                    <w:jc w:val="center"/>
                    <w:rPr>
                      <w:rFonts w:hint="default" w:ascii="宋体" w:hAnsi="宋体" w:eastAsia="宋体" w:cs="宋体"/>
                      <w:b/>
                      <w:bCs/>
                      <w:spacing w:val="8"/>
                      <w:sz w:val="18"/>
                      <w:szCs w:val="18"/>
                      <w:vertAlign w:val="baseline"/>
                      <w:lang w:val="en-US" w:eastAsia="zh-CN"/>
                    </w:rPr>
                  </w:pPr>
                  <w:r>
                    <w:rPr>
                      <w:rFonts w:hint="eastAsia" w:ascii="宋体" w:hAnsi="宋体" w:eastAsia="宋体" w:cs="宋体"/>
                      <w:b/>
                      <w:bCs/>
                      <w:spacing w:val="8"/>
                      <w:sz w:val="18"/>
                      <w:szCs w:val="18"/>
                      <w:vertAlign w:val="baseline"/>
                      <w:lang w:val="en-US" w:eastAsia="zh-CN"/>
                    </w:rPr>
                    <w:t>其中：暂估甲供沥青金额（万元）</w:t>
                  </w:r>
                </w:p>
              </w:tc>
              <w:tc>
                <w:tcPr>
                  <w:tcW w:w="1925" w:type="dxa"/>
                  <w:vAlign w:val="center"/>
                </w:tcPr>
                <w:p w14:paraId="79BEBFE9">
                  <w:pPr>
                    <w:pStyle w:val="93"/>
                    <w:spacing w:before="161" w:line="367" w:lineRule="auto"/>
                    <w:ind w:right="108"/>
                    <w:jc w:val="center"/>
                    <w:rPr>
                      <w:rFonts w:hint="eastAsia" w:ascii="宋体" w:hAnsi="宋体" w:eastAsia="宋体" w:cs="宋体"/>
                      <w:b/>
                      <w:bCs/>
                      <w:spacing w:val="8"/>
                      <w:sz w:val="18"/>
                      <w:szCs w:val="18"/>
                      <w:vertAlign w:val="baseline"/>
                      <w:lang w:val="en-US" w:eastAsia="zh-CN"/>
                    </w:rPr>
                  </w:pPr>
                  <w:r>
                    <w:rPr>
                      <w:rFonts w:hint="eastAsia" w:ascii="宋体" w:hAnsi="宋体" w:eastAsia="宋体" w:cs="宋体"/>
                      <w:b/>
                      <w:bCs/>
                      <w:spacing w:val="8"/>
                      <w:sz w:val="18"/>
                      <w:szCs w:val="18"/>
                      <w:vertAlign w:val="baseline"/>
                      <w:lang w:val="en-US" w:eastAsia="zh-CN"/>
                    </w:rPr>
                    <w:t>其中：暂估改性沥青加工费（万元）</w:t>
                  </w:r>
                </w:p>
              </w:tc>
            </w:tr>
            <w:tr w14:paraId="02A1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184" w:type="dxa"/>
                  <w:vAlign w:val="center"/>
                </w:tcPr>
                <w:p w14:paraId="576D24A8">
                  <w:pPr>
                    <w:pStyle w:val="93"/>
                    <w:spacing w:before="161" w:line="367" w:lineRule="auto"/>
                    <w:ind w:right="108"/>
                    <w:jc w:val="center"/>
                    <w:rPr>
                      <w:b/>
                      <w:bCs/>
                      <w:spacing w:val="8"/>
                      <w:sz w:val="18"/>
                      <w:szCs w:val="18"/>
                      <w:vertAlign w:val="baseline"/>
                    </w:rPr>
                  </w:pPr>
                  <w:r>
                    <w:rPr>
                      <w:rFonts w:hint="eastAsia"/>
                      <w:b/>
                      <w:bCs/>
                      <w:spacing w:val="8"/>
                      <w:sz w:val="18"/>
                      <w:szCs w:val="18"/>
                      <w:vertAlign w:val="baseline"/>
                      <w:lang w:val="en-US" w:eastAsia="zh-CN"/>
                    </w:rPr>
                    <w:t>营口市庄西线（太阳升至桥南段）修复养护工程</w:t>
                  </w:r>
                  <w:r>
                    <w:rPr>
                      <w:rFonts w:hint="default"/>
                      <w:b/>
                      <w:bCs/>
                      <w:spacing w:val="8"/>
                      <w:sz w:val="18"/>
                      <w:szCs w:val="18"/>
                      <w:vertAlign w:val="baseline"/>
                      <w:lang w:val="en-US" w:eastAsia="zh-CN"/>
                    </w:rPr>
                    <w:t>施工</w:t>
                  </w:r>
                </w:p>
              </w:tc>
              <w:tc>
                <w:tcPr>
                  <w:tcW w:w="1666" w:type="dxa"/>
                  <w:vAlign w:val="center"/>
                </w:tcPr>
                <w:p w14:paraId="29E05115">
                  <w:pPr>
                    <w:pStyle w:val="93"/>
                    <w:spacing w:before="161" w:line="367" w:lineRule="auto"/>
                    <w:ind w:right="108"/>
                    <w:jc w:val="center"/>
                    <w:rPr>
                      <w:b/>
                      <w:bCs/>
                      <w:spacing w:val="8"/>
                      <w:sz w:val="18"/>
                      <w:szCs w:val="18"/>
                      <w:vertAlign w:val="baseline"/>
                    </w:rPr>
                  </w:pPr>
                  <w:r>
                    <w:rPr>
                      <w:rFonts w:hint="eastAsia"/>
                      <w:spacing w:val="6"/>
                      <w:highlight w:val="none"/>
                      <w:lang w:val="en-US" w:eastAsia="zh-CN"/>
                    </w:rPr>
                    <w:t>960.7</w:t>
                  </w:r>
                </w:p>
              </w:tc>
              <w:tc>
                <w:tcPr>
                  <w:tcW w:w="1925" w:type="dxa"/>
                  <w:vAlign w:val="center"/>
                </w:tcPr>
                <w:p w14:paraId="1C0545B7">
                  <w:pPr>
                    <w:pStyle w:val="93"/>
                    <w:spacing w:before="161" w:line="367" w:lineRule="auto"/>
                    <w:ind w:right="108"/>
                    <w:jc w:val="center"/>
                    <w:rPr>
                      <w:rFonts w:hint="default" w:eastAsia="宋体"/>
                      <w:b/>
                      <w:bCs/>
                      <w:spacing w:val="8"/>
                      <w:sz w:val="18"/>
                      <w:szCs w:val="18"/>
                      <w:vertAlign w:val="baseline"/>
                      <w:lang w:val="en-US" w:eastAsia="zh-CN"/>
                    </w:rPr>
                  </w:pPr>
                  <w:r>
                    <w:rPr>
                      <w:rFonts w:hint="eastAsia"/>
                      <w:b/>
                      <w:bCs/>
                      <w:spacing w:val="8"/>
                      <w:sz w:val="18"/>
                      <w:szCs w:val="18"/>
                      <w:vertAlign w:val="baseline"/>
                      <w:lang w:val="en-US" w:eastAsia="zh-CN"/>
                    </w:rPr>
                    <w:t>231.9</w:t>
                  </w:r>
                </w:p>
              </w:tc>
              <w:tc>
                <w:tcPr>
                  <w:tcW w:w="1925" w:type="dxa"/>
                  <w:vAlign w:val="center"/>
                </w:tcPr>
                <w:p w14:paraId="277DB69A">
                  <w:pPr>
                    <w:pStyle w:val="93"/>
                    <w:spacing w:before="161" w:line="367" w:lineRule="auto"/>
                    <w:ind w:right="108"/>
                    <w:jc w:val="center"/>
                    <w:rPr>
                      <w:rFonts w:hint="default" w:eastAsia="宋体"/>
                      <w:b/>
                      <w:bCs/>
                      <w:spacing w:val="8"/>
                      <w:sz w:val="18"/>
                      <w:szCs w:val="18"/>
                      <w:vertAlign w:val="baseline"/>
                      <w:lang w:val="en-US" w:eastAsia="zh-CN"/>
                    </w:rPr>
                  </w:pPr>
                  <w:r>
                    <w:rPr>
                      <w:rFonts w:hint="eastAsia"/>
                      <w:b/>
                      <w:bCs/>
                      <w:spacing w:val="8"/>
                      <w:sz w:val="18"/>
                      <w:szCs w:val="18"/>
                      <w:vertAlign w:val="baseline"/>
                      <w:lang w:val="en-US" w:eastAsia="zh-CN"/>
                    </w:rPr>
                    <w:t>45.6</w:t>
                  </w:r>
                </w:p>
              </w:tc>
            </w:tr>
          </w:tbl>
          <w:p w14:paraId="0EE227FC">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第3.2.9项投标报价的其他要求：</w:t>
            </w:r>
          </w:p>
          <w:p w14:paraId="6A7F71B8">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第3.2.9.1项投标人在填报投标总报价时，应充分考虑以下工作内容所产生的一切费用，招标人在支付合同价款时，将视为该部分费用已含入工程量清单各支付子目的单价或总额价中，不再另行支付：</w:t>
            </w:r>
          </w:p>
          <w:p w14:paraId="5D1B34CB">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（1）施工用电和水应由投标人自行调查解决，所需费用均应已含入工程量清单各支付子目的单价或总额价中，并计入签约合同价，招标人将不另行支付。</w:t>
            </w:r>
          </w:p>
          <w:p w14:paraId="04A44F13">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（2）投标人应根据工程实际情况确定临时占地最长使用期限，临时占地的租地费用由投标人在投标阶段综合考虑并计入相关清单子目报价中，招标人将不另行支付。</w:t>
            </w:r>
          </w:p>
          <w:p w14:paraId="2B5BDD63">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3）投标人的投标报价中应含各类保险费，投保的范围与条件和保险费率等规定详见第四章“项目专用合同条款数据表”第20.1款、第20.4款、第20.5款。各类保险费均应已含入工程量清单各支付子目的单价中，并计入签约合同价，招标人将不另行支付。 </w:t>
            </w:r>
          </w:p>
          <w:p w14:paraId="4CBD23CD">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（4）投标人的投标价应包括投标人完成本招标项目施工、缺陷修复工作的全部费用。投标人应依据相应的工程量计算规则和定额等计价依据计算报价。 </w:t>
            </w:r>
          </w:p>
          <w:p w14:paraId="4260984B">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（5）投标人应自行踏勘现场以充分了解工地位置、情况、道路、储存空间、装卸限制及任何其他足以影响投标报价的情况，任何因忽视或误解工地情况而导致的索赔或工期延长申请将不被批准。 </w:t>
            </w:r>
          </w:p>
          <w:p w14:paraId="2DBBF034">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6）施工期间投标人必须严格执行国家、地方政府有关施工安全管理方面的法律、法规及规章制度，同时严格执行发包人制订的本项目安全生产管理方面的规章制度、安全检查程序及施工安全管理要求，所需费用均已含入工程量清单各支付子目的单价或总额价中，并计入签约合同价，招标人将不另行支付。 </w:t>
            </w:r>
          </w:p>
          <w:p w14:paraId="69824C02">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 xml:space="preserve">（7）投标人应充分考虑采购满足招标人要求的材料所需的一切费用，所需费用均应已含入工程量清单各支付子目的单价或总额价中，并计入签约合同价，招标人将不另行支付。 </w:t>
            </w:r>
          </w:p>
          <w:p w14:paraId="5176B648">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 xml:space="preserve">）投标人应充分考虑本项目施工过程中为保证道路通行所采取的各项必要措施，所需费用均已含入工程量清单各支付子目的单价或总额价中，并计入签约合同价，招标人将不另行支付。 </w:t>
            </w:r>
          </w:p>
          <w:p w14:paraId="65D750AF">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 xml:space="preserve">）投标人应充分考虑不间断施工所需的生产生活相关费用，所需费用均已含入工程量清单各支付子目的单价或总额价中，并计入签约合同价，招标人将不另行支付。 </w:t>
            </w:r>
          </w:p>
          <w:p w14:paraId="77B2CB73">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zh-CN" w:bidi="ar-SA"/>
              </w:rPr>
              <w:t>）本项目投标人的临时用地选址应由投标人自行调查解决，各投标人应对临时用地位置和面积合理设置施工所需的生产生活设施，所需费用均已含入工程量清单各支付子目的单价或总额价中，并计入签约合同价，招标人将不另行支付。</w:t>
            </w:r>
          </w:p>
          <w:p w14:paraId="5D4BD806">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）投标人应充分考虑本项目施工可能与其他工程等发生的干扰与交叉，并将因此带来的费用含入工程量清单各支付子目的单价或总额价中，并计入签约合同价，招标人将不另行支付。</w:t>
            </w:r>
          </w:p>
          <w:p w14:paraId="562BF276">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）本项目基质沥青</w:t>
            </w:r>
            <w:r>
              <w:rPr>
                <w:rFonts w:hint="eastAsia" w:cs="Times New Roman"/>
                <w:color w:val="auto"/>
                <w:kern w:val="2"/>
                <w:sz w:val="24"/>
                <w:szCs w:val="24"/>
                <w:highlight w:val="none"/>
                <w:lang w:val="en-US" w:eastAsia="zh-CN" w:bidi="ar-SA"/>
              </w:rPr>
              <w:t>、SBS改性沥青</w:t>
            </w:r>
            <w:r>
              <w:rPr>
                <w:rFonts w:hint="default" w:ascii="Times New Roman" w:hAnsi="Times New Roman" w:eastAsia="宋体" w:cs="Times New Roman"/>
                <w:color w:val="auto"/>
                <w:kern w:val="2"/>
                <w:sz w:val="24"/>
                <w:szCs w:val="24"/>
                <w:highlight w:val="none"/>
                <w:lang w:val="en-US" w:eastAsia="zh-CN" w:bidi="ar-SA"/>
              </w:rPr>
              <w:t>由</w:t>
            </w:r>
            <w:r>
              <w:rPr>
                <w:rFonts w:hint="eastAsia" w:cs="Times New Roman"/>
                <w:color w:val="auto"/>
                <w:kern w:val="2"/>
                <w:sz w:val="24"/>
                <w:szCs w:val="24"/>
                <w:highlight w:val="none"/>
                <w:lang w:val="en-US" w:eastAsia="zh-CN" w:bidi="ar-SA"/>
              </w:rPr>
              <w:t>项目管理法人</w:t>
            </w:r>
            <w:r>
              <w:rPr>
                <w:rFonts w:hint="default" w:ascii="Times New Roman" w:hAnsi="Times New Roman" w:eastAsia="宋体" w:cs="Times New Roman"/>
                <w:color w:val="auto"/>
                <w:kern w:val="2"/>
                <w:sz w:val="24"/>
                <w:szCs w:val="24"/>
                <w:highlight w:val="none"/>
                <w:lang w:val="en-US" w:eastAsia="zh-CN" w:bidi="ar-SA"/>
              </w:rPr>
              <w:t>提供，暂估数量、暂估出厂单价已在工程量清单中单独编列子目。</w:t>
            </w:r>
          </w:p>
          <w:p w14:paraId="5FF1B7F8">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(13)投标人应充分考虑将本项目路面铣刨旧料、旧钢护栏、旧标志标牌等原有设施(如有)运送到招标人指定地点所需的一切费用，上述材料及设施归招标人所有，所需费用均已含入工程量清单各支付子目的单价或总额价中，并计入签约合同价，招标人将不另行支付。</w:t>
            </w:r>
          </w:p>
          <w:p w14:paraId="71BE51D3">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(14)除招标文件另有规定外，根据国家和辽宁省有关的法律、法规的规定，以投标人作为征收对象的所有税费，包括因国家实行营业税改增值税征收税费而引起的费用的变化，均包含在投标人的工程量清单各子目的综合单价中，并计入签约合同价，招标人不另行支付(增加或扣减),中标人按照国家相关税收法律、法规出具各支付款项的增值税专用(或普通)发票。</w:t>
            </w:r>
          </w:p>
          <w:p w14:paraId="5653C5DB">
            <w:pPr>
              <w:pageBreakBefore w:val="0"/>
              <w:kinsoku/>
              <w:wordWrap w:val="0"/>
              <w:bidi w:val="0"/>
              <w:spacing w:line="440" w:lineRule="exact"/>
              <w:jc w:val="left"/>
              <w:rPr>
                <w:rFonts w:hint="default" w:ascii="宋体" w:hAnsi="宋体" w:eastAsia="宋体" w:cs="宋体"/>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3.2.9.3交易中心服务费：根据辽发改价格</w:t>
            </w:r>
            <w:r>
              <w:rPr>
                <w:rFonts w:hint="eastAsia" w:ascii="宋体" w:hAnsi="宋体" w:eastAsia="宋体" w:cs="宋体"/>
                <w:color w:val="auto"/>
                <w:kern w:val="2"/>
                <w:sz w:val="24"/>
                <w:szCs w:val="24"/>
                <w:highlight w:val="none"/>
                <w:lang w:val="en-US" w:eastAsia="zh-CN" w:bidi="ar-SA"/>
              </w:rPr>
              <w:t>【2023】12</w:t>
            </w:r>
            <w:r>
              <w:rPr>
                <w:rFonts w:hint="eastAsia" w:ascii="宋体" w:hAnsi="宋体" w:eastAsia="宋体" w:cs="宋体"/>
                <w:color w:val="auto"/>
                <w:kern w:val="2"/>
                <w:sz w:val="24"/>
                <w:szCs w:val="24"/>
                <w:highlight w:val="none"/>
                <w:u w:val="dotted"/>
                <w:lang w:val="en-US" w:eastAsia="zh-CN" w:bidi="ar-SA"/>
              </w:rPr>
              <w:t>8</w:t>
            </w:r>
            <w:r>
              <w:rPr>
                <w:rFonts w:hint="eastAsia" w:ascii="宋体" w:hAnsi="宋体" w:eastAsia="宋体" w:cs="宋体"/>
                <w:color w:val="auto"/>
                <w:kern w:val="2"/>
                <w:sz w:val="24"/>
                <w:szCs w:val="24"/>
                <w:highlight w:val="none"/>
                <w:lang w:val="en-US" w:eastAsia="zh-CN" w:bidi="ar-SA"/>
              </w:rPr>
              <w:t xml:space="preserve"> 号文件规定计提交易中心服务费，本项目交易中心服务费由中标人支付，但此费用不得在投标报价中单列。</w:t>
            </w:r>
          </w:p>
        </w:tc>
      </w:tr>
      <w:tr w14:paraId="6B6ECA0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D38D3B1">
            <w:pPr>
              <w:pStyle w:val="93"/>
              <w:spacing w:before="68" w:line="239" w:lineRule="auto"/>
              <w:jc w:val="center"/>
              <w:rPr>
                <w:rFonts w:hint="default" w:eastAsia="宋体"/>
                <w:spacing w:val="-3"/>
                <w:lang w:val="en-US" w:eastAsia="zh-CN"/>
              </w:rPr>
            </w:pPr>
            <w:r>
              <w:rPr>
                <w:rFonts w:hint="eastAsia"/>
                <w:spacing w:val="-3"/>
                <w:lang w:val="en-US" w:eastAsia="zh-CN"/>
              </w:rPr>
              <w:t>3.4.3</w:t>
            </w: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2E77F552">
            <w:pPr>
              <w:rPr>
                <w:rFonts w:ascii="宋体" w:hAnsi="宋体" w:eastAsia="宋体" w:cs="宋体"/>
                <w:b/>
                <w:bCs/>
                <w:snapToGrid w:val="0"/>
                <w:color w:val="000000"/>
                <w:spacing w:val="-5"/>
                <w:kern w:val="0"/>
                <w:sz w:val="20"/>
                <w:szCs w:val="20"/>
                <w:highlight w:val="none"/>
                <w:lang w:val="en-US" w:eastAsia="en-US" w:bidi="ar-SA"/>
              </w:rPr>
            </w:pPr>
          </w:p>
        </w:tc>
      </w:tr>
      <w:tr w14:paraId="5137DEB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9BAA362">
            <w:pPr>
              <w:spacing w:line="449" w:lineRule="auto"/>
              <w:rPr>
                <w:rFonts w:ascii="Arial"/>
                <w:sz w:val="21"/>
              </w:rPr>
            </w:pPr>
          </w:p>
          <w:p w14:paraId="148A5987">
            <w:pPr>
              <w:pStyle w:val="93"/>
              <w:spacing w:before="68" w:line="239" w:lineRule="auto"/>
              <w:ind w:left="304" w:leftChars="0"/>
              <w:rPr>
                <w:rFonts w:hint="default" w:ascii="宋体" w:hAnsi="宋体" w:eastAsia="宋体" w:cs="宋体"/>
                <w:snapToGrid w:val="0"/>
                <w:color w:val="000000"/>
                <w:kern w:val="0"/>
                <w:sz w:val="20"/>
                <w:szCs w:val="20"/>
                <w:lang w:val="en-US" w:eastAsia="zh-CN" w:bidi="ar-SA"/>
              </w:rPr>
            </w:pPr>
            <w:r>
              <w:rPr>
                <w:spacing w:val="-3"/>
              </w:rPr>
              <w:t>3.7</w:t>
            </w: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064B8DF7">
            <w:pPr>
              <w:pStyle w:val="93"/>
              <w:autoSpaceDE/>
              <w:autoSpaceDN/>
              <w:spacing w:before="0" w:beforeLines="50" w:line="360" w:lineRule="auto"/>
              <w:ind w:right="105" w:rightChars="50"/>
              <w:jc w:val="both"/>
              <w:rPr>
                <w:b/>
                <w:bCs/>
                <w:spacing w:val="-1"/>
                <w:highlight w:val="none"/>
              </w:rPr>
            </w:pPr>
            <w:r>
              <w:rPr>
                <w:b/>
                <w:bCs/>
                <w:spacing w:val="-1"/>
                <w:highlight w:val="none"/>
              </w:rPr>
              <w:t xml:space="preserve">3.7投标文件的编制  </w:t>
            </w:r>
          </w:p>
          <w:p w14:paraId="7872640D">
            <w:pPr>
              <w:rPr>
                <w:rFonts w:ascii="宋体" w:hAnsi="宋体" w:eastAsia="宋体" w:cs="宋体"/>
                <w:snapToGrid w:val="0"/>
                <w:color w:val="000000"/>
                <w:spacing w:val="-1"/>
                <w:kern w:val="0"/>
                <w:sz w:val="20"/>
                <w:szCs w:val="20"/>
                <w:highlight w:val="none"/>
                <w:lang w:val="en-US" w:eastAsia="en-US" w:bidi="ar-SA"/>
              </w:rPr>
            </w:pPr>
            <w:r>
              <w:rPr>
                <w:rFonts w:ascii="宋体" w:hAnsi="宋体" w:eastAsia="宋体" w:cs="宋体"/>
                <w:snapToGrid w:val="0"/>
                <w:color w:val="000000"/>
                <w:spacing w:val="-1"/>
                <w:kern w:val="0"/>
                <w:sz w:val="20"/>
                <w:szCs w:val="20"/>
                <w:highlight w:val="none"/>
                <w:lang w:val="en-US" w:eastAsia="en-US" w:bidi="ar-SA"/>
              </w:rPr>
              <w:t>本款增加以下内容：</w:t>
            </w:r>
          </w:p>
          <w:p w14:paraId="6BA6F5FD">
            <w:pPr>
              <w:rPr>
                <w:rFonts w:hint="default" w:ascii="Arial" w:hAnsi="Arial" w:eastAsia="宋体" w:cs="Arial"/>
                <w:snapToGrid w:val="0"/>
                <w:color w:val="000000"/>
                <w:kern w:val="0"/>
                <w:sz w:val="21"/>
                <w:szCs w:val="21"/>
                <w:lang w:val="en-US" w:eastAsia="zh-CN" w:bidi="ar-SA"/>
              </w:rPr>
            </w:pPr>
            <w:r>
              <w:rPr>
                <w:rFonts w:ascii="宋体" w:hAnsi="宋体" w:eastAsia="宋体" w:cs="宋体"/>
                <w:b/>
                <w:bCs/>
                <w:snapToGrid w:val="0"/>
                <w:color w:val="000000"/>
                <w:spacing w:val="-5"/>
                <w:kern w:val="0"/>
                <w:sz w:val="20"/>
                <w:szCs w:val="20"/>
                <w:highlight w:val="none"/>
                <w:lang w:val="en-US" w:eastAsia="en-US" w:bidi="ar-SA"/>
              </w:rPr>
              <w:t>3.7.6投标文件第一个信封(商务及技术文件)不得出现有关投标报价的内容</w:t>
            </w:r>
            <w:r>
              <w:rPr>
                <w:rFonts w:hint="eastAsia" w:ascii="宋体" w:hAnsi="宋体" w:eastAsia="宋体" w:cs="宋体"/>
                <w:b/>
                <w:bCs/>
                <w:snapToGrid w:val="0"/>
                <w:color w:val="000000"/>
                <w:spacing w:val="-5"/>
                <w:kern w:val="0"/>
                <w:sz w:val="20"/>
                <w:szCs w:val="20"/>
                <w:highlight w:val="none"/>
                <w:lang w:val="en-US" w:eastAsia="zh-CN" w:bidi="ar-SA"/>
              </w:rPr>
              <w:t>。</w:t>
            </w:r>
          </w:p>
        </w:tc>
      </w:tr>
      <w:tr w14:paraId="21D46C6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9DA2CFA">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7.8</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3EB1AC7D">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7.8 签订合同</w:t>
            </w:r>
          </w:p>
          <w:p w14:paraId="4F291EBD">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补充第7.8.6项：</w:t>
            </w:r>
          </w:p>
          <w:p w14:paraId="47FE0055">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7.8.6人员、设备履约要求</w:t>
            </w:r>
          </w:p>
          <w:p w14:paraId="56A76AD6">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中标人在收到中标通知书后，应及时向招标人报送满足要求的其他管理人员、主要机械及试验测量设备的详细资料（详见合同附件格式《附件四 其他主要管理和技术人员最低要求》，《附件五 主要机械设备和试验检测设备最低要求》），如中标人报送的人员或机械设备不满足招标文件要求，招标人有权取消其中标资格。</w:t>
            </w:r>
          </w:p>
          <w:p w14:paraId="7CD6FBE2">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标人进场时，如果所提供的人员、设备低于投标阶段以及中标后合同谈判阶段所承诺的人员或机械设备最低标准，即被认为未按合同文件规定履约，发包人将有权与中标人解除合同，另行安排其他单位进行施工。</w:t>
            </w:r>
          </w:p>
          <w:p w14:paraId="4EDA6AFA">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补充第7.8.7项：</w:t>
            </w:r>
          </w:p>
          <w:p w14:paraId="6C73F4BF">
            <w:pPr>
              <w:pageBreakBefore w:val="0"/>
              <w:kinsoku/>
              <w:wordWrap w:val="0"/>
              <w:bidi w:val="0"/>
              <w:spacing w:line="440" w:lineRule="exact"/>
              <w:jc w:val="left"/>
              <w:rPr>
                <w:rFonts w:hint="eastAsia"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7.8.7 如果根据投标人须知第 3.5.3 项（适用于已进行资格预审的）、第3.5.11 项（适用于未进行资格预审的）规定，招标人取消了中标人的中标资格，招标人将以《中华人民共和国招标投标法》、《中华人民共和国招标投标法实施条例》为依据，参照《公路工程建设项目招标投标管理办法》重新组织招标；如果根据投标人须知第 7.7.2 项或第 7.8.1 项规定，招标人取消了中标人的中标资格，招标人可将合同授予下一个中标候选人，或者以《中华人民共和国招标投标法》、《中华人民共和国招标投标法实施条例》为依据，参照《公路工程建设项目招标投标管理办法》重新组织招标。</w:t>
            </w:r>
          </w:p>
          <w:p w14:paraId="76CEEB78">
            <w:pPr>
              <w:pageBreakBefore w:val="0"/>
              <w:kinsoku/>
              <w:wordWrap w:val="0"/>
              <w:bidi w:val="0"/>
              <w:spacing w:line="440" w:lineRule="exact"/>
              <w:jc w:val="left"/>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中标人应严格按照《辽宁省公路工程施工现场主要人员履约监督管理办法》(辽交公路规(2025)3号)的相关规定进行主要人员的现场履约，并按受发包人及交通运输主管部门的监督管理。</w:t>
            </w:r>
          </w:p>
        </w:tc>
      </w:tr>
      <w:tr w14:paraId="1BAA289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EFFA458">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9</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73EC0AC">
            <w:pPr>
              <w:keepNext w:val="0"/>
              <w:keepLines w:val="0"/>
              <w:pageBreakBefore w:val="0"/>
              <w:widowControl/>
              <w:wordWrap/>
              <w:overflowPunct/>
              <w:topLinePunct w:val="0"/>
              <w:bidi w:val="0"/>
              <w:adjustRightInd w:val="0"/>
              <w:spacing w:line="400" w:lineRule="exact"/>
              <w:ind w:left="42" w:leftChars="20" w:firstLine="480" w:firstLineChars="200"/>
              <w:jc w:val="lef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val="en-US" w:eastAsia="zh-CN"/>
              </w:rPr>
              <w:t xml:space="preserve">3 </w:t>
            </w:r>
            <w:r>
              <w:rPr>
                <w:rFonts w:hint="eastAsia" w:ascii="仿宋" w:hAnsi="仿宋" w:eastAsia="仿宋" w:cs="仿宋"/>
                <w:sz w:val="24"/>
                <w:szCs w:val="24"/>
                <w:highlight w:val="none"/>
              </w:rPr>
              <w:t>本项目采用电子招标投标。</w:t>
            </w:r>
          </w:p>
          <w:p w14:paraId="750D2057">
            <w:pPr>
              <w:keepNext w:val="0"/>
              <w:keepLines w:val="0"/>
              <w:pageBreakBefore w:val="0"/>
              <w:widowControl/>
              <w:wordWrap/>
              <w:overflowPunct/>
              <w:topLinePunct w:val="0"/>
              <w:bidi w:val="0"/>
              <w:adjustRightInd w:val="0"/>
              <w:spacing w:line="400" w:lineRule="exact"/>
              <w:ind w:left="42" w:leftChars="20" w:firstLine="480" w:firstLineChars="200"/>
              <w:jc w:val="lef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val="en-US" w:eastAsia="zh-CN"/>
              </w:rPr>
              <w:t xml:space="preserve">4 </w:t>
            </w:r>
            <w:r>
              <w:rPr>
                <w:rFonts w:hint="eastAsia" w:ascii="仿宋" w:hAnsi="仿宋" w:eastAsia="仿宋" w:cs="仿宋"/>
                <w:sz w:val="24"/>
                <w:szCs w:val="24"/>
                <w:highlight w:val="none"/>
              </w:rPr>
              <w:t>投标人应在“辽宁省公共资源交易平台交通工程交易系统主体信息库”中建立信用信息档案，并对在系统中所填报内容的真实性、准确性和完整性负责。投标人需要在“辽宁省公共资源交易平台交通工程交易系统主体信息库”中备案或更新的内容，应在投标文件递交截止时间之前完成备案或更新，未录入、更新至“辽宁省公共资源交易平台交通工程交易系统主体信息库”的信息数据，均不予认可。</w:t>
            </w:r>
          </w:p>
          <w:p w14:paraId="547E652C">
            <w:pPr>
              <w:keepNext w:val="0"/>
              <w:keepLines w:val="0"/>
              <w:pageBreakBefore w:val="0"/>
              <w:widowControl/>
              <w:wordWrap/>
              <w:overflowPunct/>
              <w:topLinePunct w:val="0"/>
              <w:bidi w:val="0"/>
              <w:adjustRightInd w:val="0"/>
              <w:spacing w:line="400" w:lineRule="exact"/>
              <w:ind w:left="42" w:leftChars="20" w:firstLine="480" w:firstLineChars="200"/>
              <w:jc w:val="lef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val="en-US" w:eastAsia="zh-CN"/>
              </w:rPr>
              <w:t xml:space="preserve">5 </w:t>
            </w:r>
            <w:r>
              <w:rPr>
                <w:rFonts w:hint="eastAsia" w:ascii="仿宋" w:hAnsi="仿宋" w:eastAsia="仿宋" w:cs="仿宋"/>
                <w:sz w:val="24"/>
                <w:szCs w:val="24"/>
                <w:highlight w:val="none"/>
              </w:rPr>
              <w:t>电子投标文件中的“投标人基本情况表、近年完成的类似项目情况表、投标人的信誉情况表、拟委任的项目经理和项目总工资历表”等资格审查资料各项表格，均应通过电子投标文件制作系统生成。表格后的附件材料，除有特殊说明外，应从“电子交易平台”主体信息库中选择并进行超链接，且应能体现资格评审(或详细评审)中对资质、业绩、人员等的要求,否则评标委员会将视其资料完整情况决定是否通过资格评审(或参与详细评审)。除招标文件中另有规定外，招标人不再接受投标人在电子投标文件制作系统另行提交的相关证明材料作为替代或补充。</w:t>
            </w:r>
          </w:p>
          <w:p w14:paraId="030DC0EE">
            <w:pPr>
              <w:keepNext w:val="0"/>
              <w:keepLines w:val="0"/>
              <w:pageBreakBefore w:val="0"/>
              <w:widowControl/>
              <w:wordWrap/>
              <w:overflowPunct/>
              <w:topLinePunct w:val="0"/>
              <w:bidi w:val="0"/>
              <w:adjustRightInd w:val="0"/>
              <w:spacing w:line="400" w:lineRule="exact"/>
              <w:ind w:left="42" w:leftChars="20" w:firstLine="480" w:firstLineChars="200"/>
              <w:jc w:val="lef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val="en-US" w:eastAsia="zh-CN"/>
              </w:rPr>
              <w:t xml:space="preserve">6 </w:t>
            </w:r>
            <w:r>
              <w:rPr>
                <w:rFonts w:hint="eastAsia" w:ascii="仿宋" w:hAnsi="仿宋" w:eastAsia="仿宋" w:cs="仿宋"/>
                <w:sz w:val="24"/>
                <w:szCs w:val="24"/>
                <w:highlight w:val="none"/>
              </w:rPr>
              <w:t>由于通过辽宁省公共资源交易平台制作电子招标文件时，投标文件格式中的“投标函附录”为固定格式且无法修改，投标人在填写“投标函附录”的空格时，为避免填写错误而被否决投标，可在该页的所有必填空格中填写“按招标文件第四章中项目专用合同条款的相关规定执行”。</w:t>
            </w:r>
          </w:p>
          <w:p w14:paraId="11EC57BC">
            <w:pPr>
              <w:keepNext w:val="0"/>
              <w:keepLines w:val="0"/>
              <w:pageBreakBefore w:val="0"/>
              <w:widowControl/>
              <w:wordWrap/>
              <w:overflowPunct/>
              <w:topLinePunct w:val="0"/>
              <w:bidi w:val="0"/>
              <w:adjustRightInd w:val="0"/>
              <w:spacing w:line="400" w:lineRule="exact"/>
              <w:ind w:left="42" w:leftChars="20" w:firstLine="480" w:firstLineChars="200"/>
              <w:jc w:val="left"/>
              <w:textAlignment w:val="baseline"/>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val="en-US" w:eastAsia="zh-CN"/>
              </w:rPr>
              <w:t xml:space="preserve">7 </w:t>
            </w:r>
            <w:r>
              <w:rPr>
                <w:rFonts w:hint="eastAsia" w:ascii="仿宋" w:hAnsi="仿宋" w:eastAsia="仿宋" w:cs="仿宋"/>
                <w:sz w:val="24"/>
                <w:szCs w:val="24"/>
                <w:highlight w:val="none"/>
              </w:rPr>
              <w:t>由于通过辽宁省公共资源交易平台制作电子招标文件时，投标文件格式中的“银行信贷证明”、“合同用款估算表”为必选项，本次招标无需投标人填报上述必选项资料，因此投标人无需制作上述材料或上传空白材料即可,上述必选项资料不作为本次招标的评审依据。</w:t>
            </w:r>
          </w:p>
          <w:p w14:paraId="5016503D">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本次招标不要求投标人填报“已标价工程量清单”，但由于在电子招标文件系统中，投标文件格式中的“已标价工程量清单”为必选项且为系统固定格式，如不填写系统中的“已标价工程量清单”，则无法在“投标函”中生成“投标总报价”，因此，投标人需根据系统要求自行填报“已标价工程量清单”以使得电子系统中的“投标函”显示数值为投标人对本项目的实际“投标总报价”，投标人根据系统要求自行填报的“已标价工程量清单”不作为本次招标的评审依据。</w:t>
            </w:r>
          </w:p>
        </w:tc>
      </w:tr>
      <w:tr w14:paraId="76C894B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668A41">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10.1</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2E7CF95">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款</w:t>
            </w:r>
          </w:p>
          <w:p w14:paraId="14092297">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存在下列情形之一的，招标人将对本项目相应标段重新招标：</w:t>
            </w:r>
          </w:p>
          <w:p w14:paraId="18F4219B">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(1)获取招标文件的潜在投标人少于3个的；</w:t>
            </w:r>
          </w:p>
          <w:p w14:paraId="7D762E89">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(2)投标截止时间止，递交投标文件或投标保证金的投标人少于3个的；</w:t>
            </w:r>
          </w:p>
          <w:p w14:paraId="402A422E">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(3)经评标委员会评审后否决所有投标的；</w:t>
            </w:r>
          </w:p>
          <w:p w14:paraId="62624C71">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(4)经评标委员会评审后未推荐中标候选人的；</w:t>
            </w:r>
          </w:p>
          <w:p w14:paraId="21F6546C">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(5)中标候选人均未与招标人签订合同的；</w:t>
            </w:r>
          </w:p>
          <w:p w14:paraId="20EE5930">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(6)法律规定的其他情形。</w:t>
            </w:r>
          </w:p>
        </w:tc>
      </w:tr>
      <w:tr w14:paraId="20068FF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1E0CAD">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4030E3EC">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款：</w:t>
            </w:r>
          </w:p>
          <w:p w14:paraId="61E5BD10">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构成本招标文件各个组成部分的文件，未经招标人书面同意，投标人不得擅自复印和用于非本招标项目所需的其他目的。</w:t>
            </w:r>
          </w:p>
        </w:tc>
      </w:tr>
      <w:tr w14:paraId="4E8529C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0B99A46">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10.3</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E222AC6">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款：</w:t>
            </w:r>
          </w:p>
          <w:p w14:paraId="40321EF0">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构成招标文件组成部分的第二章、第四章～第八章中出现的措辞“发包人”和“承包人”，在招标投标阶段应当分别按“招标人”和“投标人（或中标人）”进行理解；构成招标文件组成部分的第二章中出现的措辞“招标人”和“投标人（或中标人）”，且与合同文件相关的条款，在合同履约阶段应当分别按“发包人”和“承包人”进行理解。</w:t>
            </w:r>
          </w:p>
        </w:tc>
      </w:tr>
      <w:tr w14:paraId="23A4F9D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45ABA50">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10.4</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AF98215">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款：</w:t>
            </w:r>
          </w:p>
          <w:p w14:paraId="49B7F135">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构成本招标文件的各个组成文件应互为解释，互为说明；如有不明确或不一致，构成合同文件组成内容的，以合同文件约定内容为准，且以合同协议书约定的合同优先顺序解释；除招标文件中有特别规定外，仅适用于招标投标阶段的规定，按招标公告、投标人须知、评标办法、投标文件格式的先后顺序解释；同一组成文件中就同一事项的规定或约定不一致的，以编制顺序在后者为准；同一组成文件不同版本之间有不一致的，以形成时间在后者为准。按本款前述规定仍不能形成结论的，由招标人负责解释。</w:t>
            </w:r>
          </w:p>
        </w:tc>
      </w:tr>
      <w:tr w14:paraId="50AF7B7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2416C32">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10.5</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1D0DF707">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款：</w:t>
            </w:r>
          </w:p>
          <w:p w14:paraId="6EB78672">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招标代理服务费：投标人在投标报价时无需考虑该部分费用，本项目招标代理服务费由项目管理法人支付。</w:t>
            </w:r>
          </w:p>
        </w:tc>
      </w:tr>
      <w:tr w14:paraId="5FD535E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898D0C8">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10.6</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2640338">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款：</w:t>
            </w:r>
          </w:p>
          <w:p w14:paraId="29D8D139">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合同签订前，招标人将组织与中标人进行合同谈判，针对施工工期安排以及进场履约人员、设备、拌和站、沥青制品加工生产商等影响工程质量和施工进度的因素进行实质性落实。如中标人不能满足招标文件要求或中标人无法证实其履约能力，招标人有权取消其中标资格，招标人可以按照评标委员会提出的中标候选人名单排序依次确定其他中标候选人为中标人，也可以重新招标。</w:t>
            </w:r>
          </w:p>
        </w:tc>
      </w:tr>
      <w:tr w14:paraId="4D43864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51FB06F">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10.7</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53462EC">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款：</w:t>
            </w:r>
          </w:p>
          <w:p w14:paraId="197DC534">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路域整治及垃圾清运费用由承包人自行考虑，已含入其他支付项中，发包人不另行计量支付。</w:t>
            </w:r>
          </w:p>
        </w:tc>
      </w:tr>
      <w:tr w14:paraId="305FC44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B59C94F">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10.8</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5DC2AD0">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款：</w:t>
            </w:r>
          </w:p>
          <w:p w14:paraId="4CE33230">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依据招标甲供沥青定额用量，对甲供沥青进行总量控制；超出定额用量部分的沥青继续向原供应商采购，采购价款由中标人支付；</w:t>
            </w:r>
          </w:p>
          <w:p w14:paraId="2DF21588">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中标人对甲供沥青进行专罐存储和本项目专项使用，加强沥青使用和库存数量核查，严禁用于甲供沥青范围以外的工程项目，中标人与沥青运输企业应签订运输服务合同，中标人是沥青存储和使用过程中发生的质量、数量问题的责任主体，相关责任按“项目专用合同条款第5.2.1款”约定执行。</w:t>
            </w:r>
          </w:p>
        </w:tc>
      </w:tr>
      <w:tr w14:paraId="6810D1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E11526C">
            <w:pPr>
              <w:pageBreakBefore w:val="0"/>
              <w:kinsoku/>
              <w:wordWrap w:val="0"/>
              <w:bidi w:val="0"/>
              <w:spacing w:line="44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10.9</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4C552F4">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补充第10.</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款：</w:t>
            </w:r>
          </w:p>
          <w:p w14:paraId="2FF2D851">
            <w:pPr>
              <w:pageBreakBefore w:val="0"/>
              <w:kinsoku/>
              <w:wordWrap w:val="0"/>
              <w:bidi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材料调差：本项目材料调差按照</w:t>
            </w:r>
            <w:r>
              <w:rPr>
                <w:rFonts w:hint="eastAsia" w:ascii="仿宋" w:hAnsi="仿宋" w:eastAsia="仿宋" w:cs="仿宋"/>
                <w:sz w:val="24"/>
                <w:szCs w:val="24"/>
                <w:highlight w:val="none"/>
                <w:lang w:val="en-US" w:eastAsia="zh-CN"/>
              </w:rPr>
              <w:t>项目法人即时下发</w:t>
            </w:r>
            <w:r>
              <w:rPr>
                <w:rFonts w:hint="eastAsia" w:ascii="仿宋" w:hAnsi="仿宋" w:eastAsia="仿宋" w:cs="仿宋"/>
                <w:sz w:val="24"/>
                <w:szCs w:val="24"/>
                <w:highlight w:val="none"/>
              </w:rPr>
              <w:t>文件相关要求执行。</w:t>
            </w:r>
          </w:p>
        </w:tc>
      </w:tr>
      <w:tr w14:paraId="6FF0EF3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E467FB8">
            <w:pPr>
              <w:spacing w:line="246" w:lineRule="auto"/>
              <w:rPr>
                <w:rFonts w:ascii="Arial"/>
                <w:sz w:val="21"/>
              </w:rPr>
            </w:pPr>
          </w:p>
          <w:p w14:paraId="18D4037F">
            <w:pPr>
              <w:spacing w:line="246" w:lineRule="auto"/>
              <w:rPr>
                <w:rFonts w:ascii="Arial"/>
                <w:sz w:val="21"/>
              </w:rPr>
            </w:pPr>
          </w:p>
          <w:p w14:paraId="6193D85E">
            <w:pPr>
              <w:spacing w:line="246" w:lineRule="auto"/>
              <w:rPr>
                <w:rFonts w:ascii="Arial"/>
                <w:sz w:val="21"/>
              </w:rPr>
            </w:pPr>
          </w:p>
          <w:p w14:paraId="6C602638">
            <w:pPr>
              <w:spacing w:line="247" w:lineRule="auto"/>
              <w:rPr>
                <w:rFonts w:ascii="Arial"/>
                <w:sz w:val="21"/>
              </w:rPr>
            </w:pPr>
          </w:p>
          <w:p w14:paraId="053FADFC">
            <w:pPr>
              <w:pStyle w:val="93"/>
              <w:spacing w:before="65" w:line="268" w:lineRule="exact"/>
              <w:rPr>
                <w:rFonts w:hint="default" w:ascii="宋体" w:hAnsi="宋体" w:eastAsia="宋体" w:cs="宋体"/>
                <w:kern w:val="2"/>
                <w:sz w:val="24"/>
                <w:szCs w:val="24"/>
                <w:lang w:val="en-US" w:eastAsia="zh-CN" w:bidi="ar-SA"/>
              </w:rPr>
            </w:pPr>
            <w:r>
              <w:rPr>
                <w:spacing w:val="-1"/>
                <w:position w:val="1"/>
              </w:rPr>
              <w:t>10.</w:t>
            </w:r>
            <w:r>
              <w:rPr>
                <w:rFonts w:hint="eastAsia"/>
                <w:spacing w:val="-1"/>
                <w:position w:val="1"/>
                <w:lang w:val="en-US" w:eastAsia="zh-CN"/>
              </w:rPr>
              <w:t>10</w:t>
            </w: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77F53E18">
            <w:pPr>
              <w:pStyle w:val="93"/>
              <w:spacing w:before="36" w:line="228" w:lineRule="auto"/>
              <w:ind w:left="112"/>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补充第10.10款：</w:t>
            </w:r>
          </w:p>
          <w:p w14:paraId="0BA8E7D9">
            <w:pPr>
              <w:pStyle w:val="93"/>
              <w:spacing w:before="161" w:line="227" w:lineRule="auto"/>
              <w:ind w:left="1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投标文件中须附不拖欠农民工工资承诺书，无此承诺书按废标处理。</w:t>
            </w:r>
          </w:p>
          <w:p w14:paraId="2692682E">
            <w:pPr>
              <w:pStyle w:val="93"/>
              <w:spacing w:before="163" w:line="368" w:lineRule="auto"/>
              <w:ind w:left="112" w:leftChars="0" w:right="103" w:rightChars="0"/>
              <w:rPr>
                <w:rFonts w:hint="eastAsia" w:ascii="仿宋" w:hAnsi="仿宋" w:eastAsia="仿宋" w:cs="仿宋"/>
                <w:kern w:val="2"/>
                <w:sz w:val="24"/>
                <w:szCs w:val="24"/>
                <w:highlight w:val="none"/>
                <w:lang w:val="en-US" w:eastAsia="en-US" w:bidi="ar-SA"/>
              </w:rPr>
            </w:pPr>
            <w:r>
              <w:rPr>
                <w:rFonts w:hint="eastAsia" w:ascii="仿宋" w:hAnsi="仿宋" w:eastAsia="仿宋" w:cs="仿宋"/>
                <w:kern w:val="2"/>
                <w:sz w:val="24"/>
                <w:szCs w:val="24"/>
                <w:highlight w:val="none"/>
                <w:lang w:val="en-US" w:eastAsia="zh-CN" w:bidi="ar-SA"/>
              </w:rPr>
              <w:t>农民工工资支付按《保障农民工工资支付条例》（国务院令第724号）、《工程建设领 域农民工工资专用账户管理暂行办法》（人社部发〔2021〕53号）《工程建设领域农民 工工资保证金规定》（人社部发〔2021〕65号）等国家、项目所在省、市相关主管部门 规定执行。</w:t>
            </w:r>
          </w:p>
        </w:tc>
      </w:tr>
      <w:tr w14:paraId="05F7620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14A6828">
            <w:pPr>
              <w:pStyle w:val="93"/>
              <w:spacing w:before="65" w:line="268" w:lineRule="exact"/>
              <w:rPr>
                <w:rFonts w:hint="default" w:eastAsia="宋体"/>
                <w:spacing w:val="-1"/>
                <w:position w:val="1"/>
                <w:lang w:val="en-US" w:eastAsia="zh-CN"/>
              </w:rPr>
            </w:pPr>
            <w:r>
              <w:rPr>
                <w:rFonts w:hint="eastAsia"/>
                <w:spacing w:val="-1"/>
                <w:position w:val="1"/>
                <w:lang w:val="en-US" w:eastAsia="zh-CN"/>
              </w:rPr>
              <w:t>10.11</w:t>
            </w: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311ABCFD">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补充10.11条款：</w:t>
            </w:r>
          </w:p>
          <w:p w14:paraId="0A9E1DF4">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投标人是否在国家企业信用信息公示系统（http://www.gsxt.gov.cn/）中被列入严重违法失信企业名单、在“信用中国”网站（www.creditchina.gov.cn）或“中国执行信息公开网” (</w:t>
            </w:r>
            <w:r>
              <w:rPr>
                <w:rFonts w:hint="eastAsia" w:ascii="仿宋" w:hAnsi="仿宋" w:eastAsia="仿宋" w:cs="仿宋"/>
                <w:kern w:val="2"/>
                <w:sz w:val="24"/>
                <w:szCs w:val="24"/>
                <w:highlight w:val="none"/>
                <w:lang w:val="en-US" w:eastAsia="zh-CN" w:bidi="ar-SA"/>
              </w:rPr>
              <w:fldChar w:fldCharType="begin"/>
            </w:r>
            <w:r>
              <w:rPr>
                <w:rFonts w:hint="eastAsia" w:ascii="仿宋" w:hAnsi="仿宋" w:eastAsia="仿宋" w:cs="仿宋"/>
                <w:kern w:val="2"/>
                <w:sz w:val="24"/>
                <w:szCs w:val="24"/>
                <w:highlight w:val="none"/>
                <w:lang w:val="en-US" w:eastAsia="zh-CN" w:bidi="ar-SA"/>
              </w:rPr>
              <w:instrText xml:space="preserve"> HYPERLINK "http://zxgk.court.gov.cn" </w:instrText>
            </w:r>
            <w:r>
              <w:rPr>
                <w:rFonts w:hint="eastAsia" w:ascii="仿宋" w:hAnsi="仿宋" w:eastAsia="仿宋" w:cs="仿宋"/>
                <w:kern w:val="2"/>
                <w:sz w:val="24"/>
                <w:szCs w:val="24"/>
                <w:highlight w:val="none"/>
                <w:lang w:val="en-US" w:eastAsia="zh-CN" w:bidi="ar-SA"/>
              </w:rPr>
              <w:fldChar w:fldCharType="separate"/>
            </w:r>
            <w:r>
              <w:rPr>
                <w:rFonts w:hint="eastAsia" w:ascii="仿宋" w:hAnsi="仿宋" w:eastAsia="仿宋" w:cs="仿宋"/>
                <w:kern w:val="2"/>
                <w:sz w:val="24"/>
                <w:szCs w:val="24"/>
                <w:highlight w:val="none"/>
                <w:lang w:val="en-US" w:eastAsia="zh-CN" w:bidi="ar-SA"/>
              </w:rPr>
              <w:t>http://zxgk.court.gov.cn</w:t>
            </w:r>
            <w:r>
              <w:rPr>
                <w:rFonts w:hint="eastAsia" w:ascii="仿宋" w:hAnsi="仿宋" w:eastAsia="仿宋" w:cs="仿宋"/>
                <w:kern w:val="2"/>
                <w:sz w:val="24"/>
                <w:szCs w:val="24"/>
                <w:highlight w:val="none"/>
                <w:lang w:val="en-US" w:eastAsia="zh-CN" w:bidi="ar-SA"/>
              </w:rPr>
              <w:fldChar w:fldCharType="end"/>
            </w:r>
            <w:r>
              <w:rPr>
                <w:rFonts w:hint="eastAsia" w:ascii="仿宋" w:hAnsi="仿宋" w:eastAsia="仿宋" w:cs="仿宋"/>
                <w:kern w:val="2"/>
                <w:sz w:val="24"/>
                <w:szCs w:val="24"/>
                <w:highlight w:val="none"/>
                <w:lang w:val="en-US" w:eastAsia="zh-CN" w:bidi="ar-SA"/>
              </w:rPr>
              <w:t>)中被列入失信被执行人名单情况查询：</w:t>
            </w:r>
          </w:p>
          <w:p w14:paraId="19090ED2">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（1）投标人附在投标文件中信用信息查询时间：发布公告之日起至递交投标文件截止时间止；</w:t>
            </w:r>
          </w:p>
          <w:p w14:paraId="1167144A">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信用信息复核查询时间:招标代理机构将在递交投标文件截止时间之后至评标委员会资格审查结束前，对投标人的信用信息进行网上查询，并将查询结果提供给评标委员会复核，与投标文件信息不一致时，以复核结果为准；</w:t>
            </w:r>
          </w:p>
          <w:p w14:paraId="6B36A55C">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（3）信用信息查询记录和证据留存的具体方式：信用信息查询记录将以网站截图打印稿形式与其他采购文件一并保存。</w:t>
            </w:r>
          </w:p>
          <w:p w14:paraId="5C23AF08">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（4）在本招标文件规定的复核查询时间之后，网站信息发生的任何变更均不再作为评标依据，投标人自行提供的与网站信息不一致的其他证明材料亦不作为资格审查依据。</w:t>
            </w:r>
          </w:p>
        </w:tc>
      </w:tr>
      <w:tr w14:paraId="1364569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646D2B">
            <w:pPr>
              <w:wordWrap w:val="0"/>
              <w:spacing w:line="420" w:lineRule="exact"/>
              <w:jc w:val="center"/>
              <w:rPr>
                <w:rFonts w:hint="default" w:eastAsia="宋体"/>
                <w:spacing w:val="-1"/>
                <w:position w:val="1"/>
                <w:lang w:val="en-US" w:eastAsia="zh-CN"/>
              </w:rPr>
            </w:pPr>
            <w:r>
              <w:rPr>
                <w:rFonts w:hint="eastAsia"/>
                <w:sz w:val="24"/>
                <w:lang w:val="en-US" w:eastAsia="zh-CN"/>
              </w:rPr>
              <w:t>10.12</w:t>
            </w: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5FD4CDA">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在签订施工合同前，中标人须将招标文件《专用合同条款》中要求的其他主要管理和技术人员和主要机械设备和试验检测设备相关证明材料（发票或租赁协议）的原件及彩色复印件一套上报招标人备案，备案后方可签订施工合同。若中标人未在规定时间内上报相关材料，或上报的相关材料不符合招标文件规定，或与投标承诺不一致，视为中标人放弃中标。招标人将按照评标委员会推荐的中标候选人名单排序依次确定其他中标候选人为中标人；若所有中标候选人均不符合要求，招标人将依法重新招标。</w:t>
            </w:r>
          </w:p>
          <w:p w14:paraId="105330BD">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中标人进场时，如果所提供的人员、设备低于投标阶段以及中标后合同谈判阶段所承诺的人员或机械设备最低标准，即被认为未按合同文件规定履约，发包人将有权与中标人解除合同，另行安排其他单位进行施工。</w:t>
            </w:r>
          </w:p>
          <w:p w14:paraId="10FE5EE9">
            <w:pPr>
              <w:pageBreakBefore w:val="0"/>
              <w:kinsoku/>
              <w:wordWrap w:val="0"/>
              <w:bidi w:val="0"/>
              <w:spacing w:line="440" w:lineRule="exact"/>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中标人应提供现场履约人员面部识别打卡设备，打卡数据上传系统，以便用来考核，加强项目管理。面部识别设备费用应该考虑在投标报价中，不得单列。</w:t>
            </w:r>
          </w:p>
        </w:tc>
      </w:tr>
      <w:tr w14:paraId="45085F6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C2335">
            <w:pPr>
              <w:wordWrap w:val="0"/>
              <w:spacing w:line="420" w:lineRule="exact"/>
              <w:jc w:val="center"/>
              <w:rPr>
                <w:rFonts w:hint="default" w:eastAsia="宋体"/>
                <w:spacing w:val="-1"/>
                <w:position w:val="1"/>
                <w:lang w:val="en-US" w:eastAsia="zh-CN"/>
              </w:rPr>
            </w:pPr>
            <w:r>
              <w:rPr>
                <w:rFonts w:hint="eastAsia"/>
                <w:sz w:val="24"/>
                <w:lang w:val="en-US" w:eastAsia="zh-CN"/>
              </w:rPr>
              <w:t>10.13</w:t>
            </w: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E98B81E">
            <w:pPr>
              <w:wordWrap w:val="0"/>
              <w:spacing w:line="420" w:lineRule="exact"/>
              <w:jc w:val="left"/>
              <w:rPr>
                <w:rFonts w:hint="eastAsia" w:cs="宋体" w:asciiTheme="minorEastAsia" w:hAnsiTheme="minorEastAsia" w:eastAsiaTheme="minorEastAsia"/>
                <w:sz w:val="24"/>
              </w:rPr>
            </w:pPr>
            <w:r>
              <w:rPr>
                <w:rFonts w:hint="eastAsia" w:ascii="仿宋" w:hAnsi="仿宋" w:eastAsia="仿宋" w:cs="仿宋"/>
                <w:kern w:val="2"/>
                <w:sz w:val="24"/>
                <w:szCs w:val="24"/>
                <w:highlight w:val="none"/>
                <w:lang w:val="en-US" w:eastAsia="zh-CN" w:bidi="ar-SA"/>
              </w:rPr>
              <w:t>开标过程中，投标人如有异议请在异议环节规定时间内提出，如无异议请回复无异议，如未提出则视为认同开标结果，后续不予受理对开标情况的投诉。</w:t>
            </w:r>
          </w:p>
        </w:tc>
      </w:tr>
    </w:tbl>
    <w:p w14:paraId="013412B3">
      <w:pPr>
        <w:pageBreakBefore w:val="0"/>
        <w:kinsoku/>
        <w:wordWrap w:val="0"/>
        <w:bidi w:val="0"/>
        <w:spacing w:line="440" w:lineRule="exact"/>
        <w:rPr>
          <w:rFonts w:hint="default" w:ascii="Times New Roman" w:hAnsi="Times New Roman" w:eastAsia="黑体" w:cs="Times New Roman"/>
          <w:color w:val="auto"/>
          <w:sz w:val="28"/>
          <w:szCs w:val="28"/>
          <w:highlight w:val="none"/>
          <w:lang w:val="en-US" w:eastAsia="zh-CN"/>
        </w:rPr>
      </w:pPr>
    </w:p>
    <w:p w14:paraId="425F9A75">
      <w:pPr>
        <w:pageBreakBefore w:val="0"/>
        <w:kinsoku/>
        <w:wordWrap w:val="0"/>
        <w:bidi w:val="0"/>
        <w:spacing w:line="20" w:lineRule="exact"/>
        <w:jc w:val="center"/>
        <w:rPr>
          <w:rFonts w:hint="default" w:ascii="Times New Roman" w:hAnsi="Times New Roman" w:eastAsia="黑体" w:cs="Times New Roman"/>
          <w:b/>
          <w:color w:val="auto"/>
          <w:sz w:val="18"/>
          <w:szCs w:val="18"/>
          <w:highlight w:val="none"/>
        </w:rPr>
      </w:pPr>
      <w:r>
        <w:rPr>
          <w:rFonts w:hint="default" w:ascii="Times New Roman" w:hAnsi="Times New Roman" w:eastAsia="黑体" w:cs="Times New Roman"/>
          <w:color w:val="auto"/>
          <w:sz w:val="28"/>
          <w:szCs w:val="28"/>
          <w:highlight w:val="none"/>
        </w:rPr>
        <w:br w:type="page"/>
      </w:r>
    </w:p>
    <w:p w14:paraId="704A6D3F">
      <w:pPr>
        <w:pStyle w:val="2"/>
        <w:pageBreakBefore w:val="0"/>
        <w:kinsoku/>
        <w:wordWrap w:val="0"/>
        <w:bidi w:val="0"/>
        <w:spacing w:before="240" w:after="240" w:line="240" w:lineRule="atLeast"/>
        <w:jc w:val="center"/>
        <w:rPr>
          <w:rFonts w:hint="default" w:ascii="Times New Roman" w:hAnsi="Times New Roman" w:cs="Times New Roman"/>
          <w:color w:val="auto"/>
          <w:highlight w:val="none"/>
        </w:rPr>
      </w:pPr>
      <w:bookmarkStart w:id="65" w:name="_Toc234832863"/>
      <w:bookmarkStart w:id="66" w:name="_Toc29783"/>
      <w:bookmarkStart w:id="67" w:name="_Toc12483"/>
      <w:bookmarkStart w:id="68" w:name="_Toc19171"/>
      <w:r>
        <w:rPr>
          <w:rFonts w:hint="default" w:ascii="Times New Roman" w:hAnsi="Times New Roman" w:eastAsia="黑体" w:cs="Times New Roman"/>
          <w:color w:val="auto"/>
          <w:sz w:val="28"/>
          <w:szCs w:val="28"/>
          <w:highlight w:val="none"/>
        </w:rPr>
        <w:t>附录1  资格审查条件（资质最低</w:t>
      </w:r>
      <w:r>
        <w:rPr>
          <w:rFonts w:hint="default" w:ascii="Times New Roman" w:hAnsi="Times New Roman" w:eastAsia="黑体" w:cs="Times New Roman"/>
          <w:color w:val="auto"/>
          <w:sz w:val="28"/>
          <w:szCs w:val="28"/>
          <w:highlight w:val="none"/>
          <w:lang w:eastAsia="zh-CN"/>
        </w:rPr>
        <w:t>要求</w:t>
      </w:r>
      <w:r>
        <w:rPr>
          <w:rFonts w:hint="default" w:ascii="Times New Roman" w:hAnsi="Times New Roman" w:eastAsia="黑体" w:cs="Times New Roman"/>
          <w:color w:val="auto"/>
          <w:sz w:val="28"/>
          <w:szCs w:val="28"/>
          <w:highlight w:val="none"/>
        </w:rPr>
        <w:t>）</w:t>
      </w:r>
      <w:r>
        <w:rPr>
          <w:rStyle w:val="47"/>
          <w:rFonts w:hint="default" w:ascii="Times New Roman" w:hAnsi="Times New Roman" w:eastAsia="黑体" w:cs="Times New Roman"/>
          <w:color w:val="auto"/>
          <w:sz w:val="28"/>
          <w:szCs w:val="28"/>
          <w:highlight w:val="none"/>
        </w:rPr>
        <w:footnoteReference w:id="12"/>
      </w:r>
      <w:bookmarkEnd w:id="65"/>
      <w:bookmarkEnd w:id="66"/>
      <w:bookmarkEnd w:id="67"/>
      <w:bookmarkEnd w:id="68"/>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326A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6552F67">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施工企业资质等级要求</w:t>
            </w:r>
            <w:r>
              <w:rPr>
                <w:rStyle w:val="47"/>
                <w:rFonts w:hint="default" w:ascii="Times New Roman" w:hAnsi="Times New Roman" w:cs="Times New Roman"/>
                <w:color w:val="auto"/>
                <w:szCs w:val="21"/>
                <w:highlight w:val="none"/>
              </w:rPr>
              <w:footnoteReference w:id="13"/>
            </w:r>
          </w:p>
        </w:tc>
      </w:tr>
      <w:tr w14:paraId="04F4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2" w:hRule="atLeast"/>
          <w:jc w:val="center"/>
        </w:trPr>
        <w:tc>
          <w:tcPr>
            <w:tcW w:w="8819" w:type="dxa"/>
            <w:noWrap w:val="0"/>
            <w:vAlign w:val="center"/>
          </w:tcPr>
          <w:p w14:paraId="09185066">
            <w:pPr>
              <w:keepNext w:val="0"/>
              <w:keepLines w:val="0"/>
              <w:pageBreakBefore w:val="0"/>
              <w:widowControl w:val="0"/>
              <w:kinsoku/>
              <w:wordWrap w:val="0"/>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1.具有国内独立法人资格及有效的企业法人营业执照。</w:t>
            </w:r>
          </w:p>
          <w:p w14:paraId="17EC3B86">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2.具有省级交通运输主管部门颁发且有效的“路基路面养护</w:t>
            </w:r>
            <w:r>
              <w:rPr>
                <w:rFonts w:hint="eastAsia" w:cs="Times New Roman"/>
                <w:color w:val="auto"/>
                <w:szCs w:val="21"/>
                <w:highlight w:val="none"/>
                <w:lang w:val="en-US" w:eastAsia="zh-CN"/>
              </w:rPr>
              <w:t>甲</w:t>
            </w:r>
            <w:r>
              <w:rPr>
                <w:rFonts w:hint="default" w:ascii="Times New Roman" w:hAnsi="Times New Roman" w:cs="Times New Roman"/>
                <w:color w:val="auto"/>
                <w:szCs w:val="21"/>
                <w:highlight w:val="none"/>
              </w:rPr>
              <w:t>级及以上资质”</w:t>
            </w:r>
            <w:r>
              <w:rPr>
                <w:rFonts w:hint="default" w:ascii="Times New Roman" w:hAnsi="Times New Roman" w:cs="Times New Roman"/>
                <w:color w:val="auto"/>
                <w:szCs w:val="21"/>
                <w:highlight w:val="none"/>
                <w:lang w:val="en-US" w:eastAsia="zh-CN"/>
              </w:rPr>
              <w:t>和</w:t>
            </w:r>
            <w:r>
              <w:rPr>
                <w:rFonts w:hint="default" w:ascii="Times New Roman" w:hAnsi="Times New Roman" w:cs="Times New Roman"/>
                <w:color w:val="auto"/>
                <w:szCs w:val="21"/>
                <w:highlight w:val="none"/>
              </w:rPr>
              <w:t>“交通安全设施养护资质”和“桥梁养护乙级”及以上资质。</w:t>
            </w:r>
          </w:p>
          <w:p w14:paraId="292782F6">
            <w:pPr>
              <w:keepNext w:val="0"/>
              <w:keepLines w:val="0"/>
              <w:pageBreakBefore w:val="0"/>
              <w:widowControl w:val="0"/>
              <w:kinsoku/>
              <w:wordWrap w:val="0"/>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3.具有建设行政主管部门颁发且有效的</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安全生产许可证</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p>
        </w:tc>
      </w:tr>
      <w:tr w14:paraId="229C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1" w:hRule="atLeast"/>
          <w:jc w:val="center"/>
        </w:trPr>
        <w:tc>
          <w:tcPr>
            <w:tcW w:w="8819" w:type="dxa"/>
            <w:noWrap w:val="0"/>
            <w:vAlign w:val="center"/>
          </w:tcPr>
          <w:p w14:paraId="4B6A47C4">
            <w:pPr>
              <w:pageBreakBefore w:val="0"/>
              <w:kinsoku/>
              <w:wordWrap w:val="0"/>
              <w:bidi w:val="0"/>
              <w:adjustRightInd w:val="0"/>
              <w:snapToGrid w:val="0"/>
              <w:spacing w:line="400" w:lineRule="atLeast"/>
              <w:jc w:val="left"/>
              <w:rPr>
                <w:rFonts w:hint="eastAsia" w:cs="Times New Roman"/>
                <w:color w:val="auto"/>
                <w:szCs w:val="21"/>
                <w:highlight w:val="none"/>
                <w:lang w:val="en-US" w:eastAsia="zh-CN"/>
              </w:rPr>
            </w:pPr>
            <w:bookmarkStart w:id="69" w:name="_Toc4197"/>
            <w:bookmarkStart w:id="70" w:name="_Toc3559"/>
            <w:bookmarkStart w:id="71" w:name="_Toc234832864"/>
            <w:r>
              <w:rPr>
                <w:rFonts w:hint="eastAsia" w:cs="Times New Roman"/>
                <w:color w:val="auto"/>
                <w:szCs w:val="21"/>
                <w:highlight w:val="none"/>
                <w:lang w:val="en-US" w:eastAsia="zh-CN"/>
              </w:rPr>
              <w:t>注：</w:t>
            </w:r>
          </w:p>
          <w:p w14:paraId="220E19E1">
            <w:pPr>
              <w:pageBreakBefore w:val="0"/>
              <w:kinsoku/>
              <w:wordWrap w:val="0"/>
              <w:bidi w:val="0"/>
              <w:adjustRightInd w:val="0"/>
              <w:snapToGrid w:val="0"/>
              <w:spacing w:line="400" w:lineRule="atLeast"/>
              <w:jc w:val="left"/>
              <w:rPr>
                <w:rFonts w:hint="eastAsia" w:cs="Times New Roman"/>
                <w:color w:val="auto"/>
                <w:szCs w:val="21"/>
                <w:highlight w:val="none"/>
                <w:lang w:val="en-US" w:eastAsia="zh-CN"/>
              </w:rPr>
            </w:pPr>
            <w:r>
              <w:rPr>
                <w:rFonts w:hint="eastAsia" w:cs="Times New Roman"/>
                <w:color w:val="auto"/>
                <w:szCs w:val="21"/>
                <w:highlight w:val="none"/>
                <w:lang w:val="en-US" w:eastAsia="zh-CN"/>
              </w:rPr>
              <w:t>1.投标人应在“辽宁省公共资源交易平台交通工程交易系统主体信息库”中建立信用信息档案，通过电子投标文件制作系统生成“投标人基本情况表”，投标人应提供已录入主体信息库并通过审查的“企业法人营业执照(电子证照)、安全生产许可证、企业资质等级证书、银行基本账户证明材料”等资料，上述资料应从主体信息库中选择并在投标文件中形成超链接。</w:t>
            </w:r>
          </w:p>
          <w:p w14:paraId="3896DF7A">
            <w:pPr>
              <w:pageBreakBefore w:val="0"/>
              <w:kinsoku/>
              <w:wordWrap w:val="0"/>
              <w:bidi w:val="0"/>
              <w:adjustRightInd w:val="0"/>
              <w:snapToGrid w:val="0"/>
              <w:spacing w:line="400" w:lineRule="atLeast"/>
              <w:jc w:val="left"/>
              <w:rPr>
                <w:rFonts w:hint="eastAsia" w:cs="Times New Roman"/>
                <w:color w:val="auto"/>
                <w:szCs w:val="21"/>
                <w:highlight w:val="none"/>
                <w:lang w:val="en-US" w:eastAsia="zh-CN"/>
              </w:rPr>
            </w:pPr>
            <w:r>
              <w:rPr>
                <w:rFonts w:hint="eastAsia" w:cs="Times New Roman"/>
                <w:color w:val="auto"/>
                <w:szCs w:val="21"/>
                <w:highlight w:val="none"/>
                <w:lang w:val="en-US" w:eastAsia="zh-CN"/>
              </w:rPr>
              <w:t>2.投标人应在第一个信封(商务及技术文件)“第一信封其他资料”“(三)其他须补充的资格审查资料”中提供:投标人在“国家企业信用信息公示系统”网站中“基础信息(体现营业执照信息、股东人及出资信息)”的查询结果网页截图彩色影印件；根据《关于发布公路工程从业企业资质名录的通知》(厅公路字(2011)114号)要求，投标人如为应通过名录对其资质条件进行审核的公路施工企业，则须提供其在交通运输部“全国公路建设市场监督管理系统”公路工程施工资质企业名录中的网页截图彩色影印件。</w:t>
            </w:r>
          </w:p>
          <w:p w14:paraId="1B52F686">
            <w:pPr>
              <w:pageBreakBefore w:val="0"/>
              <w:kinsoku/>
              <w:wordWrap w:val="0"/>
              <w:bidi w:val="0"/>
              <w:adjustRightInd w:val="0"/>
              <w:snapToGrid w:val="0"/>
              <w:spacing w:line="400" w:lineRule="atLeast"/>
              <w:jc w:val="left"/>
              <w:rPr>
                <w:rFonts w:hint="eastAsia" w:cs="Times New Roman"/>
                <w:color w:val="auto"/>
                <w:szCs w:val="21"/>
                <w:highlight w:val="none"/>
                <w:lang w:val="en-US" w:eastAsia="zh-CN"/>
              </w:rPr>
            </w:pPr>
            <w:r>
              <w:rPr>
                <w:rFonts w:hint="eastAsia" w:cs="Times New Roman"/>
                <w:color w:val="auto"/>
                <w:szCs w:val="21"/>
                <w:highlight w:val="none"/>
                <w:lang w:val="en-US" w:eastAsia="zh-CN"/>
              </w:rPr>
              <w:t>3.投标人应仔细检查电子投标文件制作系统生成的资格审查资料各项表格中的信息及相关主体信息库超链接附件资料的完整性，且应能体现资格评审(或详细评审)中对资质、业绩、人员等各项指标的要求，否则评标委员会将视其资料完整情况决定是否通过初步评审(或是否参与详细评审)。除招标文件中另有规定外，招标人不再接受投标人在电子投标文件制作系统单独提交的相关证明材料作为替代或补充。</w:t>
            </w:r>
          </w:p>
          <w:p w14:paraId="47362449">
            <w:pPr>
              <w:pageBreakBefore w:val="0"/>
              <w:kinsoku/>
              <w:wordWrap w:val="0"/>
              <w:bidi w:val="0"/>
              <w:adjustRightInd w:val="0"/>
              <w:snapToGrid w:val="0"/>
              <w:spacing w:line="400" w:lineRule="atLeast"/>
              <w:jc w:val="left"/>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4.对于法人发生重组或变更的投标人，应在第一个信封(商务及技术文件)“第一信封其他资料”“(三)其他须补充的资格审查资料”中提供：法人重组或变更时相关部门的合法批件、变更时的企业法人营业执照变更记录等相关证明材料彩色影印件来证明其所附（资质、企业业绩、主要人员等）资格审查资料中的相关证书、业绩（如有）等的继承性。</w:t>
            </w:r>
          </w:p>
          <w:p w14:paraId="775F30B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6657BE5E">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sectPr>
          <w:headerReference r:id="rId23" w:type="default"/>
          <w:footerReference r:id="rId25" w:type="default"/>
          <w:headerReference r:id="rId24" w:type="even"/>
          <w:footerReference r:id="rId26"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F6B22D4">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72" w:name="_Toc29861"/>
      <w:r>
        <w:rPr>
          <w:rFonts w:hint="default" w:ascii="Times New Roman" w:hAnsi="Times New Roman" w:eastAsia="黑体" w:cs="Times New Roman"/>
          <w:color w:val="auto"/>
          <w:sz w:val="28"/>
          <w:szCs w:val="28"/>
          <w:highlight w:val="none"/>
        </w:rPr>
        <w:t>附录2  资格审查条件（财务最低要求）</w:t>
      </w:r>
      <w:r>
        <w:rPr>
          <w:rStyle w:val="47"/>
          <w:rFonts w:hint="default" w:ascii="Times New Roman" w:hAnsi="Times New Roman" w:eastAsia="黑体" w:cs="Times New Roman"/>
          <w:color w:val="auto"/>
          <w:sz w:val="28"/>
          <w:szCs w:val="28"/>
          <w:highlight w:val="none"/>
        </w:rPr>
        <w:footnoteReference w:id="14"/>
      </w:r>
      <w:bookmarkEnd w:id="69"/>
      <w:bookmarkEnd w:id="70"/>
      <w:bookmarkEnd w:id="71"/>
      <w:bookmarkEnd w:id="7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166B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72A4C0E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财 务 要 求</w:t>
            </w:r>
          </w:p>
        </w:tc>
      </w:tr>
      <w:tr w14:paraId="2329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0569B2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20" w:lineRule="exact"/>
              <w:textAlignment w:val="baseline"/>
              <w:rPr>
                <w:rFonts w:hint="eastAsia" w:ascii="宋体" w:hAnsi="宋体" w:eastAsia="宋体" w:cs="宋体"/>
                <w:sz w:val="20"/>
                <w:szCs w:val="20"/>
                <w:highlight w:val="none"/>
              </w:rPr>
            </w:pPr>
          </w:p>
          <w:p w14:paraId="718CAA4F">
            <w:pPr>
              <w:rPr>
                <w:rFonts w:hint="default" w:eastAsia="宋体"/>
                <w:color w:val="auto"/>
                <w:highlight w:val="none"/>
                <w:lang w:val="en-US" w:eastAsia="zh-CN"/>
              </w:rPr>
            </w:pPr>
            <w:r>
              <w:rPr>
                <w:rFonts w:hint="eastAsia"/>
                <w:color w:val="auto"/>
                <w:highlight w:val="none"/>
                <w:lang w:val="en-US" w:eastAsia="zh-CN"/>
              </w:rPr>
              <w:t>无要求</w:t>
            </w:r>
          </w:p>
          <w:p w14:paraId="0E00D673">
            <w:pPr>
              <w:rPr>
                <w:color w:val="auto"/>
                <w:highlight w:val="none"/>
              </w:rPr>
            </w:pPr>
          </w:p>
          <w:p w14:paraId="077CC8E3">
            <w:pPr>
              <w:rPr>
                <w:color w:val="auto"/>
                <w:highlight w:val="none"/>
              </w:rPr>
            </w:pPr>
          </w:p>
          <w:p w14:paraId="419B711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55A959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766933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8BC299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8D142A0">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084E26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671E81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93A76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239CFFC">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p>
          <w:p w14:paraId="179D5D2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70FC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19FBF93D">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6630F9C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FCA756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9F169C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6D1D5B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086623B">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1E71B9C5">
      <w:pPr>
        <w:pageBreakBefore w:val="0"/>
        <w:kinsoku/>
        <w:wordWrap w:val="0"/>
        <w:bidi w:val="0"/>
        <w:adjustRightInd w:val="0"/>
        <w:snapToGrid w:val="0"/>
        <w:spacing w:line="300" w:lineRule="exact"/>
        <w:rPr>
          <w:rFonts w:hint="default" w:ascii="Times New Roman" w:hAnsi="Times New Roman" w:eastAsia="黑体" w:cs="Times New Roman"/>
          <w:color w:val="auto"/>
          <w:sz w:val="24"/>
          <w:highlight w:val="none"/>
        </w:rPr>
      </w:pPr>
    </w:p>
    <w:p w14:paraId="397959B9">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73" w:name="_Toc30953"/>
      <w:bookmarkStart w:id="74" w:name="_Toc6381"/>
      <w:bookmarkStart w:id="75" w:name="_Toc10281"/>
      <w:bookmarkStart w:id="76" w:name="_Toc234832865"/>
      <w:r>
        <w:rPr>
          <w:rFonts w:hint="default" w:ascii="Times New Roman" w:hAnsi="Times New Roman" w:eastAsia="黑体" w:cs="Times New Roman"/>
          <w:color w:val="auto"/>
          <w:sz w:val="28"/>
          <w:szCs w:val="28"/>
          <w:highlight w:val="none"/>
        </w:rPr>
        <w:t xml:space="preserve">附录3 </w:t>
      </w:r>
      <w:r>
        <w:rPr>
          <w:rFonts w:hint="default" w:ascii="Times New Roman" w:hAnsi="Times New Roman" w:eastAsia="黑体" w:cs="Times New Roman"/>
          <w:color w:val="auto"/>
          <w:sz w:val="28"/>
          <w:szCs w:val="28"/>
          <w:highlight w:val="none"/>
          <w:lang w:eastAsia="zh-CN"/>
        </w:rPr>
        <w:t xml:space="preserve"> </w:t>
      </w:r>
      <w:r>
        <w:rPr>
          <w:rFonts w:hint="default" w:ascii="Times New Roman" w:hAnsi="Times New Roman" w:eastAsia="黑体" w:cs="Times New Roman"/>
          <w:color w:val="auto"/>
          <w:sz w:val="28"/>
          <w:szCs w:val="28"/>
          <w:highlight w:val="none"/>
        </w:rPr>
        <w:t>资格审查条件（业绩最低要求）</w:t>
      </w:r>
      <w:r>
        <w:rPr>
          <w:rStyle w:val="47"/>
          <w:rFonts w:hint="default" w:ascii="Times New Roman" w:hAnsi="Times New Roman" w:eastAsia="黑体" w:cs="Times New Roman"/>
          <w:color w:val="auto"/>
          <w:sz w:val="28"/>
          <w:szCs w:val="28"/>
          <w:highlight w:val="none"/>
        </w:rPr>
        <w:footnoteReference w:id="15"/>
      </w:r>
      <w:bookmarkEnd w:id="73"/>
      <w:bookmarkEnd w:id="74"/>
      <w:bookmarkEnd w:id="75"/>
      <w:bookmarkEnd w:id="76"/>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7113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4511E4EB">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 绩 要 求</w:t>
            </w:r>
            <w:r>
              <w:rPr>
                <w:rStyle w:val="47"/>
                <w:rFonts w:hint="default" w:ascii="Times New Roman" w:hAnsi="Times New Roman" w:cs="Times New Roman"/>
                <w:color w:val="auto"/>
                <w:szCs w:val="21"/>
                <w:highlight w:val="none"/>
              </w:rPr>
              <w:footnoteReference w:id="16"/>
            </w:r>
          </w:p>
        </w:tc>
      </w:tr>
      <w:tr w14:paraId="1781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819" w:type="dxa"/>
            <w:noWrap w:val="0"/>
            <w:vAlign w:val="center"/>
          </w:tcPr>
          <w:p w14:paraId="7297997D">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近5年（指交工验收时间为20</w:t>
            </w:r>
            <w:r>
              <w:rPr>
                <w:rFonts w:hint="eastAsia" w:ascii="宋体" w:hAnsi="宋体" w:eastAsia="宋体" w:cs="宋体"/>
                <w:sz w:val="20"/>
                <w:szCs w:val="20"/>
                <w:highlight w:val="none"/>
                <w:lang w:val="en-US" w:eastAsia="zh-CN"/>
              </w:rPr>
              <w:t>2</w:t>
            </w:r>
            <w:r>
              <w:rPr>
                <w:rFonts w:hint="eastAsia" w:ascii="宋体" w:hAnsi="宋体" w:cs="宋体"/>
                <w:sz w:val="20"/>
                <w:szCs w:val="20"/>
                <w:highlight w:val="none"/>
                <w:lang w:val="en-US" w:eastAsia="zh-CN"/>
              </w:rPr>
              <w:t>1</w:t>
            </w:r>
            <w:r>
              <w:rPr>
                <w:rFonts w:hint="eastAsia" w:ascii="宋体" w:hAnsi="宋体" w:eastAsia="宋体" w:cs="宋体"/>
                <w:sz w:val="20"/>
                <w:szCs w:val="20"/>
                <w:highlight w:val="none"/>
              </w:rPr>
              <w:t>年</w:t>
            </w: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月</w:t>
            </w:r>
            <w:r>
              <w:rPr>
                <w:rFonts w:hint="eastAsia" w:ascii="宋体" w:hAnsi="宋体" w:eastAsia="宋体" w:cs="宋体"/>
                <w:sz w:val="20"/>
                <w:szCs w:val="20"/>
                <w:highlight w:val="none"/>
                <w:lang w:val="en-US" w:eastAsia="zh-CN"/>
              </w:rPr>
              <w:t>8</w:t>
            </w:r>
            <w:r>
              <w:rPr>
                <w:rFonts w:hint="eastAsia" w:ascii="宋体" w:hAnsi="宋体" w:eastAsia="宋体" w:cs="宋体"/>
                <w:sz w:val="20"/>
                <w:szCs w:val="20"/>
                <w:highlight w:val="none"/>
              </w:rPr>
              <w:t>日至投标文件递交截止日）内，至少独立</w:t>
            </w:r>
            <w:r>
              <w:rPr>
                <w:rFonts w:hint="eastAsia" w:ascii="宋体" w:hAnsi="宋体" w:eastAsia="宋体" w:cs="宋体"/>
                <w:color w:val="auto"/>
                <w:sz w:val="20"/>
                <w:szCs w:val="20"/>
                <w:highlight w:val="none"/>
              </w:rPr>
              <w:t>完成过1个</w:t>
            </w:r>
            <w:r>
              <w:rPr>
                <w:rFonts w:hint="eastAsia" w:ascii="宋体" w:hAnsi="宋体" w:eastAsia="宋体" w:cs="宋体"/>
                <w:color w:val="auto"/>
                <w:sz w:val="20"/>
                <w:szCs w:val="20"/>
                <w:highlight w:val="none"/>
                <w:lang w:val="en-US" w:eastAsia="zh-CN"/>
              </w:rPr>
              <w:t>单个合同额不少于</w:t>
            </w:r>
            <w:r>
              <w:rPr>
                <w:rFonts w:hint="eastAsia" w:ascii="宋体" w:hAnsi="宋体" w:cs="宋体"/>
                <w:color w:val="auto"/>
                <w:sz w:val="20"/>
                <w:szCs w:val="20"/>
                <w:highlight w:val="none"/>
                <w:lang w:val="en-US" w:eastAsia="zh-CN"/>
              </w:rPr>
              <w:t>400万元</w:t>
            </w:r>
            <w:r>
              <w:rPr>
                <w:rFonts w:hint="eastAsia" w:ascii="宋体" w:hAnsi="宋体" w:eastAsia="宋体" w:cs="宋体"/>
                <w:color w:val="auto"/>
                <w:sz w:val="20"/>
                <w:szCs w:val="20"/>
                <w:highlight w:val="none"/>
              </w:rPr>
              <w:t>的</w:t>
            </w:r>
            <w:r>
              <w:rPr>
                <w:rFonts w:hint="eastAsia" w:ascii="宋体" w:hAnsi="宋体" w:cs="宋体"/>
                <w:color w:val="auto"/>
                <w:sz w:val="20"/>
                <w:szCs w:val="20"/>
                <w:highlight w:val="none"/>
                <w:lang w:val="en-US" w:eastAsia="zh-CN"/>
              </w:rPr>
              <w:t>一</w:t>
            </w:r>
            <w:r>
              <w:rPr>
                <w:rFonts w:hint="eastAsia" w:ascii="宋体" w:hAnsi="宋体" w:eastAsia="宋体" w:cs="宋体"/>
                <w:color w:val="auto"/>
                <w:sz w:val="20"/>
                <w:szCs w:val="20"/>
                <w:highlight w:val="none"/>
              </w:rPr>
              <w:t>级</w:t>
            </w:r>
            <w:r>
              <w:rPr>
                <w:rFonts w:hint="eastAsia" w:ascii="宋体" w:hAnsi="宋体" w:eastAsia="宋体" w:cs="宋体"/>
                <w:sz w:val="20"/>
                <w:szCs w:val="20"/>
                <w:highlight w:val="none"/>
              </w:rPr>
              <w:t>及以上</w:t>
            </w:r>
            <w:r>
              <w:rPr>
                <w:rFonts w:hint="eastAsia" w:ascii="宋体" w:hAnsi="宋体" w:eastAsia="宋体" w:cs="宋体"/>
                <w:sz w:val="20"/>
                <w:szCs w:val="20"/>
                <w:highlight w:val="none"/>
                <w:lang w:eastAsia="zh-CN"/>
              </w:rPr>
              <w:t>等级</w:t>
            </w:r>
            <w:r>
              <w:rPr>
                <w:rFonts w:hint="eastAsia" w:ascii="宋体" w:hAnsi="宋体" w:eastAsia="宋体" w:cs="宋体"/>
                <w:sz w:val="20"/>
                <w:szCs w:val="20"/>
                <w:highlight w:val="none"/>
              </w:rPr>
              <w:t>公路（新建或改扩建或维修改造或修复养护）工程</w:t>
            </w:r>
            <w:r>
              <w:rPr>
                <w:rFonts w:hint="eastAsia" w:ascii="宋体" w:hAnsi="宋体" w:eastAsia="宋体" w:cs="宋体"/>
                <w:sz w:val="20"/>
                <w:szCs w:val="20"/>
                <w:highlight w:val="none"/>
                <w:lang w:eastAsia="zh-CN"/>
              </w:rPr>
              <w:t>（含路面</w:t>
            </w:r>
            <w:r>
              <w:rPr>
                <w:rFonts w:hint="eastAsia" w:ascii="宋体" w:hAnsi="宋体" w:cs="宋体"/>
                <w:sz w:val="20"/>
                <w:szCs w:val="20"/>
                <w:highlight w:val="none"/>
                <w:lang w:val="en-US" w:eastAsia="zh-CN"/>
              </w:rPr>
              <w:t>工程</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施工项目，且工程验收</w:t>
            </w:r>
            <w:r>
              <w:rPr>
                <w:rFonts w:hint="eastAsia" w:ascii="宋体" w:hAnsi="宋体" w:eastAsia="宋体" w:cs="宋体"/>
                <w:sz w:val="20"/>
                <w:szCs w:val="20"/>
                <w:highlight w:val="none"/>
                <w:lang w:eastAsia="zh-CN"/>
              </w:rPr>
              <w:t>评定</w:t>
            </w:r>
            <w:r>
              <w:rPr>
                <w:rFonts w:hint="eastAsia" w:ascii="宋体" w:hAnsi="宋体" w:eastAsia="宋体" w:cs="宋体"/>
                <w:sz w:val="20"/>
                <w:szCs w:val="20"/>
                <w:highlight w:val="none"/>
              </w:rPr>
              <w:t>为合格</w:t>
            </w:r>
            <w:r>
              <w:rPr>
                <w:rFonts w:hint="eastAsia" w:ascii="宋体" w:hAnsi="宋体" w:eastAsia="宋体" w:cs="宋体"/>
                <w:sz w:val="20"/>
                <w:szCs w:val="20"/>
                <w:highlight w:val="none"/>
                <w:lang w:eastAsia="zh-CN"/>
              </w:rPr>
              <w:t>或</w:t>
            </w:r>
            <w:r>
              <w:rPr>
                <w:rFonts w:hint="eastAsia" w:ascii="宋体" w:hAnsi="宋体" w:eastAsia="宋体" w:cs="宋体"/>
                <w:sz w:val="20"/>
                <w:szCs w:val="20"/>
                <w:highlight w:val="none"/>
              </w:rPr>
              <w:t>以上等级。</w:t>
            </w:r>
          </w:p>
          <w:p w14:paraId="325249D8">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highlight w:val="none"/>
              </w:rPr>
              <w:t>注</w:t>
            </w:r>
            <w:r>
              <w:rPr>
                <w:rFonts w:hint="eastAsia" w:ascii="宋体" w:hAnsi="宋体" w:eastAsia="宋体" w:cs="宋体"/>
                <w:sz w:val="20"/>
                <w:szCs w:val="20"/>
                <w:highlight w:val="none"/>
                <w:lang w:eastAsia="zh-CN"/>
              </w:rPr>
              <w:t>：①</w:t>
            </w:r>
            <w:r>
              <w:rPr>
                <w:rFonts w:hint="eastAsia" w:ascii="宋体" w:hAnsi="宋体" w:eastAsia="宋体" w:cs="宋体"/>
                <w:sz w:val="20"/>
                <w:szCs w:val="20"/>
                <w:highlight w:val="none"/>
              </w:rPr>
              <w:t>改扩建是指改建</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扩建</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改扩建</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养护维修是指维修改造</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大修</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中修</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修复性养护，但不包括仅对路面面层处理的微表处</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rPr>
              <w:t>热再生</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稀</w:t>
            </w:r>
            <w:r>
              <w:rPr>
                <w:rFonts w:hint="eastAsia" w:ascii="宋体" w:hAnsi="宋体" w:eastAsia="宋体" w:cs="宋体"/>
                <w:sz w:val="20"/>
                <w:szCs w:val="20"/>
                <w:highlight w:val="none"/>
              </w:rPr>
              <w:t>浆封层等预防性养护</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下</w:t>
            </w:r>
            <w:r>
              <w:rPr>
                <w:rFonts w:hint="eastAsia" w:ascii="宋体" w:hAnsi="宋体" w:eastAsia="宋体" w:cs="宋体"/>
                <w:sz w:val="20"/>
                <w:szCs w:val="20"/>
                <w:highlight w:val="none"/>
              </w:rPr>
              <w:t>同。</w:t>
            </w:r>
          </w:p>
          <w:p w14:paraId="4631F2C8">
            <w:pPr>
              <w:keepNext w:val="0"/>
              <w:keepLines w:val="0"/>
              <w:pageBreakBefore w:val="0"/>
              <w:widowControl/>
              <w:kinsoku w:val="0"/>
              <w:wordWrap/>
              <w:overflowPunct/>
              <w:topLinePunct w:val="0"/>
              <w:autoSpaceDE w:val="0"/>
              <w:autoSpaceDN w:val="0"/>
              <w:bidi w:val="0"/>
              <w:adjustRightInd w:val="0"/>
              <w:snapToGrid w:val="0"/>
              <w:spacing w:line="420" w:lineRule="exact"/>
              <w:ind w:firstLine="428" w:firstLineChars="200"/>
              <w:textAlignment w:val="baseline"/>
              <w:rPr>
                <w:rFonts w:hint="default" w:ascii="Times New Roman" w:hAnsi="Times New Roman" w:cs="Times New Roman"/>
                <w:color w:val="auto"/>
                <w:szCs w:val="21"/>
                <w:highlight w:val="none"/>
              </w:rPr>
            </w:pPr>
            <w:r>
              <w:rPr>
                <w:rFonts w:hint="eastAsia" w:ascii="宋体" w:hAnsi="宋体" w:eastAsia="宋体" w:cs="宋体"/>
                <w:spacing w:val="7"/>
                <w:sz w:val="20"/>
                <w:szCs w:val="20"/>
                <w:highlight w:val="none"/>
              </w:rPr>
              <w:t>②</w:t>
            </w:r>
            <w:r>
              <w:rPr>
                <w:rFonts w:hint="eastAsia" w:ascii="宋体" w:hAnsi="宋体" w:eastAsia="宋体" w:cs="宋体"/>
                <w:spacing w:val="7"/>
                <w:sz w:val="20"/>
                <w:szCs w:val="20"/>
                <w:highlight w:val="none"/>
                <w:lang w:val="en-US" w:eastAsia="zh-CN"/>
              </w:rPr>
              <w:t>企业业绩应在</w:t>
            </w:r>
            <w:r>
              <w:rPr>
                <w:rFonts w:hint="eastAsia" w:ascii="宋体" w:hAnsi="宋体" w:eastAsia="宋体" w:cs="宋体"/>
                <w:spacing w:val="7"/>
                <w:sz w:val="20"/>
                <w:szCs w:val="20"/>
                <w:highlight w:val="none"/>
              </w:rPr>
              <w:t>“辽宁省公共资源交易平台交通工程交易系统主体信息库”</w:t>
            </w:r>
            <w:r>
              <w:rPr>
                <w:rFonts w:hint="eastAsia" w:ascii="宋体" w:hAnsi="宋体" w:eastAsia="宋体" w:cs="宋体"/>
                <w:spacing w:val="7"/>
                <w:sz w:val="20"/>
                <w:szCs w:val="20"/>
                <w:highlight w:val="none"/>
                <w:lang w:val="en-US" w:eastAsia="zh-CN"/>
              </w:rPr>
              <w:t>中录入并通过审核。</w:t>
            </w:r>
          </w:p>
        </w:tc>
      </w:tr>
      <w:tr w14:paraId="1DA6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429C24AF">
            <w:pPr>
              <w:pStyle w:val="93"/>
              <w:keepNext w:val="0"/>
              <w:keepLines w:val="0"/>
              <w:pageBreakBefore w:val="0"/>
              <w:widowControl/>
              <w:kinsoku w:val="0"/>
              <w:wordWrap/>
              <w:overflowPunct/>
              <w:topLinePunct w:val="0"/>
              <w:autoSpaceDE w:val="0"/>
              <w:autoSpaceDN w:val="0"/>
              <w:bidi w:val="0"/>
              <w:adjustRightInd w:val="0"/>
              <w:snapToGrid w:val="0"/>
              <w:spacing w:before="160" w:line="225" w:lineRule="auto"/>
              <w:ind w:left="105" w:leftChars="50" w:right="105" w:rightChars="50"/>
              <w:textAlignment w:val="baseline"/>
              <w:rPr>
                <w:rFonts w:hint="eastAsia" w:ascii="仿宋" w:hAnsi="仿宋" w:eastAsia="仿宋" w:cs="仿宋"/>
                <w:spacing w:val="-15"/>
                <w:sz w:val="24"/>
                <w:szCs w:val="24"/>
              </w:rPr>
            </w:pPr>
            <w:r>
              <w:rPr>
                <w:rFonts w:hint="eastAsia" w:cs="Times New Roman"/>
                <w:color w:val="auto"/>
                <w:szCs w:val="21"/>
                <w:highlight w:val="none"/>
                <w:lang w:val="en-US" w:eastAsia="zh-CN"/>
              </w:rPr>
              <w:t>注：</w:t>
            </w:r>
          </w:p>
          <w:p w14:paraId="3C29EA45">
            <w:pPr>
              <w:pStyle w:val="93"/>
              <w:keepNext w:val="0"/>
              <w:keepLines w:val="0"/>
              <w:pageBreakBefore w:val="0"/>
              <w:widowControl/>
              <w:kinsoku w:val="0"/>
              <w:wordWrap/>
              <w:overflowPunct/>
              <w:topLinePunct w:val="0"/>
              <w:autoSpaceDE w:val="0"/>
              <w:autoSpaceDN w:val="0"/>
              <w:bidi w:val="0"/>
              <w:adjustRightInd w:val="0"/>
              <w:snapToGrid w:val="0"/>
              <w:spacing w:before="160" w:line="226" w:lineRule="auto"/>
              <w:ind w:left="105" w:leftChars="50" w:right="105" w:rightChars="50" w:firstLine="400" w:firstLineChars="200"/>
              <w:textAlignment w:val="baseline"/>
              <w:outlineLvl w:val="2"/>
              <w:rPr>
                <w:rFonts w:hint="eastAsia" w:ascii="宋体" w:hAnsi="宋体" w:eastAsia="宋体" w:cs="宋体"/>
                <w:kern w:val="2"/>
                <w:sz w:val="20"/>
                <w:szCs w:val="20"/>
                <w:highlight w:val="none"/>
                <w:lang w:val="en-US" w:eastAsia="zh-CN" w:bidi="ar-SA"/>
              </w:rPr>
            </w:pPr>
            <w:r>
              <w:rPr>
                <w:rFonts w:hint="eastAsia" w:ascii="宋体" w:hAnsi="宋体" w:eastAsia="宋体" w:cs="宋体"/>
                <w:kern w:val="2"/>
                <w:sz w:val="20"/>
                <w:szCs w:val="20"/>
                <w:highlight w:val="none"/>
                <w:lang w:val="en-US" w:eastAsia="zh-CN" w:bidi="ar-SA"/>
              </w:rPr>
              <w:t>1.投标人应在“辽宁省公共资源交易平台交通工程交易系统主体信息库”中建立信用信息档案，通过电子投标文件制作系统生成“近年完成的类似项目情况表”，投标人应提供已录入主体信息库并通过审核的“业绩证明材料”且须体现交工验收时间、项目类型、工程内容等业绩评审指标，“业绩证明材料”应从主体信息库中选择并在投标文件中形成超链接。</w:t>
            </w:r>
          </w:p>
          <w:p w14:paraId="013564F2">
            <w:pPr>
              <w:pStyle w:val="93"/>
              <w:keepNext w:val="0"/>
              <w:keepLines w:val="0"/>
              <w:pageBreakBefore w:val="0"/>
              <w:widowControl/>
              <w:kinsoku w:val="0"/>
              <w:wordWrap/>
              <w:overflowPunct/>
              <w:topLinePunct w:val="0"/>
              <w:autoSpaceDE w:val="0"/>
              <w:autoSpaceDN w:val="0"/>
              <w:bidi w:val="0"/>
              <w:adjustRightInd w:val="0"/>
              <w:snapToGrid w:val="0"/>
              <w:spacing w:before="160" w:line="226" w:lineRule="auto"/>
              <w:ind w:left="105" w:leftChars="50" w:right="105" w:rightChars="50" w:firstLine="400" w:firstLineChars="200"/>
              <w:textAlignment w:val="baseline"/>
              <w:outlineLvl w:val="2"/>
              <w:rPr>
                <w:rFonts w:hint="eastAsia" w:ascii="宋体" w:hAnsi="宋体" w:eastAsia="宋体" w:cs="宋体"/>
                <w:kern w:val="2"/>
                <w:sz w:val="20"/>
                <w:szCs w:val="20"/>
                <w:highlight w:val="none"/>
                <w:lang w:val="en-US" w:eastAsia="zh-CN" w:bidi="ar-SA"/>
              </w:rPr>
            </w:pPr>
            <w:r>
              <w:rPr>
                <w:rFonts w:hint="eastAsia" w:ascii="宋体" w:hAnsi="宋体" w:eastAsia="宋体" w:cs="宋体"/>
                <w:kern w:val="2"/>
                <w:sz w:val="20"/>
                <w:szCs w:val="20"/>
                <w:highlight w:val="none"/>
                <w:lang w:val="en-US" w:eastAsia="zh-CN" w:bidi="ar-SA"/>
              </w:rPr>
              <w:t>2.投标人应仔细检查电子投标文件制作系统生成的资格审查资料各项表格中的信息及相关主体信息库超链接附件资料的完整性，且应能体现资格评审(或详细评审)中对资质、业绩、人员等各项指标的要求，否则评标委员会将视其资料完整情况决定是否通过初步评审(或是否参与详细评审)。除招标文件中另有规定外，招标人不再接受投标人在电子投标文件制作系统单独提交的相关证明材料作为替代或补充。</w:t>
            </w:r>
          </w:p>
          <w:p w14:paraId="197D8202">
            <w:pPr>
              <w:pageBreakBefore w:val="0"/>
              <w:kinsoku/>
              <w:wordWrap w:val="0"/>
              <w:bidi w:val="0"/>
              <w:adjustRightInd w:val="0"/>
              <w:snapToGrid w:val="0"/>
              <w:spacing w:line="400" w:lineRule="atLeast"/>
              <w:ind w:firstLine="400" w:firstLineChars="200"/>
              <w:jc w:val="left"/>
              <w:rPr>
                <w:rFonts w:hint="default" w:ascii="宋体" w:hAnsi="宋体" w:eastAsia="宋体" w:cs="宋体"/>
                <w:kern w:val="2"/>
                <w:sz w:val="20"/>
                <w:szCs w:val="20"/>
                <w:highlight w:val="none"/>
                <w:lang w:val="en-US" w:eastAsia="zh-CN" w:bidi="ar-SA"/>
              </w:rPr>
            </w:pPr>
            <w:r>
              <w:rPr>
                <w:rFonts w:hint="default" w:ascii="宋体" w:hAnsi="宋体" w:eastAsia="宋体" w:cs="宋体"/>
                <w:kern w:val="2"/>
                <w:sz w:val="20"/>
                <w:szCs w:val="20"/>
                <w:highlight w:val="none"/>
                <w:lang w:val="en-US" w:eastAsia="zh-CN" w:bidi="ar-SA"/>
              </w:rPr>
              <w:t>3.关于业绩的说明：</w:t>
            </w:r>
          </w:p>
          <w:p w14:paraId="1BE4B1FD">
            <w:pPr>
              <w:pageBreakBefore w:val="0"/>
              <w:kinsoku/>
              <w:wordWrap w:val="0"/>
              <w:bidi w:val="0"/>
              <w:adjustRightInd w:val="0"/>
              <w:snapToGrid w:val="0"/>
              <w:spacing w:line="400" w:lineRule="atLeast"/>
              <w:ind w:firstLine="200" w:firstLineChars="100"/>
              <w:jc w:val="left"/>
              <w:rPr>
                <w:rFonts w:hint="default" w:ascii="宋体" w:hAnsi="宋体" w:eastAsia="宋体" w:cs="宋体"/>
                <w:kern w:val="2"/>
                <w:sz w:val="20"/>
                <w:szCs w:val="20"/>
                <w:highlight w:val="none"/>
                <w:lang w:val="en-US" w:eastAsia="zh-CN" w:bidi="ar-SA"/>
              </w:rPr>
            </w:pPr>
            <w:r>
              <w:rPr>
                <w:rFonts w:hint="default" w:ascii="宋体" w:hAnsi="宋体" w:eastAsia="宋体" w:cs="宋体"/>
                <w:kern w:val="2"/>
                <w:sz w:val="20"/>
                <w:szCs w:val="20"/>
                <w:highlight w:val="none"/>
                <w:lang w:val="en-US" w:eastAsia="zh-CN" w:bidi="ar-SA"/>
              </w:rPr>
              <w:t>（1）以上业绩不包含微表处、热再生、封层等仅对路面面层处理的预防性养护及灾害防治、灾毁修复等专项养护和损毁抢修等应急养护；</w:t>
            </w:r>
          </w:p>
          <w:p w14:paraId="326132F3">
            <w:pPr>
              <w:pageBreakBefore w:val="0"/>
              <w:kinsoku/>
              <w:wordWrap w:val="0"/>
              <w:bidi w:val="0"/>
              <w:adjustRightInd w:val="0"/>
              <w:snapToGrid w:val="0"/>
              <w:spacing w:line="400" w:lineRule="atLeast"/>
              <w:ind w:firstLine="200" w:firstLineChars="100"/>
              <w:jc w:val="left"/>
              <w:rPr>
                <w:rFonts w:hint="default" w:ascii="Times New Roman" w:hAnsi="Times New Roman" w:cs="Times New Roman"/>
                <w:color w:val="auto"/>
                <w:szCs w:val="21"/>
                <w:highlight w:val="none"/>
              </w:rPr>
            </w:pPr>
            <w:r>
              <w:rPr>
                <w:rFonts w:hint="default" w:ascii="宋体" w:hAnsi="宋体" w:eastAsia="宋体" w:cs="宋体"/>
                <w:kern w:val="2"/>
                <w:sz w:val="20"/>
                <w:szCs w:val="20"/>
                <w:highlight w:val="none"/>
                <w:lang w:val="en-US" w:eastAsia="zh-CN" w:bidi="ar-SA"/>
              </w:rPr>
              <w:t>（2）以上合同金额是指在“辽宁省公共资源交易平台交通工程交易系统主体信息库”中载明的金额，如有结算价，以结算价为准。</w:t>
            </w:r>
          </w:p>
        </w:tc>
      </w:tr>
    </w:tbl>
    <w:p w14:paraId="04846E3C">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1500DEB6">
      <w:pPr>
        <w:rPr>
          <w:rFonts w:hint="default" w:ascii="Times New Roman" w:hAnsi="Times New Roman" w:eastAsia="黑体" w:cs="Times New Roman"/>
          <w:color w:val="auto"/>
          <w:sz w:val="28"/>
          <w:szCs w:val="28"/>
          <w:highlight w:val="none"/>
        </w:rPr>
      </w:pPr>
      <w:bookmarkStart w:id="77" w:name="_Toc17966"/>
      <w:bookmarkStart w:id="78" w:name="_Toc24335"/>
      <w:bookmarkStart w:id="79" w:name="_Toc29363"/>
      <w:bookmarkStart w:id="80" w:name="_Toc234832866"/>
      <w:r>
        <w:rPr>
          <w:rFonts w:hint="default" w:ascii="Times New Roman" w:hAnsi="Times New Roman" w:eastAsia="黑体" w:cs="Times New Roman"/>
          <w:color w:val="auto"/>
          <w:sz w:val="28"/>
          <w:szCs w:val="28"/>
          <w:highlight w:val="none"/>
        </w:rPr>
        <w:br w:type="page"/>
      </w:r>
    </w:p>
    <w:p w14:paraId="3303C3C7">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附录4  资格审查条件（信誉最低要求）</w:t>
      </w:r>
      <w:r>
        <w:rPr>
          <w:rStyle w:val="47"/>
          <w:rFonts w:hint="default" w:ascii="Times New Roman" w:hAnsi="Times New Roman" w:eastAsia="黑体" w:cs="Times New Roman"/>
          <w:color w:val="auto"/>
          <w:sz w:val="28"/>
          <w:szCs w:val="28"/>
          <w:highlight w:val="none"/>
        </w:rPr>
        <w:footnoteReference w:id="17"/>
      </w:r>
      <w:bookmarkEnd w:id="77"/>
      <w:bookmarkEnd w:id="78"/>
      <w:bookmarkEnd w:id="79"/>
      <w:bookmarkEnd w:id="80"/>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1861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3B04435">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 誉 要 求</w:t>
            </w:r>
          </w:p>
        </w:tc>
      </w:tr>
      <w:tr w14:paraId="6C59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0" w:hRule="atLeast"/>
          <w:jc w:val="center"/>
        </w:trPr>
        <w:tc>
          <w:tcPr>
            <w:tcW w:w="8819" w:type="dxa"/>
            <w:noWrap w:val="0"/>
            <w:vAlign w:val="center"/>
          </w:tcPr>
          <w:p w14:paraId="27AAEADE">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default" w:ascii="宋体" w:hAnsi="宋体" w:eastAsia="宋体" w:cs="宋体"/>
                <w:sz w:val="20"/>
                <w:szCs w:val="20"/>
              </w:rPr>
            </w:pPr>
            <w:r>
              <w:rPr>
                <w:rFonts w:hint="default" w:ascii="宋体" w:hAnsi="宋体" w:eastAsia="宋体" w:cs="宋体"/>
                <w:sz w:val="20"/>
                <w:szCs w:val="20"/>
              </w:rPr>
              <w:t>投标人存在下列不良状况或不良信用记录的，不得参加投标：</w:t>
            </w:r>
          </w:p>
          <w:p w14:paraId="2705B63B">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（1）被省级及以上交通运输主管部门取消招标项目所在地的投标资格且处于有效期内；</w:t>
            </w:r>
          </w:p>
          <w:p w14:paraId="145CB987">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（2）被责令停业，暂扣或吊销执照，或吊销资质证书；</w:t>
            </w:r>
          </w:p>
          <w:p w14:paraId="505CC53A">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（3）进入清算程序，或被宣告破产，或其他丧失履约能力的情形；</w:t>
            </w:r>
          </w:p>
          <w:p w14:paraId="58869EF9">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rPr>
            </w:pPr>
            <w:r>
              <w:rPr>
                <w:rFonts w:hint="eastAsia" w:ascii="宋体" w:hAnsi="宋体" w:eastAsia="宋体" w:cs="宋体"/>
                <w:sz w:val="20"/>
                <w:szCs w:val="20"/>
              </w:rPr>
              <w:t>（4）在国家企业信用信息公示系统（http://www.gsxt.gov.cn）中被列入严重违法失信企业名单；</w:t>
            </w:r>
          </w:p>
          <w:p w14:paraId="224B8F60">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highlight w:val="none"/>
              </w:rPr>
            </w:pPr>
            <w:r>
              <w:rPr>
                <w:rFonts w:hint="eastAsia" w:ascii="宋体" w:hAnsi="宋体" w:eastAsia="宋体" w:cs="宋体"/>
                <w:sz w:val="20"/>
                <w:szCs w:val="20"/>
              </w:rPr>
              <w:t>（5）在“信用中国”网站</w:t>
            </w:r>
            <w:r>
              <w:rPr>
                <w:rFonts w:hint="eastAsia" w:ascii="宋体" w:hAnsi="宋体" w:eastAsia="宋体" w:cs="宋体"/>
                <w:sz w:val="20"/>
                <w:szCs w:val="20"/>
                <w:lang w:eastAsia="zh-CN"/>
              </w:rPr>
              <w:t>（</w:t>
            </w:r>
            <w:r>
              <w:rPr>
                <w:rFonts w:hint="eastAsia" w:ascii="宋体" w:hAnsi="宋体" w:eastAsia="宋体" w:cs="宋体"/>
                <w:sz w:val="20"/>
                <w:szCs w:val="20"/>
              </w:rPr>
              <w:t>http://www.creditchina.gov.cn）（或中国执行信息公开网 ht</w:t>
            </w:r>
            <w:r>
              <w:rPr>
                <w:rFonts w:hint="eastAsia" w:ascii="宋体" w:hAnsi="宋体" w:eastAsia="宋体" w:cs="宋体"/>
                <w:sz w:val="20"/>
                <w:szCs w:val="20"/>
                <w:highlight w:val="none"/>
              </w:rPr>
              <w:t>tp://zxgk.court.gov.cn/shixin/）中被列入失信被执行人名单；</w:t>
            </w:r>
          </w:p>
          <w:p w14:paraId="73222E5B">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default" w:ascii="宋体" w:hAnsi="宋体" w:eastAsia="宋体" w:cs="宋体"/>
                <w:sz w:val="20"/>
                <w:szCs w:val="20"/>
                <w:highlight w:val="yellow"/>
                <w:lang w:val="en-US" w:eastAsia="zh-CN"/>
              </w:rPr>
            </w:pPr>
            <w:r>
              <w:rPr>
                <w:rFonts w:hint="eastAsia" w:ascii="宋体" w:hAnsi="宋体" w:eastAsia="宋体" w:cs="宋体"/>
                <w:sz w:val="20"/>
                <w:szCs w:val="20"/>
                <w:highlight w:val="none"/>
              </w:rPr>
              <w:t>（6）投标人或其法定代表</w:t>
            </w:r>
            <w:r>
              <w:rPr>
                <w:rFonts w:hint="eastAsia" w:ascii="宋体" w:hAnsi="宋体" w:eastAsia="宋体" w:cs="宋体"/>
                <w:sz w:val="20"/>
                <w:szCs w:val="20"/>
              </w:rPr>
              <w:t>人、拟委任的项目</w:t>
            </w:r>
            <w:r>
              <w:rPr>
                <w:rFonts w:hint="eastAsia" w:ascii="宋体" w:hAnsi="宋体" w:eastAsia="宋体" w:cs="宋体"/>
                <w:sz w:val="20"/>
                <w:szCs w:val="20"/>
                <w:lang w:val="en-US" w:eastAsia="zh-CN"/>
              </w:rPr>
              <w:t>经理</w:t>
            </w:r>
            <w:r>
              <w:rPr>
                <w:rFonts w:hint="eastAsia" w:ascii="宋体" w:hAnsi="宋体" w:eastAsia="宋体" w:cs="宋体"/>
                <w:sz w:val="20"/>
                <w:szCs w:val="20"/>
              </w:rPr>
              <w:t>在近三年内有行贿犯罪行为的；</w:t>
            </w:r>
          </w:p>
          <w:p w14:paraId="2CEBB228">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eastAsia" w:ascii="宋体" w:hAnsi="宋体" w:eastAsia="宋体" w:cs="宋体"/>
                <w:sz w:val="20"/>
                <w:szCs w:val="20"/>
                <w:lang w:eastAsia="zh-CN"/>
              </w:rPr>
            </w:pPr>
            <w:r>
              <w:rPr>
                <w:rFonts w:hint="eastAsia" w:ascii="宋体" w:hAnsi="宋体" w:eastAsia="宋体" w:cs="宋体"/>
                <w:sz w:val="20"/>
                <w:szCs w:val="20"/>
              </w:rPr>
              <w:t>（7）投标人财产未被接管或冻结</w:t>
            </w:r>
            <w:r>
              <w:rPr>
                <w:rFonts w:hint="eastAsia" w:ascii="宋体" w:hAnsi="宋体" w:cs="宋体"/>
                <w:sz w:val="20"/>
                <w:szCs w:val="20"/>
                <w:lang w:eastAsia="zh-CN"/>
              </w:rPr>
              <w:t>；</w:t>
            </w:r>
          </w:p>
          <w:p w14:paraId="6E535F23">
            <w:pPr>
              <w:keepNext w:val="0"/>
              <w:keepLines w:val="0"/>
              <w:pageBreakBefore w:val="0"/>
              <w:widowControl/>
              <w:kinsoku w:val="0"/>
              <w:wordWrap/>
              <w:overflowPunct/>
              <w:topLinePunct w:val="0"/>
              <w:autoSpaceDE w:val="0"/>
              <w:autoSpaceDN w:val="0"/>
              <w:bidi w:val="0"/>
              <w:adjustRightInd w:val="0"/>
              <w:snapToGrid w:val="0"/>
              <w:spacing w:line="420" w:lineRule="exact"/>
              <w:ind w:firstLine="400" w:firstLineChars="200"/>
              <w:textAlignment w:val="baseline"/>
              <w:rPr>
                <w:rFonts w:hint="default" w:ascii="Times New Roman" w:hAnsi="Times New Roman" w:cs="Times New Roman"/>
                <w:color w:val="auto"/>
                <w:szCs w:val="21"/>
                <w:highlight w:val="none"/>
              </w:rPr>
            </w:pPr>
            <w:r>
              <w:rPr>
                <w:rFonts w:hint="eastAsia" w:ascii="宋体" w:hAnsi="宋体" w:eastAsia="宋体" w:cs="宋体"/>
                <w:sz w:val="20"/>
                <w:szCs w:val="20"/>
              </w:rPr>
              <w:t>（</w:t>
            </w:r>
            <w:r>
              <w:rPr>
                <w:rFonts w:hint="eastAsia" w:ascii="宋体" w:hAnsi="宋体" w:cs="宋体"/>
                <w:sz w:val="20"/>
                <w:szCs w:val="20"/>
                <w:lang w:val="en-US" w:eastAsia="zh-CN"/>
              </w:rPr>
              <w:t>8</w:t>
            </w:r>
            <w:r>
              <w:rPr>
                <w:rFonts w:hint="eastAsia" w:ascii="宋体" w:hAnsi="宋体" w:eastAsia="宋体" w:cs="宋体"/>
                <w:sz w:val="20"/>
                <w:szCs w:val="20"/>
              </w:rPr>
              <w:t>）法律法规规定的其他情形</w:t>
            </w:r>
            <w:r>
              <w:rPr>
                <w:rFonts w:hint="eastAsia" w:ascii="宋体" w:hAnsi="宋体" w:eastAsia="宋体" w:cs="宋体"/>
                <w:sz w:val="20"/>
                <w:szCs w:val="20"/>
                <w:lang w:eastAsia="zh-CN"/>
              </w:rPr>
              <w:t>。</w:t>
            </w:r>
          </w:p>
        </w:tc>
      </w:tr>
      <w:tr w14:paraId="2CB1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4743F4F8">
            <w:pPr>
              <w:pStyle w:val="93"/>
              <w:keepNext w:val="0"/>
              <w:keepLines w:val="0"/>
              <w:pageBreakBefore w:val="0"/>
              <w:widowControl/>
              <w:kinsoku w:val="0"/>
              <w:wordWrap/>
              <w:overflowPunct/>
              <w:topLinePunct w:val="0"/>
              <w:autoSpaceDE w:val="0"/>
              <w:autoSpaceDN w:val="0"/>
              <w:bidi w:val="0"/>
              <w:adjustRightInd w:val="0"/>
              <w:snapToGrid w:val="0"/>
              <w:spacing w:line="360" w:lineRule="auto"/>
              <w:ind w:right="105" w:rightChars="50"/>
              <w:jc w:val="both"/>
              <w:textAlignment w:val="baseline"/>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注：投标人的信誉情况应提供：</w:t>
            </w:r>
          </w:p>
          <w:p w14:paraId="4447E95D">
            <w:pPr>
              <w:pStyle w:val="93"/>
              <w:keepNext w:val="0"/>
              <w:keepLines w:val="0"/>
              <w:pageBreakBefore w:val="0"/>
              <w:widowControl/>
              <w:kinsoku w:val="0"/>
              <w:wordWrap/>
              <w:overflowPunct/>
              <w:topLinePunct w:val="0"/>
              <w:autoSpaceDE w:val="0"/>
              <w:autoSpaceDN w:val="0"/>
              <w:bidi w:val="0"/>
              <w:adjustRightInd w:val="0"/>
              <w:snapToGrid w:val="0"/>
              <w:spacing w:line="360" w:lineRule="auto"/>
              <w:ind w:left="105" w:leftChars="50" w:right="105" w:rightChars="50" w:firstLine="400" w:firstLineChars="200"/>
              <w:jc w:val="both"/>
              <w:textAlignment w:val="baseline"/>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①投标人在“国家企业信用信息公示系统”网站中未被列入严重违法失信企业名单的网页截图彩色影印件；</w:t>
            </w:r>
          </w:p>
          <w:p w14:paraId="6DFAFAA6">
            <w:pPr>
              <w:pStyle w:val="93"/>
              <w:keepNext w:val="0"/>
              <w:keepLines w:val="0"/>
              <w:pageBreakBefore w:val="0"/>
              <w:widowControl/>
              <w:kinsoku w:val="0"/>
              <w:wordWrap/>
              <w:overflowPunct/>
              <w:topLinePunct w:val="0"/>
              <w:autoSpaceDE w:val="0"/>
              <w:autoSpaceDN w:val="0"/>
              <w:bidi w:val="0"/>
              <w:adjustRightInd w:val="0"/>
              <w:snapToGrid w:val="0"/>
              <w:spacing w:line="360" w:lineRule="auto"/>
              <w:ind w:left="105" w:leftChars="50" w:right="105" w:rightChars="50" w:firstLine="400" w:firstLineChars="200"/>
              <w:jc w:val="both"/>
              <w:textAlignment w:val="baseline"/>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② 投标人在 “信用中国”或“中国执行信息公开网” 网站中未被列入失信被执行人名单的网页截图彩色影印件；</w:t>
            </w:r>
          </w:p>
          <w:p w14:paraId="63E09E51">
            <w:pPr>
              <w:pStyle w:val="93"/>
              <w:keepNext w:val="0"/>
              <w:keepLines w:val="0"/>
              <w:pageBreakBefore w:val="0"/>
              <w:widowControl/>
              <w:kinsoku w:val="0"/>
              <w:wordWrap/>
              <w:overflowPunct/>
              <w:topLinePunct w:val="0"/>
              <w:autoSpaceDE w:val="0"/>
              <w:autoSpaceDN w:val="0"/>
              <w:bidi w:val="0"/>
              <w:adjustRightInd w:val="0"/>
              <w:snapToGrid w:val="0"/>
              <w:spacing w:line="360" w:lineRule="auto"/>
              <w:ind w:left="105" w:leftChars="50" w:right="105" w:rightChars="50" w:firstLine="400" w:firstLineChars="200"/>
              <w:jc w:val="both"/>
              <w:textAlignment w:val="baseline"/>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③ 近三年内(以招标公告发布后的某日为截止日、往前推算3个年度)， 投标人及其法定代表人、 拟委任的项目经理均无行贿犯罪行为证明(行贿犯罪行为的认定以投标人出具的无行贿犯罪承诺书或“中国裁判文书网网站查询记录网页截图彩色影印件” ；         </w:t>
            </w:r>
          </w:p>
          <w:p w14:paraId="16A7D4E0">
            <w:pPr>
              <w:pStyle w:val="93"/>
              <w:keepNext w:val="0"/>
              <w:keepLines w:val="0"/>
              <w:pageBreakBefore w:val="0"/>
              <w:widowControl/>
              <w:kinsoku w:val="0"/>
              <w:wordWrap/>
              <w:overflowPunct/>
              <w:topLinePunct w:val="0"/>
              <w:autoSpaceDE w:val="0"/>
              <w:autoSpaceDN w:val="0"/>
              <w:bidi w:val="0"/>
              <w:adjustRightInd w:val="0"/>
              <w:snapToGrid w:val="0"/>
              <w:spacing w:line="360" w:lineRule="auto"/>
              <w:ind w:right="105" w:rightChars="50" w:firstLine="400" w:firstLineChars="200"/>
              <w:jc w:val="both"/>
              <w:textAlignment w:val="baseline"/>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 ④根据招标文件第三章“评标办法”第2.2.2(3)目中“履约信誉(20分)”评分标准注解(4)的要求，提供证明材料和网页截图的彩色影印件(如需)；</w:t>
            </w:r>
          </w:p>
          <w:p w14:paraId="501CD713">
            <w:pPr>
              <w:pStyle w:val="93"/>
              <w:keepNext w:val="0"/>
              <w:keepLines w:val="0"/>
              <w:pageBreakBefore w:val="0"/>
              <w:widowControl/>
              <w:kinsoku w:val="0"/>
              <w:wordWrap/>
              <w:overflowPunct/>
              <w:topLinePunct w:val="0"/>
              <w:autoSpaceDE w:val="0"/>
              <w:autoSpaceDN w:val="0"/>
              <w:bidi w:val="0"/>
              <w:adjustRightInd w:val="0"/>
              <w:snapToGrid w:val="0"/>
              <w:spacing w:line="360" w:lineRule="auto"/>
              <w:ind w:right="105" w:rightChars="50" w:firstLine="400" w:firstLineChars="200"/>
              <w:jc w:val="both"/>
              <w:textAlignment w:val="baseline"/>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⑤投标人提供的上述证明材料可以从“辽宁省公共资源交易平台交通工程交易系统主体信息库”中选取并进行超链接，关联至投标文件中，也可以在投标文件“第一个信封其他材料”中提供。</w:t>
            </w:r>
          </w:p>
          <w:p w14:paraId="643EFF4D">
            <w:pPr>
              <w:pageBreakBefore w:val="0"/>
              <w:kinsoku/>
              <w:wordWrap w:val="0"/>
              <w:bidi w:val="0"/>
              <w:adjustRightInd w:val="0"/>
              <w:snapToGrid w:val="0"/>
              <w:spacing w:line="400" w:lineRule="atLeast"/>
              <w:jc w:val="both"/>
              <w:rPr>
                <w:rFonts w:hint="default" w:ascii="Times New Roman" w:hAnsi="Times New Roman" w:cs="Times New Roman"/>
                <w:color w:val="auto"/>
                <w:szCs w:val="21"/>
                <w:highlight w:val="none"/>
              </w:rPr>
            </w:pPr>
            <w:r>
              <w:rPr>
                <w:rFonts w:hint="eastAsia" w:ascii="微软雅黑" w:hAnsi="微软雅黑" w:eastAsia="微软雅黑" w:cs="微软雅黑"/>
                <w:color w:val="auto"/>
                <w:szCs w:val="21"/>
                <w:highlight w:val="none"/>
              </w:rPr>
              <w:t>⑥</w:t>
            </w:r>
            <w:r>
              <w:rPr>
                <w:rFonts w:hint="default" w:ascii="Times New Roman" w:hAnsi="Times New Roman" w:cs="Times New Roman"/>
                <w:color w:val="auto"/>
                <w:szCs w:val="21"/>
                <w:highlight w:val="none"/>
              </w:rPr>
              <w:t>财产未被接管或冻结承诺书原件并加盖单位章（格式详见招标文件第九章）以及公告发出后至投标截止日前任意一天投标人基本账户银行支出流水信息截图。</w:t>
            </w:r>
          </w:p>
        </w:tc>
      </w:tr>
    </w:tbl>
    <w:p w14:paraId="5DF1618F">
      <w:pPr>
        <w:rPr>
          <w:rFonts w:hint="default" w:ascii="Times New Roman" w:hAnsi="Times New Roman" w:eastAsia="黑体" w:cs="Times New Roman"/>
          <w:color w:val="auto"/>
          <w:sz w:val="28"/>
          <w:szCs w:val="28"/>
          <w:highlight w:val="none"/>
        </w:rPr>
      </w:pPr>
      <w:bookmarkStart w:id="81" w:name="_Toc27658"/>
      <w:bookmarkStart w:id="82" w:name="_Toc4881"/>
      <w:bookmarkStart w:id="83" w:name="_Toc4102"/>
      <w:bookmarkStart w:id="84" w:name="_Toc234832867"/>
      <w:r>
        <w:rPr>
          <w:rFonts w:hint="default" w:ascii="Times New Roman" w:hAnsi="Times New Roman" w:eastAsia="黑体" w:cs="Times New Roman"/>
          <w:color w:val="auto"/>
          <w:sz w:val="28"/>
          <w:szCs w:val="28"/>
          <w:highlight w:val="none"/>
        </w:rPr>
        <w:br w:type="page"/>
      </w:r>
    </w:p>
    <w:p w14:paraId="558D717D">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附录5  资格审查条件（项目经理和项目总工最低要求）</w:t>
      </w:r>
      <w:r>
        <w:rPr>
          <w:rStyle w:val="47"/>
          <w:rFonts w:hint="default" w:ascii="Times New Roman" w:hAnsi="Times New Roman" w:eastAsia="黑体" w:cs="Times New Roman"/>
          <w:color w:val="auto"/>
          <w:sz w:val="28"/>
          <w:szCs w:val="28"/>
          <w:highlight w:val="none"/>
        </w:rPr>
        <w:footnoteReference w:id="18"/>
      </w:r>
      <w:bookmarkEnd w:id="81"/>
      <w:bookmarkEnd w:id="82"/>
      <w:bookmarkEnd w:id="83"/>
      <w:bookmarkEnd w:id="84"/>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574"/>
        <w:gridCol w:w="6866"/>
        <w:gridCol w:w="792"/>
      </w:tblGrid>
      <w:tr w14:paraId="2293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72" w:type="dxa"/>
            <w:noWrap w:val="0"/>
            <w:vAlign w:val="center"/>
          </w:tcPr>
          <w:p w14:paraId="1A911421">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  员</w:t>
            </w:r>
          </w:p>
        </w:tc>
        <w:tc>
          <w:tcPr>
            <w:tcW w:w="574" w:type="dxa"/>
            <w:noWrap w:val="0"/>
            <w:vAlign w:val="center"/>
          </w:tcPr>
          <w:p w14:paraId="655FBC8F">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 量</w:t>
            </w:r>
          </w:p>
        </w:tc>
        <w:tc>
          <w:tcPr>
            <w:tcW w:w="6866" w:type="dxa"/>
            <w:noWrap w:val="0"/>
            <w:vAlign w:val="center"/>
          </w:tcPr>
          <w:p w14:paraId="21538CAC">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 格 要 求</w:t>
            </w:r>
            <w:r>
              <w:rPr>
                <w:rStyle w:val="47"/>
                <w:rFonts w:hint="default" w:ascii="Times New Roman" w:hAnsi="Times New Roman" w:cs="Times New Roman"/>
                <w:color w:val="auto"/>
                <w:szCs w:val="21"/>
                <w:highlight w:val="none"/>
              </w:rPr>
              <w:footnoteReference w:id="19"/>
            </w:r>
          </w:p>
        </w:tc>
        <w:tc>
          <w:tcPr>
            <w:tcW w:w="792" w:type="dxa"/>
            <w:noWrap w:val="0"/>
            <w:vAlign w:val="center"/>
          </w:tcPr>
          <w:p w14:paraId="75804086">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在岗要求</w:t>
            </w:r>
          </w:p>
        </w:tc>
      </w:tr>
      <w:tr w14:paraId="0269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2" w:hRule="atLeast"/>
          <w:jc w:val="center"/>
        </w:trPr>
        <w:tc>
          <w:tcPr>
            <w:tcW w:w="772" w:type="dxa"/>
            <w:noWrap w:val="0"/>
            <w:vAlign w:val="center"/>
          </w:tcPr>
          <w:p w14:paraId="764648D9">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574" w:type="dxa"/>
            <w:noWrap w:val="0"/>
            <w:vAlign w:val="center"/>
          </w:tcPr>
          <w:p w14:paraId="2BE22129">
            <w:pPr>
              <w:pageBreakBefore w:val="0"/>
              <w:kinsoku/>
              <w:wordWrap w:val="0"/>
              <w:bidi w:val="0"/>
              <w:adjustRightInd w:val="0"/>
              <w:snapToGrid w:val="0"/>
              <w:spacing w:line="30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66" w:type="dxa"/>
            <w:noWrap w:val="0"/>
            <w:vAlign w:val="center"/>
          </w:tcPr>
          <w:p w14:paraId="36E62216">
            <w:pPr>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default" w:ascii="Times New Roman" w:hAnsi="Times New Roman" w:cs="Times New Roman"/>
                <w:color w:val="auto"/>
                <w:szCs w:val="21"/>
                <w:highlight w:val="none"/>
              </w:rPr>
            </w:pPr>
            <w:r>
              <w:rPr>
                <w:rFonts w:hint="eastAsia" w:ascii="宋体" w:hAnsi="宋体" w:eastAsia="宋体" w:cs="宋体"/>
                <w:sz w:val="20"/>
                <w:szCs w:val="20"/>
                <w:highlight w:val="none"/>
              </w:rPr>
              <w:t>具有公路工程专业二级及以上</w:t>
            </w:r>
            <w:r>
              <w:rPr>
                <w:rFonts w:hint="eastAsia" w:ascii="宋体" w:hAnsi="宋体" w:cs="宋体"/>
                <w:sz w:val="20"/>
                <w:szCs w:val="20"/>
                <w:highlight w:val="none"/>
                <w:lang w:val="en-US" w:eastAsia="zh-CN"/>
              </w:rPr>
              <w:t>注册</w:t>
            </w:r>
            <w:r>
              <w:rPr>
                <w:rFonts w:hint="eastAsia" w:ascii="宋体" w:hAnsi="宋体" w:eastAsia="宋体" w:cs="宋体"/>
                <w:sz w:val="20"/>
                <w:szCs w:val="20"/>
                <w:highlight w:val="none"/>
              </w:rPr>
              <w:t>建造师证书且证书目前必须注册在投标人单位，同时具有交通运输行业主管部门颁发的安全生产考核合格“B”类证书并在有效期内且证书目前必须注册在投标人单位。</w:t>
            </w:r>
            <w:r>
              <w:rPr>
                <w:rFonts w:hint="eastAsia" w:ascii="宋体" w:hAnsi="宋体" w:eastAsia="宋体" w:cs="宋体"/>
                <w:sz w:val="20"/>
                <w:szCs w:val="20"/>
                <w:highlight w:val="none"/>
                <w:lang w:val="en-US" w:eastAsia="zh-CN"/>
              </w:rPr>
              <w:t>且该项目经理应在</w:t>
            </w:r>
            <w:r>
              <w:rPr>
                <w:rFonts w:hint="eastAsia" w:ascii="宋体" w:hAnsi="宋体" w:eastAsia="宋体" w:cs="宋体"/>
                <w:sz w:val="20"/>
                <w:szCs w:val="20"/>
                <w:highlight w:val="none"/>
              </w:rPr>
              <w:t>近5年（指交工验收时间为20</w:t>
            </w:r>
            <w:r>
              <w:rPr>
                <w:rFonts w:hint="eastAsia" w:ascii="宋体" w:hAnsi="宋体" w:eastAsia="宋体" w:cs="宋体"/>
                <w:sz w:val="20"/>
                <w:szCs w:val="20"/>
                <w:highlight w:val="none"/>
                <w:lang w:val="en-US" w:eastAsia="zh-CN"/>
              </w:rPr>
              <w:t>2</w:t>
            </w:r>
            <w:r>
              <w:rPr>
                <w:rFonts w:hint="eastAsia" w:ascii="宋体" w:hAnsi="宋体" w:cs="宋体"/>
                <w:sz w:val="20"/>
                <w:szCs w:val="20"/>
                <w:highlight w:val="none"/>
                <w:lang w:val="en-US" w:eastAsia="zh-CN"/>
              </w:rPr>
              <w:t>1</w:t>
            </w:r>
            <w:r>
              <w:rPr>
                <w:rFonts w:hint="eastAsia" w:ascii="宋体" w:hAnsi="宋体" w:eastAsia="宋体" w:cs="宋体"/>
                <w:sz w:val="20"/>
                <w:szCs w:val="20"/>
                <w:highlight w:val="none"/>
              </w:rPr>
              <w:t>年</w:t>
            </w: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月</w:t>
            </w:r>
            <w:r>
              <w:rPr>
                <w:rFonts w:hint="eastAsia" w:ascii="宋体" w:hAnsi="宋体" w:eastAsia="宋体" w:cs="宋体"/>
                <w:sz w:val="20"/>
                <w:szCs w:val="20"/>
                <w:highlight w:val="none"/>
                <w:lang w:val="en-US" w:eastAsia="zh-CN"/>
              </w:rPr>
              <w:t>8</w:t>
            </w:r>
            <w:r>
              <w:rPr>
                <w:rFonts w:hint="eastAsia" w:ascii="宋体" w:hAnsi="宋体" w:eastAsia="宋体" w:cs="宋体"/>
                <w:sz w:val="20"/>
                <w:szCs w:val="20"/>
                <w:highlight w:val="none"/>
              </w:rPr>
              <w:t>日至投标文件递交截止日）内，至少独立</w:t>
            </w:r>
            <w:r>
              <w:rPr>
                <w:rFonts w:hint="eastAsia" w:ascii="宋体" w:hAnsi="宋体" w:eastAsia="宋体" w:cs="宋体"/>
                <w:color w:val="auto"/>
                <w:sz w:val="20"/>
                <w:szCs w:val="20"/>
                <w:highlight w:val="none"/>
              </w:rPr>
              <w:t>完成过1个</w:t>
            </w:r>
            <w:r>
              <w:rPr>
                <w:rFonts w:hint="eastAsia" w:ascii="宋体" w:hAnsi="宋体" w:eastAsia="宋体" w:cs="宋体"/>
                <w:color w:val="auto"/>
                <w:sz w:val="20"/>
                <w:szCs w:val="20"/>
                <w:highlight w:val="none"/>
                <w:lang w:val="en-US" w:eastAsia="zh-CN"/>
              </w:rPr>
              <w:t>单个合同额不少于</w:t>
            </w:r>
            <w:r>
              <w:rPr>
                <w:rFonts w:hint="eastAsia" w:ascii="宋体" w:hAnsi="宋体" w:cs="宋体"/>
                <w:color w:val="auto"/>
                <w:sz w:val="20"/>
                <w:szCs w:val="20"/>
                <w:highlight w:val="none"/>
                <w:lang w:val="en-US" w:eastAsia="zh-CN"/>
              </w:rPr>
              <w:t>400万元</w:t>
            </w:r>
            <w:r>
              <w:rPr>
                <w:rFonts w:hint="eastAsia" w:ascii="宋体" w:hAnsi="宋体" w:eastAsia="宋体" w:cs="宋体"/>
                <w:color w:val="auto"/>
                <w:sz w:val="20"/>
                <w:szCs w:val="20"/>
                <w:highlight w:val="none"/>
              </w:rPr>
              <w:t>的</w:t>
            </w:r>
            <w:r>
              <w:rPr>
                <w:rFonts w:hint="eastAsia" w:ascii="宋体" w:hAnsi="宋体" w:cs="宋体"/>
                <w:color w:val="auto"/>
                <w:sz w:val="20"/>
                <w:szCs w:val="20"/>
                <w:highlight w:val="none"/>
                <w:lang w:val="en-US" w:eastAsia="zh-CN"/>
              </w:rPr>
              <w:t>一</w:t>
            </w:r>
            <w:r>
              <w:rPr>
                <w:rFonts w:hint="eastAsia" w:ascii="宋体" w:hAnsi="宋体" w:eastAsia="宋体" w:cs="宋体"/>
                <w:color w:val="auto"/>
                <w:sz w:val="20"/>
                <w:szCs w:val="20"/>
                <w:highlight w:val="none"/>
              </w:rPr>
              <w:t>级</w:t>
            </w:r>
            <w:r>
              <w:rPr>
                <w:rFonts w:hint="eastAsia" w:ascii="宋体" w:hAnsi="宋体" w:eastAsia="宋体" w:cs="宋体"/>
                <w:sz w:val="20"/>
                <w:szCs w:val="20"/>
                <w:highlight w:val="none"/>
              </w:rPr>
              <w:t>及以上</w:t>
            </w:r>
            <w:r>
              <w:rPr>
                <w:rFonts w:hint="eastAsia" w:ascii="宋体" w:hAnsi="宋体" w:eastAsia="宋体" w:cs="宋体"/>
                <w:sz w:val="20"/>
                <w:szCs w:val="20"/>
                <w:highlight w:val="none"/>
                <w:lang w:eastAsia="zh-CN"/>
              </w:rPr>
              <w:t>等级</w:t>
            </w:r>
            <w:r>
              <w:rPr>
                <w:rFonts w:hint="eastAsia" w:ascii="宋体" w:hAnsi="宋体" w:eastAsia="宋体" w:cs="宋体"/>
                <w:sz w:val="20"/>
                <w:szCs w:val="20"/>
                <w:highlight w:val="none"/>
              </w:rPr>
              <w:t>公路（新建或改扩建或维修改造或修复养护）工程</w:t>
            </w:r>
            <w:r>
              <w:rPr>
                <w:rFonts w:hint="eastAsia" w:ascii="宋体" w:hAnsi="宋体" w:eastAsia="宋体" w:cs="宋体"/>
                <w:sz w:val="20"/>
                <w:szCs w:val="20"/>
                <w:highlight w:val="none"/>
                <w:lang w:eastAsia="zh-CN"/>
              </w:rPr>
              <w:t>（含路面）</w:t>
            </w:r>
            <w:r>
              <w:rPr>
                <w:rFonts w:hint="eastAsia" w:ascii="宋体" w:hAnsi="宋体" w:eastAsia="宋体" w:cs="宋体"/>
                <w:sz w:val="20"/>
                <w:szCs w:val="20"/>
                <w:highlight w:val="none"/>
              </w:rPr>
              <w:t>施工项目，且工程验收</w:t>
            </w:r>
            <w:r>
              <w:rPr>
                <w:rFonts w:hint="eastAsia" w:ascii="宋体" w:hAnsi="宋体" w:eastAsia="宋体" w:cs="宋体"/>
                <w:sz w:val="20"/>
                <w:szCs w:val="20"/>
                <w:highlight w:val="none"/>
                <w:lang w:eastAsia="zh-CN"/>
              </w:rPr>
              <w:t>评定</w:t>
            </w:r>
            <w:r>
              <w:rPr>
                <w:rFonts w:hint="eastAsia" w:ascii="宋体" w:hAnsi="宋体" w:eastAsia="宋体" w:cs="宋体"/>
                <w:sz w:val="20"/>
                <w:szCs w:val="20"/>
                <w:highlight w:val="none"/>
              </w:rPr>
              <w:t>为合格</w:t>
            </w:r>
            <w:r>
              <w:rPr>
                <w:rFonts w:hint="eastAsia" w:ascii="宋体" w:hAnsi="宋体" w:eastAsia="宋体" w:cs="宋体"/>
                <w:sz w:val="20"/>
                <w:szCs w:val="20"/>
                <w:highlight w:val="none"/>
                <w:lang w:eastAsia="zh-CN"/>
              </w:rPr>
              <w:t>或</w:t>
            </w:r>
            <w:r>
              <w:rPr>
                <w:rFonts w:hint="eastAsia" w:ascii="宋体" w:hAnsi="宋体" w:eastAsia="宋体" w:cs="宋体"/>
                <w:sz w:val="20"/>
                <w:szCs w:val="20"/>
                <w:highlight w:val="none"/>
              </w:rPr>
              <w:t>以上等级。</w:t>
            </w:r>
          </w:p>
        </w:tc>
        <w:tc>
          <w:tcPr>
            <w:tcW w:w="792" w:type="dxa"/>
            <w:vMerge w:val="restart"/>
            <w:noWrap w:val="0"/>
            <w:vAlign w:val="center"/>
          </w:tcPr>
          <w:p w14:paraId="2D4B073A">
            <w:pPr>
              <w:pageBreakBefore w:val="0"/>
              <w:kinsoku/>
              <w:wordWrap w:val="0"/>
              <w:bidi w:val="0"/>
              <w:adjustRightInd w:val="0"/>
              <w:snapToGrid w:val="0"/>
              <w:spacing w:line="30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见下注</w:t>
            </w:r>
          </w:p>
        </w:tc>
      </w:tr>
      <w:tr w14:paraId="73A0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7" w:hRule="atLeast"/>
          <w:jc w:val="center"/>
        </w:trPr>
        <w:tc>
          <w:tcPr>
            <w:tcW w:w="772" w:type="dxa"/>
            <w:noWrap w:val="0"/>
            <w:vAlign w:val="center"/>
          </w:tcPr>
          <w:p w14:paraId="0DC270E1">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项目总工</w:t>
            </w:r>
          </w:p>
        </w:tc>
        <w:tc>
          <w:tcPr>
            <w:tcW w:w="574" w:type="dxa"/>
            <w:noWrap w:val="0"/>
            <w:vAlign w:val="center"/>
          </w:tcPr>
          <w:p w14:paraId="745E6FAF">
            <w:pPr>
              <w:pageBreakBefore w:val="0"/>
              <w:kinsoku/>
              <w:wordWrap w:val="0"/>
              <w:bidi w:val="0"/>
              <w:adjustRightInd w:val="0"/>
              <w:snapToGrid w:val="0"/>
              <w:spacing w:line="30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66" w:type="dxa"/>
            <w:noWrap w:val="0"/>
            <w:vAlign w:val="center"/>
          </w:tcPr>
          <w:p w14:paraId="529CB87C">
            <w:pPr>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hint="default" w:ascii="Times New Roman" w:hAnsi="Times New Roman" w:cs="Times New Roman"/>
                <w:color w:val="auto"/>
                <w:szCs w:val="21"/>
                <w:highlight w:val="none"/>
              </w:rPr>
            </w:pPr>
            <w:r>
              <w:rPr>
                <w:rFonts w:hint="eastAsia" w:ascii="宋体" w:hAnsi="宋体" w:eastAsia="宋体" w:cs="宋体"/>
                <w:sz w:val="20"/>
                <w:szCs w:val="20"/>
                <w:highlight w:val="none"/>
              </w:rPr>
              <w:t>具有公路工程相关专业中级以上技术职称。</w:t>
            </w:r>
            <w:r>
              <w:rPr>
                <w:rFonts w:hint="eastAsia" w:ascii="宋体" w:hAnsi="宋体" w:eastAsia="宋体" w:cs="宋体"/>
                <w:sz w:val="20"/>
                <w:szCs w:val="20"/>
                <w:highlight w:val="none"/>
                <w:lang w:val="en-US" w:eastAsia="zh-CN"/>
              </w:rPr>
              <w:t>且该项目</w:t>
            </w:r>
            <w:r>
              <w:rPr>
                <w:rFonts w:hint="eastAsia" w:ascii="宋体" w:hAnsi="宋体" w:cs="宋体"/>
                <w:sz w:val="20"/>
                <w:szCs w:val="20"/>
                <w:highlight w:val="none"/>
                <w:lang w:val="en-US" w:eastAsia="zh-CN"/>
              </w:rPr>
              <w:t>总工</w:t>
            </w:r>
            <w:r>
              <w:rPr>
                <w:rFonts w:hint="eastAsia" w:ascii="宋体" w:hAnsi="宋体" w:eastAsia="宋体" w:cs="宋体"/>
                <w:sz w:val="20"/>
                <w:szCs w:val="20"/>
                <w:highlight w:val="none"/>
                <w:lang w:val="en-US" w:eastAsia="zh-CN"/>
              </w:rPr>
              <w:t>应在</w:t>
            </w:r>
            <w:r>
              <w:rPr>
                <w:rFonts w:hint="eastAsia" w:ascii="宋体" w:hAnsi="宋体" w:eastAsia="宋体" w:cs="宋体"/>
                <w:sz w:val="20"/>
                <w:szCs w:val="20"/>
                <w:highlight w:val="none"/>
              </w:rPr>
              <w:t>近5年（指交工验收时间为20</w:t>
            </w:r>
            <w:r>
              <w:rPr>
                <w:rFonts w:hint="eastAsia" w:ascii="宋体" w:hAnsi="宋体" w:eastAsia="宋体" w:cs="宋体"/>
                <w:sz w:val="20"/>
                <w:szCs w:val="20"/>
                <w:highlight w:val="none"/>
                <w:lang w:val="en-US" w:eastAsia="zh-CN"/>
              </w:rPr>
              <w:t>2</w:t>
            </w:r>
            <w:r>
              <w:rPr>
                <w:rFonts w:hint="eastAsia" w:ascii="宋体" w:hAnsi="宋体" w:cs="宋体"/>
                <w:sz w:val="20"/>
                <w:szCs w:val="20"/>
                <w:highlight w:val="none"/>
                <w:lang w:val="en-US" w:eastAsia="zh-CN"/>
              </w:rPr>
              <w:t>1</w:t>
            </w:r>
            <w:r>
              <w:rPr>
                <w:rFonts w:hint="eastAsia" w:ascii="宋体" w:hAnsi="宋体" w:eastAsia="宋体" w:cs="宋体"/>
                <w:sz w:val="20"/>
                <w:szCs w:val="20"/>
                <w:highlight w:val="none"/>
              </w:rPr>
              <w:t>年</w:t>
            </w:r>
            <w:r>
              <w:rPr>
                <w:rFonts w:hint="eastAsia" w:ascii="宋体" w:hAnsi="宋体" w:cs="宋体"/>
                <w:sz w:val="20"/>
                <w:szCs w:val="20"/>
                <w:highlight w:val="none"/>
                <w:lang w:val="en-US" w:eastAsia="zh-CN"/>
              </w:rPr>
              <w:t>4</w:t>
            </w:r>
            <w:r>
              <w:rPr>
                <w:rFonts w:hint="eastAsia" w:ascii="宋体" w:hAnsi="宋体" w:eastAsia="宋体" w:cs="宋体"/>
                <w:sz w:val="20"/>
                <w:szCs w:val="20"/>
                <w:highlight w:val="none"/>
              </w:rPr>
              <w:t>月</w:t>
            </w:r>
            <w:r>
              <w:rPr>
                <w:rFonts w:hint="eastAsia" w:ascii="宋体" w:hAnsi="宋体" w:eastAsia="宋体" w:cs="宋体"/>
                <w:sz w:val="20"/>
                <w:szCs w:val="20"/>
                <w:highlight w:val="none"/>
                <w:lang w:val="en-US" w:eastAsia="zh-CN"/>
              </w:rPr>
              <w:t>8</w:t>
            </w:r>
            <w:r>
              <w:rPr>
                <w:rFonts w:hint="eastAsia" w:ascii="宋体" w:hAnsi="宋体" w:eastAsia="宋体" w:cs="宋体"/>
                <w:sz w:val="20"/>
                <w:szCs w:val="20"/>
                <w:highlight w:val="none"/>
              </w:rPr>
              <w:t>日至投标文件递交截止日）内，至少独立</w:t>
            </w:r>
            <w:r>
              <w:rPr>
                <w:rFonts w:hint="eastAsia" w:ascii="宋体" w:hAnsi="宋体" w:eastAsia="宋体" w:cs="宋体"/>
                <w:color w:val="auto"/>
                <w:sz w:val="20"/>
                <w:szCs w:val="20"/>
                <w:highlight w:val="none"/>
              </w:rPr>
              <w:t>完成过1个</w:t>
            </w:r>
            <w:r>
              <w:rPr>
                <w:rFonts w:hint="eastAsia" w:ascii="宋体" w:hAnsi="宋体" w:eastAsia="宋体" w:cs="宋体"/>
                <w:color w:val="auto"/>
                <w:sz w:val="20"/>
                <w:szCs w:val="20"/>
                <w:highlight w:val="none"/>
                <w:lang w:val="en-US" w:eastAsia="zh-CN"/>
              </w:rPr>
              <w:t>单个合同额不少于</w:t>
            </w:r>
            <w:r>
              <w:rPr>
                <w:rFonts w:hint="eastAsia" w:ascii="宋体" w:hAnsi="宋体" w:cs="宋体"/>
                <w:color w:val="auto"/>
                <w:sz w:val="20"/>
                <w:szCs w:val="20"/>
                <w:highlight w:val="none"/>
                <w:lang w:val="en-US" w:eastAsia="zh-CN"/>
              </w:rPr>
              <w:t>400万元</w:t>
            </w:r>
            <w:r>
              <w:rPr>
                <w:rFonts w:hint="eastAsia" w:ascii="宋体" w:hAnsi="宋体" w:eastAsia="宋体" w:cs="宋体"/>
                <w:color w:val="auto"/>
                <w:sz w:val="20"/>
                <w:szCs w:val="20"/>
                <w:highlight w:val="none"/>
              </w:rPr>
              <w:t>的</w:t>
            </w:r>
            <w:r>
              <w:rPr>
                <w:rFonts w:hint="eastAsia" w:ascii="宋体" w:hAnsi="宋体" w:cs="宋体"/>
                <w:color w:val="auto"/>
                <w:sz w:val="20"/>
                <w:szCs w:val="20"/>
                <w:highlight w:val="none"/>
                <w:lang w:val="en-US" w:eastAsia="zh-CN"/>
              </w:rPr>
              <w:t>一</w:t>
            </w:r>
            <w:r>
              <w:rPr>
                <w:rFonts w:hint="eastAsia" w:ascii="宋体" w:hAnsi="宋体" w:eastAsia="宋体" w:cs="宋体"/>
                <w:color w:val="auto"/>
                <w:sz w:val="20"/>
                <w:szCs w:val="20"/>
                <w:highlight w:val="none"/>
              </w:rPr>
              <w:t>级</w:t>
            </w:r>
            <w:r>
              <w:rPr>
                <w:rFonts w:hint="eastAsia" w:ascii="宋体" w:hAnsi="宋体" w:eastAsia="宋体" w:cs="宋体"/>
                <w:sz w:val="20"/>
                <w:szCs w:val="20"/>
                <w:highlight w:val="none"/>
              </w:rPr>
              <w:t>及以上</w:t>
            </w:r>
            <w:r>
              <w:rPr>
                <w:rFonts w:hint="eastAsia" w:ascii="宋体" w:hAnsi="宋体" w:eastAsia="宋体" w:cs="宋体"/>
                <w:sz w:val="20"/>
                <w:szCs w:val="20"/>
                <w:highlight w:val="none"/>
                <w:lang w:eastAsia="zh-CN"/>
              </w:rPr>
              <w:t>等级</w:t>
            </w:r>
            <w:r>
              <w:rPr>
                <w:rFonts w:hint="eastAsia" w:ascii="宋体" w:hAnsi="宋体" w:eastAsia="宋体" w:cs="宋体"/>
                <w:sz w:val="20"/>
                <w:szCs w:val="20"/>
                <w:highlight w:val="none"/>
              </w:rPr>
              <w:t>公路（新建或改扩建或维修改造或修复养护）工程</w:t>
            </w:r>
            <w:r>
              <w:rPr>
                <w:rFonts w:hint="eastAsia" w:ascii="宋体" w:hAnsi="宋体" w:eastAsia="宋体" w:cs="宋体"/>
                <w:sz w:val="20"/>
                <w:szCs w:val="20"/>
                <w:highlight w:val="none"/>
                <w:lang w:eastAsia="zh-CN"/>
              </w:rPr>
              <w:t>（含路面）</w:t>
            </w:r>
            <w:r>
              <w:rPr>
                <w:rFonts w:hint="eastAsia" w:ascii="宋体" w:hAnsi="宋体" w:eastAsia="宋体" w:cs="宋体"/>
                <w:sz w:val="20"/>
                <w:szCs w:val="20"/>
                <w:highlight w:val="none"/>
              </w:rPr>
              <w:t>施工项目，且工程验收</w:t>
            </w:r>
            <w:r>
              <w:rPr>
                <w:rFonts w:hint="eastAsia" w:ascii="宋体" w:hAnsi="宋体" w:eastAsia="宋体" w:cs="宋体"/>
                <w:sz w:val="20"/>
                <w:szCs w:val="20"/>
                <w:highlight w:val="none"/>
                <w:lang w:eastAsia="zh-CN"/>
              </w:rPr>
              <w:t>评定</w:t>
            </w:r>
            <w:r>
              <w:rPr>
                <w:rFonts w:hint="eastAsia" w:ascii="宋体" w:hAnsi="宋体" w:eastAsia="宋体" w:cs="宋体"/>
                <w:sz w:val="20"/>
                <w:szCs w:val="20"/>
                <w:highlight w:val="none"/>
              </w:rPr>
              <w:t>为合格</w:t>
            </w:r>
            <w:r>
              <w:rPr>
                <w:rFonts w:hint="eastAsia" w:ascii="宋体" w:hAnsi="宋体" w:eastAsia="宋体" w:cs="宋体"/>
                <w:sz w:val="20"/>
                <w:szCs w:val="20"/>
                <w:highlight w:val="none"/>
                <w:lang w:eastAsia="zh-CN"/>
              </w:rPr>
              <w:t>或</w:t>
            </w:r>
            <w:r>
              <w:rPr>
                <w:rFonts w:hint="eastAsia" w:ascii="宋体" w:hAnsi="宋体" w:eastAsia="宋体" w:cs="宋体"/>
                <w:sz w:val="20"/>
                <w:szCs w:val="20"/>
                <w:highlight w:val="none"/>
              </w:rPr>
              <w:t>以上等级。</w:t>
            </w:r>
          </w:p>
        </w:tc>
        <w:tc>
          <w:tcPr>
            <w:tcW w:w="792" w:type="dxa"/>
            <w:vMerge w:val="continue"/>
            <w:noWrap w:val="0"/>
            <w:vAlign w:val="center"/>
          </w:tcPr>
          <w:p w14:paraId="6877C261">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p>
        </w:tc>
      </w:tr>
      <w:tr w14:paraId="457F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8" w:hRule="atLeast"/>
          <w:jc w:val="center"/>
        </w:trPr>
        <w:tc>
          <w:tcPr>
            <w:tcW w:w="9004" w:type="dxa"/>
            <w:gridSpan w:val="4"/>
            <w:noWrap w:val="0"/>
            <w:vAlign w:val="top"/>
          </w:tcPr>
          <w:p w14:paraId="6DF925BD">
            <w:pPr>
              <w:pageBreakBefore w:val="0"/>
              <w:kinsoku/>
              <w:wordWrap w:val="0"/>
              <w:bidi w:val="0"/>
              <w:adjustRightInd w:val="0"/>
              <w:snapToGrid w:val="0"/>
              <w:spacing w:line="300" w:lineRule="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注：1.投标人应在“辽宁省公共资源交易平台交通工程交易系统主体信息库”中建立信用信息档案，通过电子投标文件制作系统生成，“拟委任的项目经理和项目总工资历表”，投标人应根据资格审查条件提供已录入主体信息库并通过审核的主要人员资格审查资料【身份证、职称证书、建造师证书、安全生产考核合格证书、有社保部门印章的缴费截止时间在投标截止时间所在月份前3个月以内的社保缴费明细（应体现人员的姓名、身份证号（或社保号）、单位名称、参保时间</w:t>
            </w:r>
            <w:r>
              <w:rPr>
                <w:rFonts w:hint="eastAsia" w:ascii="Times New Roman" w:hAnsi="Times New Roman" w:eastAsia="宋体" w:cs="Times New Roman"/>
                <w:color w:val="auto"/>
                <w:sz w:val="18"/>
                <w:szCs w:val="18"/>
                <w:highlight w:val="none"/>
                <w:lang w:val="en-US" w:eastAsia="zh-CN"/>
              </w:rPr>
              <w:t>）等】，上述资料应从主体信息库中选择并在投标文件中形成超链接。</w:t>
            </w:r>
          </w:p>
          <w:p w14:paraId="5C4C2BBE">
            <w:pPr>
              <w:pageBreakBefore w:val="0"/>
              <w:numPr>
                <w:ilvl w:val="0"/>
                <w:numId w:val="3"/>
              </w:numPr>
              <w:kinsoku/>
              <w:wordWrap w:val="0"/>
              <w:bidi w:val="0"/>
              <w:adjustRightInd w:val="0"/>
              <w:snapToGrid w:val="0"/>
              <w:spacing w:line="300" w:lineRule="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主要人员应无在岗项目(指目前未在其他项目上任职，或虽在其他项目上任职但本项目中标后能够从该项目撤离)。如主要人员目前仍在其他项目上任职，则投标人应提供上述人员能够从该 项目撤离的书面承诺(格式详见招标文件第九章“投标文件格式”)。根据《辽宁省公路工程施工现场主要人员履约监督管理办法》(辽交公路规〔2025〕3号)的规定，在“辽宁省交通工程主体信息库”中被设为锁定状态的人员，属于目前有在岗项目，不得参与本次投标，招标人不接受投标人对其"虽在其他项目上任职但本项目中标后能够从该项目撤离"的承诺。</w:t>
            </w:r>
          </w:p>
          <w:p w14:paraId="5956A76C">
            <w:pPr>
              <w:pageBreakBefore w:val="0"/>
              <w:numPr>
                <w:ilvl w:val="0"/>
                <w:numId w:val="3"/>
              </w:numPr>
              <w:kinsoku/>
              <w:wordWrap w:val="0"/>
              <w:bidi w:val="0"/>
              <w:adjustRightInd w:val="0"/>
              <w:snapToGrid w:val="0"/>
              <w:spacing w:line="300" w:lineRule="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18"/>
                <w:szCs w:val="18"/>
                <w:highlight w:val="none"/>
                <w:lang w:val="en-US" w:eastAsia="zh-CN"/>
              </w:rPr>
              <w:t>投标人应仔细检查电子投标文件制作系统生成的资格审查资料各项表格中的信息及相关主体信息库超链接资料的完整性，且应能体现资格评审(或详细评审)中对资质、人员等各项指标的要求， 否则评标委员会将视其资料完整情况决定是否通过初步评审(或是否参与详细评审)。除招标文件中另有规定外，招标人不再接受投标人在电子投标文件制作系统单独提交的相关证明材料作为替代或补充。</w:t>
            </w:r>
          </w:p>
        </w:tc>
      </w:tr>
    </w:tbl>
    <w:p w14:paraId="29673108">
      <w:pPr>
        <w:pStyle w:val="2"/>
        <w:pageBreakBefore w:val="0"/>
        <w:kinsoku/>
        <w:wordWrap w:val="0"/>
        <w:bidi w:val="0"/>
        <w:spacing w:before="240" w:after="240" w:line="240" w:lineRule="atLeast"/>
        <w:jc w:val="both"/>
        <w:rPr>
          <w:rFonts w:hint="default" w:ascii="Times New Roman" w:hAnsi="Times New Roman" w:eastAsia="黑体" w:cs="Times New Roman"/>
          <w:color w:val="auto"/>
          <w:sz w:val="28"/>
          <w:szCs w:val="28"/>
          <w:highlight w:val="none"/>
        </w:rPr>
      </w:pPr>
      <w:bookmarkStart w:id="85" w:name="_Toc234832868"/>
      <w:r>
        <w:rPr>
          <w:rFonts w:hint="default" w:ascii="Times New Roman" w:hAnsi="Times New Roman" w:eastAsia="黑体" w:cs="Times New Roman"/>
          <w:color w:val="auto"/>
          <w:sz w:val="28"/>
          <w:szCs w:val="28"/>
          <w:highlight w:val="none"/>
        </w:rPr>
        <w:br w:type="page"/>
      </w:r>
      <w:bookmarkStart w:id="86" w:name="_Toc31914"/>
      <w:bookmarkStart w:id="87" w:name="_Toc5891"/>
      <w:bookmarkStart w:id="88" w:name="_Toc29411"/>
      <w:r>
        <w:rPr>
          <w:rFonts w:hint="default" w:ascii="Times New Roman" w:hAnsi="Times New Roman" w:eastAsia="黑体" w:cs="Times New Roman"/>
          <w:color w:val="auto"/>
          <w:sz w:val="28"/>
          <w:szCs w:val="28"/>
          <w:highlight w:val="none"/>
        </w:rPr>
        <w:t>附录6  资格审查条件（其他管理和技术人员最低要求）</w:t>
      </w:r>
      <w:r>
        <w:rPr>
          <w:rFonts w:hint="default" w:ascii="Times New Roman" w:hAnsi="Times New Roman" w:eastAsia="黑体" w:cs="Times New Roman"/>
          <w:color w:val="auto"/>
          <w:sz w:val="28"/>
          <w:szCs w:val="28"/>
          <w:highlight w:val="none"/>
          <w:vertAlign w:val="superscript"/>
        </w:rPr>
        <w:footnoteReference w:id="20"/>
      </w:r>
      <w:bookmarkEnd w:id="85"/>
      <w:bookmarkEnd w:id="86"/>
      <w:bookmarkEnd w:id="87"/>
      <w:bookmarkEnd w:id="88"/>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43E0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826" w:type="dxa"/>
            <w:noWrap w:val="0"/>
            <w:vAlign w:val="center"/>
          </w:tcPr>
          <w:p w14:paraId="7FFDED0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1331" w:type="dxa"/>
            <w:noWrap w:val="0"/>
            <w:vAlign w:val="center"/>
          </w:tcPr>
          <w:p w14:paraId="483669A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5847" w:type="dxa"/>
            <w:noWrap w:val="0"/>
            <w:vAlign w:val="center"/>
          </w:tcPr>
          <w:p w14:paraId="68812CD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0AF4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shd w:val="clear" w:color="auto" w:fill="auto"/>
            <w:noWrap w:val="0"/>
            <w:vAlign w:val="center"/>
          </w:tcPr>
          <w:p w14:paraId="70229542">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生产负责人</w:t>
            </w:r>
          </w:p>
        </w:tc>
        <w:tc>
          <w:tcPr>
            <w:tcW w:w="1331" w:type="dxa"/>
            <w:shd w:val="clear" w:color="auto" w:fill="auto"/>
            <w:noWrap w:val="0"/>
            <w:vAlign w:val="center"/>
          </w:tcPr>
          <w:p w14:paraId="6D68E0AF">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5847" w:type="dxa"/>
            <w:shd w:val="clear" w:color="auto" w:fill="auto"/>
            <w:noWrap w:val="0"/>
            <w:vAlign w:val="center"/>
          </w:tcPr>
          <w:p w14:paraId="47E0C5BF">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具有道桥相关专业中专及以上学历，从事公路施工管理</w:t>
            </w:r>
            <w:r>
              <w:rPr>
                <w:rFonts w:hint="eastAsia" w:ascii="仿宋" w:hAnsi="仿宋" w:eastAsia="仿宋" w:cs="仿宋"/>
                <w:sz w:val="24"/>
                <w:szCs w:val="24"/>
                <w:highlight w:val="none"/>
                <w:lang w:val="en-US" w:eastAsia="zh-CN"/>
              </w:rPr>
              <w:t xml:space="preserve"> 3 </w:t>
            </w:r>
            <w:r>
              <w:rPr>
                <w:rFonts w:hint="eastAsia" w:ascii="仿宋" w:hAnsi="仿宋" w:eastAsia="仿宋" w:cs="仿宋"/>
                <w:sz w:val="24"/>
                <w:szCs w:val="24"/>
                <w:highlight w:val="none"/>
              </w:rPr>
              <w:t>年以上工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经历，具备类似工程施工经验，曾担任过类似工程的生产负责人。</w:t>
            </w:r>
          </w:p>
        </w:tc>
      </w:tr>
      <w:tr w14:paraId="2CED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shd w:val="clear" w:color="auto" w:fill="auto"/>
            <w:noWrap w:val="0"/>
            <w:vAlign w:val="center"/>
          </w:tcPr>
          <w:p w14:paraId="0F7C6E94">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质量管理负责人</w:t>
            </w:r>
          </w:p>
        </w:tc>
        <w:tc>
          <w:tcPr>
            <w:tcW w:w="1331" w:type="dxa"/>
            <w:shd w:val="clear" w:color="auto" w:fill="auto"/>
            <w:noWrap w:val="0"/>
            <w:vAlign w:val="center"/>
          </w:tcPr>
          <w:p w14:paraId="7C0D60AF">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5847" w:type="dxa"/>
            <w:shd w:val="clear" w:color="auto" w:fill="auto"/>
            <w:noWrap w:val="0"/>
            <w:vAlign w:val="center"/>
          </w:tcPr>
          <w:p w14:paraId="5D94DB77">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相关专业中级及以上职称</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从事公路施工技术管理</w:t>
            </w:r>
            <w:r>
              <w:rPr>
                <w:rFonts w:hint="eastAsia" w:ascii="仿宋" w:hAnsi="仿宋" w:eastAsia="仿宋" w:cs="仿宋"/>
                <w:sz w:val="24"/>
                <w:szCs w:val="24"/>
                <w:highlight w:val="none"/>
                <w:lang w:val="en-US" w:eastAsia="zh-CN"/>
              </w:rPr>
              <w:t xml:space="preserve"> 3</w:t>
            </w:r>
            <w:r>
              <w:rPr>
                <w:rFonts w:hint="eastAsia" w:ascii="仿宋" w:hAnsi="仿宋" w:eastAsia="仿宋" w:cs="仿宋"/>
                <w:sz w:val="24"/>
                <w:szCs w:val="24"/>
                <w:highlight w:val="none"/>
              </w:rPr>
              <w:t>年以上工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w:t>
            </w:r>
          </w:p>
        </w:tc>
      </w:tr>
      <w:tr w14:paraId="0E69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shd w:val="clear" w:color="auto" w:fill="auto"/>
            <w:noWrap w:val="0"/>
            <w:vAlign w:val="center"/>
          </w:tcPr>
          <w:p w14:paraId="0C883F0A">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计量</w:t>
            </w:r>
            <w:r>
              <w:rPr>
                <w:rFonts w:hint="eastAsia" w:ascii="仿宋" w:hAnsi="仿宋" w:eastAsia="仿宋" w:cs="仿宋"/>
                <w:sz w:val="24"/>
                <w:szCs w:val="24"/>
                <w:highlight w:val="none"/>
              </w:rPr>
              <w:t>负责人</w:t>
            </w:r>
          </w:p>
        </w:tc>
        <w:tc>
          <w:tcPr>
            <w:tcW w:w="1331" w:type="dxa"/>
            <w:shd w:val="clear" w:color="auto" w:fill="auto"/>
            <w:noWrap w:val="0"/>
            <w:vAlign w:val="center"/>
          </w:tcPr>
          <w:p w14:paraId="0768791E">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5847" w:type="dxa"/>
            <w:shd w:val="clear" w:color="auto" w:fill="auto"/>
            <w:noWrap w:val="0"/>
            <w:vAlign w:val="center"/>
          </w:tcPr>
          <w:p w14:paraId="574AC1C6">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具有</w:t>
            </w:r>
            <w:r>
              <w:rPr>
                <w:rFonts w:hint="eastAsia" w:ascii="仿宋" w:hAnsi="仿宋" w:eastAsia="仿宋" w:cs="仿宋"/>
                <w:sz w:val="24"/>
                <w:szCs w:val="24"/>
                <w:highlight w:val="none"/>
                <w:lang w:val="en-US" w:eastAsia="zh-CN"/>
              </w:rPr>
              <w:t>注册造价工程师资质</w:t>
            </w:r>
            <w:r>
              <w:rPr>
                <w:rFonts w:hint="eastAsia" w:ascii="仿宋" w:hAnsi="仿宋" w:eastAsia="仿宋" w:cs="仿宋"/>
                <w:sz w:val="24"/>
                <w:szCs w:val="24"/>
                <w:highlight w:val="none"/>
              </w:rPr>
              <w:t>，至少有</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年的专业工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w:t>
            </w:r>
          </w:p>
        </w:tc>
      </w:tr>
      <w:tr w14:paraId="7FCF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4270FA">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专职安全生产管理人员</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20C4A6">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58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7C9B4A">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相关专业初级以上技术职称，负责类似工程施工安全生产工作</w:t>
            </w:r>
            <w:r>
              <w:rPr>
                <w:rFonts w:hint="eastAsia" w:ascii="仿宋" w:hAnsi="仿宋" w:eastAsia="仿宋" w:cs="仿宋"/>
                <w:sz w:val="24"/>
                <w:szCs w:val="24"/>
                <w:highlight w:val="none"/>
                <w:lang w:val="en-US" w:eastAsia="zh-CN"/>
              </w:rPr>
              <w:t xml:space="preserve"> 3</w:t>
            </w:r>
            <w:r>
              <w:rPr>
                <w:rFonts w:hint="eastAsia" w:ascii="仿宋" w:hAnsi="仿宋" w:eastAsia="仿宋" w:cs="仿宋"/>
                <w:sz w:val="24"/>
                <w:szCs w:val="24"/>
                <w:highlight w:val="none"/>
              </w:rPr>
              <w:t>年以上工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经历，持有安全生产考核C类合格证书并在有效期内。</w:t>
            </w:r>
          </w:p>
        </w:tc>
      </w:tr>
      <w:tr w14:paraId="5C5B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93A77C0">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Times New Roman" w:hAnsi="Times New Roman" w:cs="Times New Roman"/>
                <w:color w:val="auto"/>
                <w:sz w:val="24"/>
                <w:highlight w:val="none"/>
              </w:rPr>
            </w:pPr>
            <w:r>
              <w:rPr>
                <w:rFonts w:hint="eastAsia" w:ascii="仿宋" w:hAnsi="仿宋" w:eastAsia="仿宋" w:cs="仿宋"/>
                <w:sz w:val="24"/>
                <w:szCs w:val="24"/>
                <w:highlight w:val="none"/>
                <w:lang w:val="en-US" w:eastAsia="zh-CN"/>
              </w:rPr>
              <w:t>试验检测师</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1AA9FE6">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eastAsia" w:ascii="Times New Roman" w:hAnsi="Times New Roman" w:eastAsia="宋体" w:cs="Times New Roman"/>
                <w:color w:val="auto"/>
                <w:sz w:val="24"/>
                <w:highlight w:val="none"/>
                <w:lang w:val="en-US" w:eastAsia="zh-CN"/>
              </w:rPr>
            </w:pPr>
            <w:r>
              <w:rPr>
                <w:rFonts w:hint="eastAsia" w:ascii="仿宋" w:hAnsi="仿宋" w:eastAsia="仿宋" w:cs="仿宋"/>
                <w:sz w:val="24"/>
                <w:szCs w:val="24"/>
                <w:highlight w:val="none"/>
                <w:lang w:val="en-US" w:eastAsia="zh-CN"/>
              </w:rPr>
              <w:t>1</w:t>
            </w: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DB36E72">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Times New Roman" w:hAnsi="Times New Roman" w:cs="Times New Roman"/>
                <w:color w:val="auto"/>
                <w:sz w:val="24"/>
                <w:highlight w:val="none"/>
              </w:rPr>
            </w:pPr>
            <w:r>
              <w:rPr>
                <w:rFonts w:hint="eastAsia" w:ascii="仿宋" w:hAnsi="仿宋" w:eastAsia="仿宋" w:cs="仿宋"/>
                <w:sz w:val="24"/>
                <w:szCs w:val="24"/>
                <w:highlight w:val="none"/>
                <w:lang w:val="en-US" w:eastAsia="zh-CN"/>
              </w:rPr>
              <w:t>公路水运工程试验检测师(道路工程)</w:t>
            </w:r>
          </w:p>
        </w:tc>
      </w:tr>
      <w:tr w14:paraId="7EFC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4EB957">
            <w:pPr>
              <w:pageBreakBefore w:val="0"/>
              <w:kinsoku/>
              <w:wordWrap w:val="0"/>
              <w:bidi w:val="0"/>
              <w:spacing w:line="40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ascii="仿宋" w:hAnsi="仿宋" w:eastAsia="仿宋" w:cs="仿宋"/>
                <w:sz w:val="24"/>
                <w:szCs w:val="24"/>
                <w:highlight w:val="none"/>
              </w:rPr>
              <w:t>内业</w:t>
            </w:r>
            <w:r>
              <w:rPr>
                <w:rFonts w:hint="eastAsia" w:ascii="仿宋" w:hAnsi="仿宋" w:eastAsia="仿宋" w:cs="仿宋"/>
                <w:sz w:val="24"/>
                <w:szCs w:val="24"/>
                <w:highlight w:val="none"/>
                <w:lang w:val="en-US" w:eastAsia="zh-CN"/>
              </w:rPr>
              <w:t>管理</w:t>
            </w:r>
            <w:r>
              <w:rPr>
                <w:rFonts w:hint="eastAsia" w:ascii="仿宋" w:hAnsi="仿宋" w:eastAsia="仿宋" w:cs="仿宋"/>
                <w:sz w:val="24"/>
                <w:szCs w:val="24"/>
                <w:highlight w:val="none"/>
              </w:rPr>
              <w:t>负责人</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1E825A">
            <w:pPr>
              <w:pageBreakBefore w:val="0"/>
              <w:kinsoku/>
              <w:wordWrap w:val="0"/>
              <w:bidi w:val="0"/>
              <w:adjustRightInd w:val="0"/>
              <w:snapToGrid w:val="0"/>
              <w:spacing w:line="400" w:lineRule="atLeas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highlight w:val="none"/>
                <w:lang w:val="en-US" w:eastAsia="zh-CN"/>
              </w:rPr>
              <w:t>1</w:t>
            </w:r>
          </w:p>
        </w:tc>
        <w:tc>
          <w:tcPr>
            <w:tcW w:w="58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997FFD">
            <w:pPr>
              <w:pageBreakBefore w:val="0"/>
              <w:kinsoku/>
              <w:wordWrap w:val="0"/>
              <w:bidi w:val="0"/>
              <w:spacing w:line="400" w:lineRule="atLeast"/>
              <w:rPr>
                <w:rFonts w:hint="default" w:ascii="Times New Roman" w:hAnsi="Times New Roman" w:eastAsia="宋体" w:cs="Times New Roman"/>
                <w:color w:val="auto"/>
                <w:kern w:val="2"/>
                <w:sz w:val="24"/>
                <w:szCs w:val="24"/>
                <w:highlight w:val="none"/>
                <w:lang w:val="en-US" w:eastAsia="zh-CN" w:bidi="ar-SA"/>
              </w:rPr>
            </w:pPr>
            <w:r>
              <w:rPr>
                <w:rFonts w:hint="eastAsia" w:ascii="仿宋" w:hAnsi="仿宋" w:eastAsia="仿宋" w:cs="仿宋"/>
                <w:sz w:val="24"/>
                <w:szCs w:val="24"/>
                <w:highlight w:val="none"/>
              </w:rPr>
              <w:t>具有相关专业中级及以上技术职称，至少有</w:t>
            </w:r>
            <w:r>
              <w:rPr>
                <w:rFonts w:hint="eastAsia" w:ascii="仿宋" w:hAnsi="仿宋" w:eastAsia="仿宋" w:cs="仿宋"/>
                <w:sz w:val="24"/>
                <w:szCs w:val="24"/>
                <w:highlight w:val="none"/>
                <w:lang w:val="en-US" w:eastAsia="zh-CN"/>
              </w:rPr>
              <w:t xml:space="preserve"> 3</w:t>
            </w:r>
            <w:r>
              <w:rPr>
                <w:rFonts w:hint="eastAsia" w:ascii="仿宋" w:hAnsi="仿宋" w:eastAsia="仿宋" w:cs="仿宋"/>
                <w:sz w:val="24"/>
                <w:szCs w:val="24"/>
                <w:highlight w:val="none"/>
              </w:rPr>
              <w:t>年的专业工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w:t>
            </w:r>
          </w:p>
        </w:tc>
      </w:tr>
      <w:tr w14:paraId="5B4E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B7C716">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8D60A">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p>
        </w:tc>
        <w:tc>
          <w:tcPr>
            <w:tcW w:w="58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1D1D1C">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p>
        </w:tc>
      </w:tr>
      <w:tr w14:paraId="792C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34E2D66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815C0F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16728D0">
            <w:pPr>
              <w:pageBreakBefore w:val="0"/>
              <w:kinsoku/>
              <w:wordWrap w:val="0"/>
              <w:bidi w:val="0"/>
              <w:spacing w:line="400" w:lineRule="atLeast"/>
              <w:rPr>
                <w:rFonts w:hint="default" w:ascii="Times New Roman" w:hAnsi="Times New Roman" w:cs="Times New Roman"/>
                <w:color w:val="auto"/>
                <w:sz w:val="24"/>
                <w:highlight w:val="none"/>
              </w:rPr>
            </w:pPr>
          </w:p>
        </w:tc>
      </w:tr>
      <w:tr w14:paraId="2079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5E2FECE">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72337B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49A77E7">
            <w:pPr>
              <w:pageBreakBefore w:val="0"/>
              <w:kinsoku/>
              <w:wordWrap w:val="0"/>
              <w:bidi w:val="0"/>
              <w:spacing w:line="400" w:lineRule="atLeast"/>
              <w:rPr>
                <w:rFonts w:hint="default" w:ascii="Times New Roman" w:hAnsi="Times New Roman" w:cs="Times New Roman"/>
                <w:color w:val="auto"/>
                <w:sz w:val="24"/>
                <w:highlight w:val="none"/>
              </w:rPr>
            </w:pPr>
          </w:p>
        </w:tc>
      </w:tr>
      <w:tr w14:paraId="7F98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jc w:val="center"/>
        </w:trPr>
        <w:tc>
          <w:tcPr>
            <w:tcW w:w="9004" w:type="dxa"/>
            <w:gridSpan w:val="3"/>
            <w:tcBorders>
              <w:top w:val="single" w:color="auto" w:sz="4" w:space="0"/>
              <w:left w:val="single" w:color="auto" w:sz="4" w:space="0"/>
              <w:bottom w:val="single" w:color="auto" w:sz="4" w:space="0"/>
              <w:right w:val="single" w:color="auto" w:sz="4" w:space="0"/>
            </w:tcBorders>
            <w:noWrap w:val="0"/>
            <w:vAlign w:val="top"/>
          </w:tcPr>
          <w:p w14:paraId="770A27A1">
            <w:pPr>
              <w:pageBreakBefore w:val="0"/>
              <w:kinsoku/>
              <w:wordWrap w:val="0"/>
              <w:bidi w:val="0"/>
              <w:spacing w:line="400" w:lineRule="atLeast"/>
              <w:rPr>
                <w:rFonts w:hint="eastAsia" w:cs="Times New Roman"/>
                <w:color w:val="auto"/>
                <w:sz w:val="24"/>
                <w:highlight w:val="none"/>
                <w:lang w:val="en-US" w:eastAsia="zh-CN"/>
              </w:rPr>
            </w:pPr>
            <w:r>
              <w:rPr>
                <w:rFonts w:hint="eastAsia" w:cs="Times New Roman"/>
                <w:color w:val="auto"/>
                <w:sz w:val="24"/>
                <w:highlight w:val="none"/>
                <w:lang w:val="en-US" w:eastAsia="zh-CN"/>
              </w:rPr>
              <w:t>注：</w:t>
            </w:r>
            <w:r>
              <w:rPr>
                <w:rFonts w:hint="eastAsia" w:ascii="仿宋" w:hAnsi="仿宋" w:eastAsia="仿宋" w:cs="仿宋"/>
                <w:spacing w:val="-17"/>
              </w:rPr>
              <w:t>上述人员应是投标人自有，具体人选由中标人在进行合同谈判之前确定，并应向招标人报送人员身份证、职称证、相关资格证书等的彩色影印件。如中标人派驻的人员数量和资格条件不满足本表要求，招标人将取消其中标资格。上述人员经招标人审批后作为派驻本标段的项目管理机构主要人员，原则上不允许更换。</w:t>
            </w:r>
          </w:p>
        </w:tc>
      </w:tr>
    </w:tbl>
    <w:p w14:paraId="79E01B8D">
      <w:pPr>
        <w:pageBreakBefore w:val="0"/>
        <w:kinsoku/>
        <w:wordWrap w:val="0"/>
        <w:bidi w:val="0"/>
        <w:adjustRightInd w:val="0"/>
        <w:snapToGrid w:val="0"/>
        <w:spacing w:line="400" w:lineRule="atLeast"/>
        <w:jc w:val="center"/>
        <w:rPr>
          <w:rFonts w:hint="default" w:ascii="Times New Roman" w:hAnsi="Times New Roman" w:eastAsia="黑体" w:cs="Times New Roman"/>
          <w:color w:val="auto"/>
          <w:sz w:val="24"/>
          <w:highlight w:val="none"/>
        </w:rPr>
      </w:pPr>
    </w:p>
    <w:p w14:paraId="5BF88126">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89" w:name="_Toc29351"/>
      <w:bookmarkStart w:id="90" w:name="_Toc234832869"/>
      <w:bookmarkStart w:id="91" w:name="_Toc11147"/>
      <w:bookmarkStart w:id="92" w:name="_Toc31451"/>
      <w:r>
        <w:rPr>
          <w:rFonts w:hint="default" w:ascii="Times New Roman" w:hAnsi="Times New Roman" w:eastAsia="黑体" w:cs="Times New Roman"/>
          <w:color w:val="auto"/>
          <w:sz w:val="28"/>
          <w:szCs w:val="28"/>
          <w:highlight w:val="none"/>
        </w:rPr>
        <w:t>附录7  资格审查条件（主要机械设备和试验检测设备最低要求）</w:t>
      </w:r>
      <w:r>
        <w:rPr>
          <w:rFonts w:hint="default" w:ascii="Times New Roman" w:hAnsi="Times New Roman" w:eastAsia="黑体" w:cs="Times New Roman"/>
          <w:color w:val="auto"/>
          <w:sz w:val="28"/>
          <w:szCs w:val="28"/>
          <w:highlight w:val="none"/>
          <w:vertAlign w:val="superscript"/>
        </w:rPr>
        <w:footnoteReference w:id="21"/>
      </w:r>
      <w:bookmarkEnd w:id="89"/>
      <w:bookmarkEnd w:id="90"/>
      <w:bookmarkEnd w:id="91"/>
      <w:bookmarkEnd w:id="9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4764"/>
        <w:gridCol w:w="622"/>
        <w:gridCol w:w="1406"/>
      </w:tblGrid>
      <w:tr w14:paraId="624A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32F947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4764" w:type="dxa"/>
            <w:noWrap w:val="0"/>
            <w:vAlign w:val="center"/>
          </w:tcPr>
          <w:p w14:paraId="65EFBA7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622" w:type="dxa"/>
            <w:noWrap w:val="0"/>
            <w:vAlign w:val="center"/>
          </w:tcPr>
          <w:p w14:paraId="19B165F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1406" w:type="dxa"/>
            <w:noWrap w:val="0"/>
            <w:vAlign w:val="center"/>
          </w:tcPr>
          <w:p w14:paraId="75B0810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5A36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shd w:val="clear" w:color="auto" w:fill="auto"/>
            <w:noWrap w:val="0"/>
            <w:vAlign w:val="center"/>
          </w:tcPr>
          <w:p w14:paraId="69BFF4B9">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沥青混凝土摊铺机</w:t>
            </w:r>
          </w:p>
        </w:tc>
        <w:tc>
          <w:tcPr>
            <w:tcW w:w="4764" w:type="dxa"/>
            <w:shd w:val="clear" w:color="auto" w:fill="auto"/>
            <w:noWrap w:val="0"/>
            <w:vAlign w:val="center"/>
          </w:tcPr>
          <w:p w14:paraId="2BF853A6">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622" w:type="dxa"/>
            <w:shd w:val="clear" w:color="auto" w:fill="auto"/>
            <w:noWrap w:val="0"/>
            <w:vAlign w:val="center"/>
          </w:tcPr>
          <w:p w14:paraId="0564CB78">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406" w:type="dxa"/>
            <w:shd w:val="clear" w:color="auto" w:fill="auto"/>
            <w:noWrap w:val="0"/>
            <w:vAlign w:val="center"/>
          </w:tcPr>
          <w:p w14:paraId="70F9A99C">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2</w:t>
            </w:r>
          </w:p>
        </w:tc>
      </w:tr>
      <w:tr w14:paraId="1890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shd w:val="clear" w:color="auto" w:fill="auto"/>
            <w:noWrap w:val="0"/>
            <w:vAlign w:val="center"/>
          </w:tcPr>
          <w:p w14:paraId="3D37972F">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双驱双振压路机</w:t>
            </w:r>
          </w:p>
        </w:tc>
        <w:tc>
          <w:tcPr>
            <w:tcW w:w="4764" w:type="dxa"/>
            <w:shd w:val="clear" w:color="auto" w:fill="auto"/>
            <w:noWrap w:val="0"/>
            <w:vAlign w:val="center"/>
          </w:tcPr>
          <w:p w14:paraId="4917430B">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622" w:type="dxa"/>
            <w:shd w:val="clear" w:color="auto" w:fill="auto"/>
            <w:noWrap w:val="0"/>
            <w:vAlign w:val="center"/>
          </w:tcPr>
          <w:p w14:paraId="1CE3F5F7">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406" w:type="dxa"/>
            <w:shd w:val="clear" w:color="auto" w:fill="auto"/>
            <w:noWrap w:val="0"/>
            <w:vAlign w:val="center"/>
          </w:tcPr>
          <w:p w14:paraId="3495C7ED">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2</w:t>
            </w:r>
          </w:p>
        </w:tc>
      </w:tr>
      <w:tr w14:paraId="7C74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shd w:val="clear" w:color="auto" w:fill="auto"/>
            <w:noWrap w:val="0"/>
            <w:vAlign w:val="center"/>
          </w:tcPr>
          <w:p w14:paraId="3578FE82">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胶轮压路机</w:t>
            </w:r>
          </w:p>
        </w:tc>
        <w:tc>
          <w:tcPr>
            <w:tcW w:w="4764" w:type="dxa"/>
            <w:shd w:val="clear" w:color="auto" w:fill="auto"/>
            <w:noWrap w:val="0"/>
            <w:vAlign w:val="center"/>
          </w:tcPr>
          <w:p w14:paraId="7F55B627">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622" w:type="dxa"/>
            <w:shd w:val="clear" w:color="auto" w:fill="auto"/>
            <w:noWrap w:val="0"/>
            <w:vAlign w:val="center"/>
          </w:tcPr>
          <w:p w14:paraId="604DC700">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406" w:type="dxa"/>
            <w:shd w:val="clear" w:color="auto" w:fill="auto"/>
            <w:noWrap w:val="0"/>
            <w:vAlign w:val="center"/>
          </w:tcPr>
          <w:p w14:paraId="2C822510">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2</w:t>
            </w:r>
          </w:p>
        </w:tc>
      </w:tr>
      <w:tr w14:paraId="7598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shd w:val="clear" w:color="auto" w:fill="auto"/>
            <w:noWrap w:val="0"/>
            <w:vAlign w:val="center"/>
          </w:tcPr>
          <w:p w14:paraId="531401CB">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铣刨机</w:t>
            </w:r>
          </w:p>
        </w:tc>
        <w:tc>
          <w:tcPr>
            <w:tcW w:w="4764" w:type="dxa"/>
            <w:shd w:val="clear" w:color="auto" w:fill="auto"/>
            <w:noWrap w:val="0"/>
            <w:vAlign w:val="center"/>
          </w:tcPr>
          <w:p w14:paraId="7C01BBF9">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622" w:type="dxa"/>
            <w:shd w:val="clear" w:color="auto" w:fill="auto"/>
            <w:noWrap w:val="0"/>
            <w:vAlign w:val="center"/>
          </w:tcPr>
          <w:p w14:paraId="2C1EE2F0">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406" w:type="dxa"/>
            <w:shd w:val="clear" w:color="auto" w:fill="auto"/>
            <w:noWrap w:val="0"/>
            <w:vAlign w:val="center"/>
          </w:tcPr>
          <w:p w14:paraId="5AD60B8C">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r>
      <w:tr w14:paraId="40F6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shd w:val="clear" w:color="auto" w:fill="auto"/>
            <w:noWrap w:val="0"/>
            <w:vAlign w:val="center"/>
          </w:tcPr>
          <w:p w14:paraId="35E52FA7">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沥青混凝土拌合站</w:t>
            </w:r>
          </w:p>
        </w:tc>
        <w:tc>
          <w:tcPr>
            <w:tcW w:w="4764" w:type="dxa"/>
            <w:shd w:val="clear" w:color="auto" w:fill="auto"/>
            <w:noWrap w:val="0"/>
            <w:vAlign w:val="center"/>
          </w:tcPr>
          <w:p w14:paraId="74F278D6">
            <w:pPr>
              <w:keepNext w:val="0"/>
              <w:keepLines w:val="0"/>
              <w:pageBreakBefore w:val="0"/>
              <w:widowControl/>
              <w:kinsoku w:val="0"/>
              <w:wordWrap/>
              <w:overflowPunct/>
              <w:topLinePunct w:val="0"/>
              <w:autoSpaceDE w:val="0"/>
              <w:autoSpaceDN w:val="0"/>
              <w:bidi w:val="0"/>
              <w:adjustRightInd w:val="0"/>
              <w:snapToGrid w:val="0"/>
              <w:ind w:left="105" w:leftChars="50"/>
              <w:jc w:val="left"/>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bCs/>
                <w:sz w:val="24"/>
                <w:szCs w:val="24"/>
                <w:highlight w:val="none"/>
              </w:rPr>
              <w:t>一般要求：根据《辽宁省交通运输厅关于全省公路沥青拌和站加快办理环保审批手续的通知》（辽交财审发[2019]254号）要求，沥青拌合站必须取得环保部门的审批手续；拌和设备产能满足工期要求，具备匹配满足产能需求的沥青和改性沥青存储装置，具备技术监督部门标定的载重称重装置（地中衡），具有满足规范要求的沥青及沥青混合料试验检测能力的试验室，具备经技术监督部门标定的相关试化验检测仪器和相应检测资质的试化验人员，能够完成满足部颁规范要求的沥青混凝土配合比设计，能够独立完成生产配合比试验和验证，能够达到规范规定的自检和频次要求。</w:t>
            </w:r>
          </w:p>
        </w:tc>
        <w:tc>
          <w:tcPr>
            <w:tcW w:w="622" w:type="dxa"/>
            <w:shd w:val="clear" w:color="auto" w:fill="auto"/>
            <w:noWrap w:val="0"/>
            <w:vAlign w:val="center"/>
          </w:tcPr>
          <w:p w14:paraId="68960870">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座</w:t>
            </w:r>
          </w:p>
        </w:tc>
        <w:tc>
          <w:tcPr>
            <w:tcW w:w="1406" w:type="dxa"/>
            <w:shd w:val="clear" w:color="auto" w:fill="auto"/>
            <w:noWrap w:val="0"/>
            <w:vAlign w:val="center"/>
          </w:tcPr>
          <w:p w14:paraId="14E0A915">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r>
      <w:tr w14:paraId="46C8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2" w:hRule="atLeast"/>
          <w:jc w:val="center"/>
        </w:trPr>
        <w:tc>
          <w:tcPr>
            <w:tcW w:w="8696" w:type="dxa"/>
            <w:gridSpan w:val="4"/>
            <w:tcBorders>
              <w:top w:val="single" w:color="auto" w:sz="4" w:space="0"/>
              <w:left w:val="single" w:color="auto" w:sz="4" w:space="0"/>
              <w:bottom w:val="single" w:color="auto" w:sz="4" w:space="0"/>
              <w:right w:val="single" w:color="auto" w:sz="4" w:space="0"/>
            </w:tcBorders>
            <w:noWrap w:val="0"/>
            <w:vAlign w:val="top"/>
          </w:tcPr>
          <w:p w14:paraId="67181EC3">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注：上述主要机械及试验测量设备应是投标人自有或租赁，由中标人在进行合同谈判之前确定，并应向招标人报送证明材料（如资质证书、设备发票、租赁协议等）。如中标人投入现场的主要机械及试验测量设备不满足本表要求，招标人将取消其中标资格。上述主要机械及试验测量设备经招标人审批后作为投入本标段的主要设备，原则上不允许更换。</w:t>
            </w:r>
          </w:p>
        </w:tc>
      </w:tr>
    </w:tbl>
    <w:p w14:paraId="60195864">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p w14:paraId="54168055">
      <w:pPr>
        <w:pStyle w:val="2"/>
        <w:pageBreakBefore w:val="0"/>
        <w:kinsoku/>
        <w:wordWrap w:val="0"/>
        <w:bidi w:val="0"/>
        <w:spacing w:before="240" w:after="240" w:line="24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4"/>
          <w:highlight w:val="none"/>
        </w:rPr>
        <w:br w:type="page"/>
      </w:r>
      <w:bookmarkStart w:id="93" w:name="_Toc234832870"/>
      <w:bookmarkStart w:id="94" w:name="_Toc15905"/>
      <w:bookmarkStart w:id="95" w:name="_Toc19462"/>
      <w:bookmarkStart w:id="96" w:name="_Toc32159"/>
      <w:r>
        <w:rPr>
          <w:rFonts w:hint="default" w:ascii="Times New Roman" w:hAnsi="Times New Roman" w:eastAsia="黑体" w:cs="Times New Roman"/>
          <w:b w:val="0"/>
          <w:color w:val="auto"/>
          <w:sz w:val="28"/>
          <w:szCs w:val="28"/>
          <w:highlight w:val="none"/>
        </w:rPr>
        <w:t>1. 总则</w:t>
      </w:r>
      <w:bookmarkEnd w:id="93"/>
      <w:bookmarkEnd w:id="94"/>
      <w:bookmarkEnd w:id="95"/>
      <w:bookmarkEnd w:id="96"/>
    </w:p>
    <w:p w14:paraId="46260FC5">
      <w:pPr>
        <w:pStyle w:val="2"/>
        <w:pageBreakBefore w:val="0"/>
        <w:kinsoku/>
        <w:wordWrap w:val="0"/>
        <w:bidi w:val="0"/>
        <w:spacing w:before="240" w:after="240" w:line="240" w:lineRule="atLeast"/>
        <w:outlineLvl w:val="2"/>
        <w:rPr>
          <w:rFonts w:hint="default" w:ascii="Times New Roman" w:hAnsi="Times New Roman" w:eastAsia="宋体" w:cs="Times New Roman"/>
          <w:b w:val="0"/>
          <w:color w:val="auto"/>
          <w:sz w:val="24"/>
          <w:szCs w:val="24"/>
          <w:highlight w:val="none"/>
        </w:rPr>
      </w:pPr>
      <w:bookmarkStart w:id="97" w:name="_Toc13586"/>
      <w:bookmarkStart w:id="98" w:name="_Toc234832871"/>
      <w:bookmarkStart w:id="99" w:name="_Toc17948"/>
      <w:bookmarkStart w:id="100" w:name="_Toc23601"/>
      <w:r>
        <w:rPr>
          <w:rFonts w:hint="default" w:ascii="Times New Roman" w:hAnsi="Times New Roman" w:eastAsia="黑体" w:cs="Times New Roman"/>
          <w:b w:val="0"/>
          <w:color w:val="auto"/>
          <w:sz w:val="24"/>
          <w:szCs w:val="24"/>
          <w:highlight w:val="none"/>
        </w:rPr>
        <w:t>1.1 项目概况</w:t>
      </w:r>
      <w:bookmarkEnd w:id="97"/>
      <w:bookmarkEnd w:id="98"/>
      <w:bookmarkEnd w:id="99"/>
      <w:bookmarkEnd w:id="100"/>
    </w:p>
    <w:p w14:paraId="4F7AFF1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 根据《中华人民共和国招标投标法》《中华人民共和国招标投标法实施条例》《公路工程建设项目招标投标管理办法》等有关法律、法规和规章的规定，本招标项目已具备招标条件，现对本标段施工进行招标。</w:t>
      </w:r>
    </w:p>
    <w:p w14:paraId="187BAC9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1.1.2 本招标项目招标人：见投标人须知前附表。</w:t>
      </w:r>
    </w:p>
    <w:p w14:paraId="69A4171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1.1.3 本标段招标代理机构：见投标人须知前附表。</w:t>
      </w:r>
    </w:p>
    <w:p w14:paraId="1AEB652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1.1.4 本招标项目名称：见投标人须知前附表。</w:t>
      </w:r>
    </w:p>
    <w:p w14:paraId="706F8B5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1.1.5 本标段建设地点：见投标人须知前附表。</w:t>
      </w:r>
    </w:p>
    <w:p w14:paraId="3C659566">
      <w:pPr>
        <w:pStyle w:val="2"/>
        <w:pageBreakBefore w:val="0"/>
        <w:kinsoku/>
        <w:wordWrap w:val="0"/>
        <w:bidi w:val="0"/>
        <w:outlineLvl w:val="2"/>
        <w:rPr>
          <w:rFonts w:hint="default" w:ascii="Times New Roman" w:hAnsi="Times New Roman" w:cs="Times New Roman"/>
          <w:color w:val="auto"/>
          <w:highlight w:val="none"/>
        </w:rPr>
      </w:pPr>
      <w:bookmarkStart w:id="101" w:name="_Toc234832872"/>
      <w:bookmarkStart w:id="102" w:name="_Toc9736"/>
      <w:bookmarkStart w:id="103" w:name="_Toc11370"/>
      <w:bookmarkStart w:id="104" w:name="_Toc22508"/>
      <w:r>
        <w:rPr>
          <w:rFonts w:hint="default" w:ascii="Times New Roman" w:hAnsi="Times New Roman" w:cs="Times New Roman"/>
          <w:color w:val="auto"/>
          <w:highlight w:val="none"/>
        </w:rPr>
        <w:t>1.2 招标项目的资金来源和落实情况</w:t>
      </w:r>
      <w:bookmarkEnd w:id="101"/>
      <w:bookmarkEnd w:id="102"/>
      <w:bookmarkEnd w:id="103"/>
      <w:bookmarkEnd w:id="104"/>
      <w:r>
        <w:rPr>
          <w:rFonts w:hint="default" w:ascii="Times New Roman" w:hAnsi="Times New Roman" w:cs="Times New Roman"/>
          <w:color w:val="auto"/>
          <w:highlight w:val="none"/>
        </w:rPr>
        <w:t xml:space="preserve"> </w:t>
      </w:r>
    </w:p>
    <w:p w14:paraId="317E772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1.2.1 资金来源及比例：见投标人须知前附表。</w:t>
      </w:r>
    </w:p>
    <w:p w14:paraId="507BE31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1.2.2 资金落实情况：见投标人须知前附表。</w:t>
      </w:r>
    </w:p>
    <w:p w14:paraId="6D2E0FE9">
      <w:pPr>
        <w:pStyle w:val="2"/>
        <w:pageBreakBefore w:val="0"/>
        <w:kinsoku/>
        <w:wordWrap w:val="0"/>
        <w:bidi w:val="0"/>
        <w:outlineLvl w:val="2"/>
        <w:rPr>
          <w:rFonts w:hint="default" w:ascii="Times New Roman" w:hAnsi="Times New Roman" w:cs="Times New Roman"/>
          <w:color w:val="auto"/>
          <w:highlight w:val="none"/>
        </w:rPr>
      </w:pPr>
      <w:bookmarkStart w:id="105" w:name="_Toc234832873"/>
      <w:bookmarkStart w:id="106" w:name="_Toc2400"/>
      <w:bookmarkStart w:id="107" w:name="_Toc14618"/>
      <w:bookmarkStart w:id="108" w:name="_Toc10840"/>
      <w:r>
        <w:rPr>
          <w:rFonts w:hint="default" w:ascii="Times New Roman" w:hAnsi="Times New Roman" w:cs="Times New Roman"/>
          <w:color w:val="auto"/>
          <w:highlight w:val="none"/>
        </w:rPr>
        <w:t>1.3 招标范围、计划工期、质量要求</w:t>
      </w:r>
      <w:bookmarkEnd w:id="105"/>
      <w:r>
        <w:rPr>
          <w:rFonts w:hint="default" w:ascii="Times New Roman" w:hAnsi="Times New Roman" w:cs="Times New Roman"/>
          <w:color w:val="auto"/>
          <w:highlight w:val="none"/>
        </w:rPr>
        <w:t>和安全目标</w:t>
      </w:r>
      <w:bookmarkEnd w:id="106"/>
      <w:bookmarkEnd w:id="107"/>
      <w:bookmarkEnd w:id="108"/>
    </w:p>
    <w:p w14:paraId="09EEEC3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1.3.1 招标范围：见投标人须知前附表。</w:t>
      </w:r>
    </w:p>
    <w:p w14:paraId="4E78107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1.3.2 本标段的计划工期：见投标人须知前附表。</w:t>
      </w:r>
    </w:p>
    <w:p w14:paraId="411A6DE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1.3.3 本标段的质量要求：见投标人须知前附表。</w:t>
      </w:r>
    </w:p>
    <w:p w14:paraId="654A5D0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1.3.4 本标段的安全目标：见投标人须知前附表。</w:t>
      </w:r>
    </w:p>
    <w:p w14:paraId="4D0916C8">
      <w:pPr>
        <w:pStyle w:val="2"/>
        <w:pageBreakBefore w:val="0"/>
        <w:kinsoku/>
        <w:wordWrap w:val="0"/>
        <w:bidi w:val="0"/>
        <w:outlineLvl w:val="2"/>
        <w:rPr>
          <w:rFonts w:hint="default" w:ascii="Times New Roman" w:hAnsi="Times New Roman" w:cs="Times New Roman"/>
          <w:color w:val="auto"/>
          <w:highlight w:val="none"/>
        </w:rPr>
      </w:pPr>
      <w:bookmarkStart w:id="109" w:name="_Toc22000"/>
      <w:bookmarkStart w:id="110" w:name="_Toc32367"/>
      <w:bookmarkStart w:id="111" w:name="_Toc234832875"/>
      <w:bookmarkStart w:id="112" w:name="_Toc23631"/>
      <w:r>
        <w:rPr>
          <w:rFonts w:hint="default" w:ascii="Times New Roman" w:hAnsi="Times New Roman" w:cs="Times New Roman"/>
          <w:color w:val="auto"/>
          <w:highlight w:val="none"/>
        </w:rPr>
        <w:t>1.4 投标人资格要求</w:t>
      </w:r>
      <w:bookmarkEnd w:id="109"/>
      <w:bookmarkEnd w:id="110"/>
      <w:bookmarkEnd w:id="111"/>
      <w:bookmarkEnd w:id="112"/>
    </w:p>
    <w:p w14:paraId="1A0808F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1.4.1 投标人应具备承担本标段施工的资质条件、能力和信誉。</w:t>
      </w:r>
    </w:p>
    <w:p w14:paraId="69E7596B">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（1）资质要求：见投标人须知前附表；</w:t>
      </w:r>
    </w:p>
    <w:p w14:paraId="01AAC2F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（2）财务要求：见投标人须知前附表；</w:t>
      </w:r>
    </w:p>
    <w:p w14:paraId="783D681B">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（3）业绩要求：见投标人须知前附表；</w:t>
      </w:r>
    </w:p>
    <w:p w14:paraId="3E4036B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（4）信誉要求：见投标人须知前附表；</w:t>
      </w:r>
    </w:p>
    <w:p w14:paraId="31F2A30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（5）项目经理和项目总工资格：见投标人须知前附表；</w:t>
      </w:r>
    </w:p>
    <w:p w14:paraId="50EFBFF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（6）其他要求：见投标人须知前附表。</w:t>
      </w:r>
    </w:p>
    <w:p w14:paraId="48D0996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需要提交的相关证明材料见本章第3.5款的规定。</w:t>
      </w:r>
    </w:p>
    <w:p w14:paraId="57736D9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1.4.2 投标人须知前附表规定接受联合体投标的，联合体除应符合本章第1.4.1项和投标人须知前附表的要求外，还应遵守以下规定：</w:t>
      </w:r>
    </w:p>
    <w:p w14:paraId="0BED4BA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（1）联合体各方应按招标文件提供的格式签订联合体协议书，明确联合体牵头人和各方权利义务，并承诺就中标项目向招标人承担连带责任；</w:t>
      </w:r>
    </w:p>
    <w:p w14:paraId="444E5F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（2）由同一专业的单位组成的联合体，按照资质等级较低的单位确定资质等级；</w:t>
      </w:r>
    </w:p>
    <w:p w14:paraId="4079172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（3）联合体各方不得再以自己名义单独或参加其他联合体在同一标段中投标；</w:t>
      </w:r>
    </w:p>
    <w:p w14:paraId="5C3A3B8E">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5BF6540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5）尽管委任了联合体牵头人，但联合体各成员在投标、签订合同与履行合同过程中，仍负有连带的和各自的法律责任。</w:t>
      </w:r>
    </w:p>
    <w:p w14:paraId="182CF69B">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1.4.3 投标人（包括联合体各成员）不得与本标段相关单位存在下列关联关系：</w:t>
      </w:r>
    </w:p>
    <w:p w14:paraId="065D4E45">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（1）为招标人不具有独立法人资格的附属机构（单位）；</w:t>
      </w:r>
    </w:p>
    <w:p w14:paraId="299FC1C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（2）与招标人存在利害关系且可能影响招标公正性；</w:t>
      </w:r>
    </w:p>
    <w:p w14:paraId="591D02D4">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（3）与本标段的其他投标人同为一个单位负责人；</w:t>
      </w:r>
    </w:p>
    <w:p w14:paraId="5BBB818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（4）与本标段的其他投标人存在控股、管理关系；</w:t>
      </w:r>
    </w:p>
    <w:p w14:paraId="19620CD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（5）为本标段前期准备提供设计或咨询服务的法人或其任何附属机构（单位）；</w:t>
      </w:r>
    </w:p>
    <w:p w14:paraId="15139F8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（6）为本标段的监理人；</w:t>
      </w:r>
    </w:p>
    <w:p w14:paraId="788698D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（7）为本标段的代建人；</w:t>
      </w:r>
    </w:p>
    <w:p w14:paraId="72DEFEB5">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（8）为本标段的招标代理机构；</w:t>
      </w:r>
    </w:p>
    <w:p w14:paraId="0375165E">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（9）与本标段的监理人或代建人或招标代理机构同为一个法定代表人；</w:t>
      </w:r>
    </w:p>
    <w:p w14:paraId="31993C0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（10）与本标段的监理人或代建人或招标代理机构存在控股或参股关系；</w:t>
      </w:r>
    </w:p>
    <w:p w14:paraId="4F19482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（11）法律法规或投标人须知前附表规定的其他情形。</w:t>
      </w:r>
    </w:p>
    <w:p w14:paraId="23CF4AF9">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1.4.4 投标人（包括联合体各成员）不得存在下列不良状况或不良信用记录：</w:t>
      </w:r>
    </w:p>
    <w:p w14:paraId="43DF0E2A">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（1）被省级及以上交通运输主管部门取消招标项目所在地的投标资格且处于有效期内；</w:t>
      </w:r>
    </w:p>
    <w:p w14:paraId="71FE67F6">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（2）被责令停业，暂扣或吊销执照，或吊销资质证书；</w:t>
      </w:r>
    </w:p>
    <w:p w14:paraId="6A93CAC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（3）进入清算程序，或被宣告破产，或其他丧失履约能力的情形；</w:t>
      </w:r>
    </w:p>
    <w:p w14:paraId="310B92D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（4）在国家企业信用信息公示系统（http://www.gsxt.gov.cn/）中被列入严重违法失信企业名单；</w:t>
      </w:r>
    </w:p>
    <w:p w14:paraId="1FB720B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（5）在</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信用中国</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网站（http://www.creditchina.gov.cn/）（或中国执行信息公开网 http://zxgk.court.gov.cn/shixin/）中被列入失信被执行人名单；</w:t>
      </w:r>
    </w:p>
    <w:p w14:paraId="5C66E0C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（6）投标人或其法定代表人、拟委任的项目经理在近三年内有行贿犯罪行为的；</w:t>
      </w:r>
    </w:p>
    <w:p w14:paraId="223D15A4">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（7）法律法规或投标人须知前附表规定的其他情形。</w:t>
      </w:r>
    </w:p>
    <w:p w14:paraId="06383A76">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1.4.5 根据《关于发布公路工程从业企业资质名录的通知》（厅公路字〔2011〕114号）要求，投标人如为名录范围的施工企业，则应进入交通运输部</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全国公路建设市场监督管理系统（https://hwdms.mot.gov.cn/BMWebSite/）</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中的公路工程施工资质企业名录，且投标人名称和资质与该名录中的相应企业名称和资质完全一致。</w:t>
      </w:r>
      <w:r>
        <w:rPr>
          <w:rStyle w:val="47"/>
          <w:rFonts w:ascii="Times New Roman" w:hAnsi="Times New Roman" w:eastAsia="宋体" w:cs="Times New Roman"/>
          <w:color w:val="auto"/>
          <w:highlight w:val="none"/>
        </w:rPr>
        <w:footnoteReference w:id="22"/>
      </w:r>
    </w:p>
    <w:p w14:paraId="439C8FF6">
      <w:pPr>
        <w:pStyle w:val="2"/>
        <w:pageBreakBefore w:val="0"/>
        <w:kinsoku/>
        <w:wordWrap w:val="0"/>
        <w:bidi w:val="0"/>
        <w:outlineLvl w:val="2"/>
        <w:rPr>
          <w:rFonts w:hint="default" w:ascii="Times New Roman" w:hAnsi="Times New Roman" w:cs="Times New Roman"/>
          <w:color w:val="auto"/>
          <w:highlight w:val="none"/>
        </w:rPr>
      </w:pPr>
      <w:bookmarkStart w:id="113" w:name="_Toc14149"/>
      <w:bookmarkStart w:id="114" w:name="_Toc8417"/>
      <w:bookmarkStart w:id="115" w:name="_Toc29333"/>
      <w:bookmarkStart w:id="116" w:name="_Toc234832876"/>
      <w:r>
        <w:rPr>
          <w:rFonts w:hint="default" w:ascii="Times New Roman" w:hAnsi="Times New Roman" w:cs="Times New Roman"/>
          <w:color w:val="auto"/>
          <w:highlight w:val="none"/>
        </w:rPr>
        <w:t>1.5 费用承担</w:t>
      </w:r>
      <w:bookmarkEnd w:id="113"/>
      <w:bookmarkEnd w:id="114"/>
      <w:bookmarkEnd w:id="115"/>
      <w:bookmarkEnd w:id="116"/>
    </w:p>
    <w:p w14:paraId="44D985E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投标人准备和参加投标活动发生的费用自理。</w:t>
      </w:r>
    </w:p>
    <w:p w14:paraId="436B7784">
      <w:pPr>
        <w:pStyle w:val="2"/>
        <w:pageBreakBefore w:val="0"/>
        <w:kinsoku/>
        <w:wordWrap w:val="0"/>
        <w:bidi w:val="0"/>
        <w:outlineLvl w:val="2"/>
        <w:rPr>
          <w:rFonts w:hint="default" w:ascii="Times New Roman" w:hAnsi="Times New Roman" w:cs="Times New Roman"/>
          <w:color w:val="auto"/>
          <w:highlight w:val="none"/>
        </w:rPr>
      </w:pPr>
      <w:bookmarkStart w:id="117" w:name="_Toc26593"/>
      <w:bookmarkStart w:id="118" w:name="_Toc12508"/>
      <w:bookmarkStart w:id="119" w:name="_Toc23807"/>
      <w:bookmarkStart w:id="120" w:name="_Toc234832877"/>
      <w:r>
        <w:rPr>
          <w:rFonts w:hint="default" w:ascii="Times New Roman" w:hAnsi="Times New Roman" w:cs="Times New Roman"/>
          <w:color w:val="auto"/>
          <w:highlight w:val="none"/>
        </w:rPr>
        <w:t>1.6 保密</w:t>
      </w:r>
      <w:bookmarkEnd w:id="117"/>
      <w:bookmarkEnd w:id="118"/>
      <w:bookmarkEnd w:id="119"/>
      <w:bookmarkEnd w:id="120"/>
    </w:p>
    <w:p w14:paraId="2C56D69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参与招标投标活动的各方应对招标文件和投标文件中的商业和技术等秘密保密，</w:t>
      </w:r>
      <w:r>
        <w:rPr>
          <w:rFonts w:hint="default" w:ascii="Times New Roman" w:hAnsi="Times New Roman" w:eastAsia="宋体" w:cs="Times New Roman"/>
          <w:color w:val="auto"/>
          <w:kern w:val="0"/>
          <w:sz w:val="24"/>
          <w:szCs w:val="20"/>
          <w:highlight w:val="none"/>
        </w:rPr>
        <w:t>否则应承担相应的法律责任。</w:t>
      </w:r>
    </w:p>
    <w:p w14:paraId="7C3BC74D">
      <w:pPr>
        <w:pStyle w:val="2"/>
        <w:pageBreakBefore w:val="0"/>
        <w:kinsoku/>
        <w:wordWrap w:val="0"/>
        <w:bidi w:val="0"/>
        <w:outlineLvl w:val="2"/>
        <w:rPr>
          <w:rFonts w:hint="default" w:ascii="Times New Roman" w:hAnsi="Times New Roman" w:cs="Times New Roman"/>
          <w:color w:val="auto"/>
          <w:highlight w:val="none"/>
        </w:rPr>
      </w:pPr>
      <w:bookmarkStart w:id="121" w:name="_Toc5479"/>
      <w:bookmarkStart w:id="122" w:name="_Toc26229"/>
      <w:bookmarkStart w:id="123" w:name="_Toc234832878"/>
      <w:bookmarkStart w:id="124" w:name="_Toc20284"/>
      <w:r>
        <w:rPr>
          <w:rFonts w:hint="default" w:ascii="Times New Roman" w:hAnsi="Times New Roman" w:cs="Times New Roman"/>
          <w:color w:val="auto"/>
          <w:highlight w:val="none"/>
        </w:rPr>
        <w:t>1.7 语言文字</w:t>
      </w:r>
      <w:bookmarkEnd w:id="121"/>
      <w:bookmarkEnd w:id="122"/>
      <w:bookmarkEnd w:id="123"/>
      <w:bookmarkEnd w:id="124"/>
    </w:p>
    <w:p w14:paraId="5E87E11A">
      <w:pPr>
        <w:pageBreakBefore w:val="0"/>
        <w:kinsoku/>
        <w:wordWrap w:val="0"/>
        <w:bidi w:val="0"/>
        <w:spacing w:line="400" w:lineRule="atLeas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招标投标文件使用的语言文字为中文。专用术语使用外文的，应附有中文注释。</w:t>
      </w:r>
    </w:p>
    <w:p w14:paraId="55833985">
      <w:pPr>
        <w:pStyle w:val="2"/>
        <w:pageBreakBefore w:val="0"/>
        <w:kinsoku/>
        <w:wordWrap w:val="0"/>
        <w:bidi w:val="0"/>
        <w:outlineLvl w:val="2"/>
        <w:rPr>
          <w:rFonts w:hint="default" w:ascii="Times New Roman" w:hAnsi="Times New Roman" w:cs="Times New Roman"/>
          <w:color w:val="auto"/>
          <w:highlight w:val="none"/>
        </w:rPr>
      </w:pPr>
      <w:bookmarkStart w:id="125" w:name="_Toc7349"/>
      <w:bookmarkStart w:id="126" w:name="_Toc234832879"/>
      <w:bookmarkStart w:id="127" w:name="_Toc11584"/>
      <w:bookmarkStart w:id="128" w:name="_Toc30856"/>
      <w:r>
        <w:rPr>
          <w:rFonts w:hint="default" w:ascii="Times New Roman" w:hAnsi="Times New Roman" w:cs="Times New Roman"/>
          <w:color w:val="auto"/>
          <w:highlight w:val="none"/>
        </w:rPr>
        <w:t>1.8 计量单位</w:t>
      </w:r>
      <w:bookmarkEnd w:id="125"/>
      <w:bookmarkEnd w:id="126"/>
      <w:bookmarkEnd w:id="127"/>
      <w:bookmarkEnd w:id="128"/>
    </w:p>
    <w:p w14:paraId="645451A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所有计量均采用中华人民共和国法定计量单位。</w:t>
      </w:r>
    </w:p>
    <w:p w14:paraId="746BC7DC">
      <w:pPr>
        <w:pStyle w:val="2"/>
        <w:pageBreakBefore w:val="0"/>
        <w:kinsoku/>
        <w:wordWrap w:val="0"/>
        <w:bidi w:val="0"/>
        <w:outlineLvl w:val="2"/>
        <w:rPr>
          <w:rFonts w:hint="default" w:ascii="Times New Roman" w:hAnsi="Times New Roman" w:cs="Times New Roman"/>
          <w:color w:val="auto"/>
          <w:highlight w:val="none"/>
        </w:rPr>
      </w:pPr>
      <w:bookmarkStart w:id="129" w:name="_Toc11612"/>
      <w:bookmarkStart w:id="130" w:name="_Toc32593"/>
      <w:bookmarkStart w:id="131" w:name="_Toc6538"/>
      <w:bookmarkStart w:id="132" w:name="_Toc234832880"/>
      <w:r>
        <w:rPr>
          <w:rFonts w:hint="default" w:ascii="Times New Roman" w:hAnsi="Times New Roman" w:cs="Times New Roman"/>
          <w:color w:val="auto"/>
          <w:highlight w:val="none"/>
        </w:rPr>
        <w:t>1.9 踏勘现场</w:t>
      </w:r>
      <w:bookmarkEnd w:id="129"/>
      <w:bookmarkEnd w:id="130"/>
      <w:bookmarkEnd w:id="131"/>
      <w:bookmarkEnd w:id="132"/>
    </w:p>
    <w:p w14:paraId="2C6E73C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规定组织踏勘现场的，招标人按规定的时间、地点组织投标人踏勘项目现场。部分投标人未按时参加踏勘现场的，不影响踏勘现场的正常进行。招标人不得组织单个或部分投标人踏勘项目现场。</w:t>
      </w:r>
    </w:p>
    <w:p w14:paraId="3D0354B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1.9.2 投标人踏勘现场发生的费用自理。</w:t>
      </w:r>
    </w:p>
    <w:p w14:paraId="4CA65FD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1.9.3 除招标人的原因外，投标人自行负责在踏勘现场中所发生的人员伤亡和财产损失。</w:t>
      </w:r>
    </w:p>
    <w:p w14:paraId="778335B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1.9.4 招标人在踏勘现场中介绍的工程场地和相关的周边环境情况，供投标人在编制投标文件时参考，招标人不对投标人据此作出的判断和决策负责。</w:t>
      </w:r>
    </w:p>
    <w:p w14:paraId="10888B6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4F86E042">
      <w:pPr>
        <w:pStyle w:val="2"/>
        <w:pageBreakBefore w:val="0"/>
        <w:kinsoku/>
        <w:wordWrap w:val="0"/>
        <w:bidi w:val="0"/>
        <w:outlineLvl w:val="2"/>
        <w:rPr>
          <w:rFonts w:hint="default" w:ascii="Times New Roman" w:hAnsi="Times New Roman" w:cs="Times New Roman"/>
          <w:color w:val="auto"/>
          <w:highlight w:val="none"/>
        </w:rPr>
      </w:pPr>
      <w:bookmarkStart w:id="133" w:name="_Toc6877"/>
      <w:bookmarkStart w:id="134" w:name="_Toc234832881"/>
      <w:bookmarkStart w:id="135" w:name="_Toc17701"/>
      <w:bookmarkStart w:id="136" w:name="_Toc27740"/>
      <w:r>
        <w:rPr>
          <w:rFonts w:hint="default" w:ascii="Times New Roman" w:hAnsi="Times New Roman" w:cs="Times New Roman"/>
          <w:color w:val="auto"/>
          <w:highlight w:val="none"/>
        </w:rPr>
        <w:t>1.10 投标预备会</w:t>
      </w:r>
      <w:bookmarkEnd w:id="133"/>
      <w:bookmarkEnd w:id="134"/>
      <w:bookmarkEnd w:id="135"/>
      <w:bookmarkEnd w:id="136"/>
    </w:p>
    <w:p w14:paraId="6B64963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1.10.1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规定召开投标预备会的，招标人按规定的时间和地点召开投标预备会，澄清投标人提出的问题。</w:t>
      </w:r>
    </w:p>
    <w:p w14:paraId="044895E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1.10.2 投标人应按投标人须知前附表规定的时间和形式将提出的问题送达招标人，以便招标人在会议期间澄清。</w:t>
      </w:r>
    </w:p>
    <w:p w14:paraId="76E6289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1.10.3 投标预备会后，招标人将对投标人所提问题的澄清，以本章第2.2款规定的形式通知所有</w:t>
      </w:r>
      <w:r>
        <w:rPr>
          <w:rFonts w:hint="default" w:ascii="Times New Roman" w:hAnsi="Times New Roman" w:cs="Times New Roman"/>
          <w:color w:val="auto"/>
          <w:szCs w:val="24"/>
          <w:highlight w:val="none"/>
          <w:lang w:eastAsia="zh-CN"/>
        </w:rPr>
        <w:t>获取招标文件</w:t>
      </w:r>
      <w:r>
        <w:rPr>
          <w:rFonts w:hint="default" w:ascii="Times New Roman" w:hAnsi="Times New Roman" w:eastAsia="宋体" w:cs="Times New Roman"/>
          <w:color w:val="auto"/>
          <w:szCs w:val="24"/>
          <w:highlight w:val="none"/>
        </w:rPr>
        <w:t>的投标人。该澄清内容为招标文件的组成部分。</w:t>
      </w:r>
    </w:p>
    <w:p w14:paraId="331B44A4">
      <w:pPr>
        <w:pStyle w:val="2"/>
        <w:pageBreakBefore w:val="0"/>
        <w:kinsoku/>
        <w:wordWrap w:val="0"/>
        <w:bidi w:val="0"/>
        <w:outlineLvl w:val="2"/>
        <w:rPr>
          <w:rFonts w:hint="default" w:ascii="Times New Roman" w:hAnsi="Times New Roman" w:cs="Times New Roman"/>
          <w:color w:val="auto"/>
          <w:highlight w:val="none"/>
        </w:rPr>
      </w:pPr>
      <w:bookmarkStart w:id="137" w:name="_Toc20656"/>
      <w:bookmarkStart w:id="138" w:name="_Toc10304"/>
      <w:bookmarkStart w:id="139" w:name="_Toc234832882"/>
      <w:bookmarkStart w:id="140" w:name="_Toc24517"/>
      <w:r>
        <w:rPr>
          <w:rFonts w:hint="default" w:ascii="Times New Roman" w:hAnsi="Times New Roman" w:cs="Times New Roman"/>
          <w:color w:val="auto"/>
          <w:highlight w:val="none"/>
        </w:rPr>
        <w:t>1.11 分包</w:t>
      </w:r>
      <w:bookmarkEnd w:id="137"/>
      <w:bookmarkEnd w:id="138"/>
      <w:bookmarkEnd w:id="139"/>
      <w:bookmarkEnd w:id="140"/>
    </w:p>
    <w:p w14:paraId="7922512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 xml:space="preserve">1.11.1 </w:t>
      </w:r>
      <w:r>
        <w:rPr>
          <w:rFonts w:hint="default" w:ascii="Times New Roman" w:hAnsi="Times New Roman" w:eastAsia="宋体" w:cs="Times New Roman"/>
          <w:color w:val="auto"/>
          <w:szCs w:val="24"/>
          <w:highlight w:val="none"/>
        </w:rPr>
        <w:t>投标人拟在中标后将中标项目的部分工作进行分包的，应</w:t>
      </w:r>
      <w:r>
        <w:rPr>
          <w:rFonts w:hint="eastAsia" w:ascii="Times New Roman" w:cs="Times New Roman"/>
          <w:color w:val="auto"/>
          <w:szCs w:val="24"/>
          <w:highlight w:val="none"/>
          <w:lang w:val="en-US" w:eastAsia="zh-CN"/>
        </w:rPr>
        <w:t>按辽宁省交通运输厅关于印发《辽宁省公路工程施工分包管理实施细则》的通知（辽交公路规〔2025〕1号）要求执行。</w:t>
      </w:r>
    </w:p>
    <w:p w14:paraId="451FA2C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1.11.2 中标人不得向他人转让中标项目，接受分包的人不得再次分包。中标人应就分包项目向招标人负责，接受分包的人就分包项目承担连带责任。</w:t>
      </w:r>
    </w:p>
    <w:p w14:paraId="777FC8ED">
      <w:pPr>
        <w:pStyle w:val="2"/>
        <w:pageBreakBefore w:val="0"/>
        <w:kinsoku/>
        <w:wordWrap w:val="0"/>
        <w:bidi w:val="0"/>
        <w:outlineLvl w:val="2"/>
        <w:rPr>
          <w:rFonts w:hint="default" w:ascii="Times New Roman" w:hAnsi="Times New Roman" w:cs="Times New Roman"/>
          <w:color w:val="auto"/>
          <w:highlight w:val="none"/>
        </w:rPr>
      </w:pPr>
      <w:bookmarkStart w:id="141" w:name="_Toc234832883"/>
      <w:bookmarkStart w:id="142" w:name="_Toc10366"/>
      <w:bookmarkStart w:id="143" w:name="_Toc3394"/>
      <w:bookmarkStart w:id="144" w:name="_Toc26907"/>
      <w:r>
        <w:rPr>
          <w:rFonts w:hint="default" w:ascii="Times New Roman" w:hAnsi="Times New Roman" w:cs="Times New Roman"/>
          <w:color w:val="auto"/>
          <w:highlight w:val="none"/>
        </w:rPr>
        <w:t xml:space="preserve">1.12 </w:t>
      </w:r>
      <w:bookmarkEnd w:id="141"/>
      <w:r>
        <w:rPr>
          <w:rFonts w:hint="default" w:ascii="Times New Roman" w:hAnsi="Times New Roman" w:cs="Times New Roman"/>
          <w:color w:val="auto"/>
          <w:highlight w:val="none"/>
        </w:rPr>
        <w:t>响应和偏差</w:t>
      </w:r>
      <w:bookmarkEnd w:id="142"/>
      <w:bookmarkEnd w:id="143"/>
      <w:bookmarkEnd w:id="144"/>
    </w:p>
    <w:p w14:paraId="3015B80A">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1.12.1 投标文件偏离招标文件某些要求，视为投标文件存在偏差。偏差包括重大偏差和细微偏差。</w:t>
      </w:r>
    </w:p>
    <w:p w14:paraId="486CAEB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1.12.2 投标文件应对招标文件的实质性要求和条件作出满足性或更有利于招标人的响应，否则，视为投标文件存在重大偏差，投标人的投标将被否决。</w:t>
      </w:r>
    </w:p>
    <w:p w14:paraId="5EFFBF1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投标文件存在第三章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中所列任一否决投标情形的，均属于存在重大偏差。</w:t>
      </w:r>
    </w:p>
    <w:p w14:paraId="6311CA7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1.12.3 投标文件中的下列偏差为细微偏差：</w:t>
      </w:r>
    </w:p>
    <w:p w14:paraId="534F8DB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r>
        <w:rPr>
          <w:rFonts w:hint="default" w:ascii="Times New Roman" w:hAnsi="Times New Roman" w:eastAsia="宋体" w:cs="Times New Roman"/>
          <w:color w:val="auto"/>
          <w:highlight w:val="none"/>
        </w:rPr>
        <w:t>在按照</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的规定对投标价进行其他错误</w:t>
      </w:r>
      <w:r>
        <w:rPr>
          <w:rFonts w:hint="default" w:ascii="Times New Roman" w:hAnsi="Times New Roman" w:eastAsia="宋体" w:cs="Times New Roman"/>
          <w:color w:val="auto"/>
          <w:highlight w:val="none"/>
        </w:rPr>
        <w:t>修正后，最终投标报价未超过最高投标限价（如有）的情况下，出现</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规定的投标报价其他错误；</w:t>
      </w:r>
    </w:p>
    <w:p w14:paraId="2D1D9275">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（2）施工组织设计（含关键工程技术方案）和项目管理机构不够完善；</w:t>
      </w:r>
    </w:p>
    <w:p w14:paraId="6C075ECE">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（3）投标文件个别文字有遗漏错误等不影响投标文件实质性内容的偏差。</w:t>
      </w:r>
    </w:p>
    <w:p w14:paraId="09ABFFD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1.12.4 评标委员会对投标文件中的细微偏差按如下规定处理：</w:t>
      </w:r>
    </w:p>
    <w:p w14:paraId="0BE7B65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（1）对于本章第1.12.3项（1）目所述的细微偏差，按照第三章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的规定予以修正并要求投标人进行澄清；</w:t>
      </w:r>
    </w:p>
    <w:p w14:paraId="34DE7F4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0B91855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（3）对于本章第1.12.3项（3）目所述的细微偏差，可要求投标人对细微偏差进行澄清。</w:t>
      </w:r>
    </w:p>
    <w:p w14:paraId="004A74E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1.12.5 投标人应根据招标文件的要求提供施工组织设计等内容以对招标文件作出响应。</w:t>
      </w:r>
    </w:p>
    <w:p w14:paraId="2A9F5981">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145" w:name="_Toc27865"/>
      <w:bookmarkStart w:id="146" w:name="_Toc5915"/>
      <w:bookmarkStart w:id="147" w:name="_Toc234832884"/>
      <w:bookmarkStart w:id="148" w:name="_Toc28741"/>
      <w:r>
        <w:rPr>
          <w:rFonts w:hint="default" w:ascii="Times New Roman" w:hAnsi="Times New Roman" w:eastAsia="黑体" w:cs="Times New Roman"/>
          <w:b w:val="0"/>
          <w:color w:val="auto"/>
          <w:sz w:val="28"/>
          <w:szCs w:val="28"/>
          <w:highlight w:val="none"/>
        </w:rPr>
        <w:t>2. 招标文件</w:t>
      </w:r>
      <w:bookmarkEnd w:id="145"/>
      <w:bookmarkEnd w:id="146"/>
      <w:bookmarkEnd w:id="147"/>
      <w:bookmarkEnd w:id="148"/>
    </w:p>
    <w:p w14:paraId="6865664E">
      <w:pPr>
        <w:pStyle w:val="2"/>
        <w:pageBreakBefore w:val="0"/>
        <w:kinsoku/>
        <w:wordWrap w:val="0"/>
        <w:bidi w:val="0"/>
        <w:outlineLvl w:val="2"/>
        <w:rPr>
          <w:rFonts w:hint="default" w:ascii="Times New Roman" w:hAnsi="Times New Roman" w:eastAsia="黑体" w:cs="Times New Roman"/>
          <w:color w:val="auto"/>
          <w:highlight w:val="none"/>
        </w:rPr>
      </w:pPr>
      <w:bookmarkStart w:id="149" w:name="_Toc12252"/>
      <w:bookmarkStart w:id="150" w:name="_Toc234832885"/>
      <w:bookmarkStart w:id="151" w:name="_Toc28112"/>
      <w:bookmarkStart w:id="152" w:name="_Toc25358"/>
      <w:r>
        <w:rPr>
          <w:rFonts w:hint="default" w:ascii="Times New Roman" w:hAnsi="Times New Roman" w:eastAsia="黑体" w:cs="Times New Roman"/>
          <w:color w:val="auto"/>
          <w:highlight w:val="none"/>
        </w:rPr>
        <w:t>2.1 招标文件的组成</w:t>
      </w:r>
      <w:bookmarkEnd w:id="149"/>
      <w:bookmarkEnd w:id="150"/>
      <w:bookmarkEnd w:id="151"/>
      <w:bookmarkEnd w:id="152"/>
    </w:p>
    <w:p w14:paraId="5898E27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本招标文件包括：</w:t>
      </w:r>
    </w:p>
    <w:p w14:paraId="689461D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（1）招标公告；</w:t>
      </w:r>
    </w:p>
    <w:p w14:paraId="53CF2DE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（2）投标人须知；</w:t>
      </w:r>
    </w:p>
    <w:p w14:paraId="0AB9C7F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（3）评标办法；</w:t>
      </w:r>
    </w:p>
    <w:p w14:paraId="00AFBDF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（4）合同条款及格式；</w:t>
      </w:r>
    </w:p>
    <w:p w14:paraId="40D657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（5）工程量清单；</w:t>
      </w:r>
    </w:p>
    <w:p w14:paraId="174881C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（6）图纸；</w:t>
      </w:r>
    </w:p>
    <w:p w14:paraId="6388280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（7）技术规范；</w:t>
      </w:r>
    </w:p>
    <w:p w14:paraId="7E5284D4">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（8）工程量清单计量规则；</w:t>
      </w:r>
    </w:p>
    <w:p w14:paraId="5398F5F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（9）投标文件格式；</w:t>
      </w:r>
    </w:p>
    <w:p w14:paraId="537721C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（10）投标人须知前附表规定的其他资料。</w:t>
      </w:r>
    </w:p>
    <w:p w14:paraId="7BDC426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根据本章第1.10款、第2.2款和第2.3款对招标文件所作的澄清、修改，构成招标文件的组成部分。</w:t>
      </w:r>
    </w:p>
    <w:p w14:paraId="3A7F1BB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当招标文件、招标文件的澄清或修改等在同一内容的表述上不一致时，以最后发出的书面文件为准。</w:t>
      </w:r>
    </w:p>
    <w:p w14:paraId="3CB89B4D">
      <w:pPr>
        <w:pStyle w:val="2"/>
        <w:pageBreakBefore w:val="0"/>
        <w:kinsoku/>
        <w:wordWrap w:val="0"/>
        <w:bidi w:val="0"/>
        <w:outlineLvl w:val="2"/>
        <w:rPr>
          <w:rFonts w:hint="default" w:ascii="Times New Roman" w:hAnsi="Times New Roman" w:cs="Times New Roman"/>
          <w:color w:val="auto"/>
          <w:highlight w:val="none"/>
        </w:rPr>
      </w:pPr>
      <w:bookmarkStart w:id="153" w:name="_Toc6916"/>
      <w:bookmarkStart w:id="154" w:name="_Toc234832886"/>
      <w:bookmarkStart w:id="155" w:name="_Toc13346"/>
      <w:bookmarkStart w:id="156" w:name="_Toc6673"/>
      <w:r>
        <w:rPr>
          <w:rFonts w:hint="default" w:ascii="Times New Roman" w:hAnsi="Times New Roman" w:cs="Times New Roman"/>
          <w:color w:val="auto"/>
          <w:highlight w:val="none"/>
        </w:rPr>
        <w:t>2.2 招标文件的澄清</w:t>
      </w:r>
      <w:bookmarkEnd w:id="153"/>
      <w:bookmarkEnd w:id="154"/>
      <w:bookmarkEnd w:id="155"/>
      <w:bookmarkEnd w:id="156"/>
    </w:p>
    <w:p w14:paraId="37EA2E8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726B138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招标文件的澄清以投标人须知前附表规定的形式发给所有</w:t>
      </w:r>
      <w:r>
        <w:rPr>
          <w:rFonts w:hint="default" w:ascii="Times New Roman" w:hAnsi="Times New Roman" w:cs="Times New Roman"/>
          <w:color w:val="auto"/>
          <w:sz w:val="24"/>
          <w:highlight w:val="none"/>
          <w:lang w:eastAsia="zh-CN"/>
        </w:rPr>
        <w:t>获取招标文件</w:t>
      </w:r>
      <w:r>
        <w:rPr>
          <w:rFonts w:hint="default" w:ascii="Times New Roman" w:hAnsi="Times New Roman" w:eastAsia="宋体" w:cs="Times New Roman"/>
          <w:color w:val="auto"/>
          <w:sz w:val="24"/>
          <w:highlight w:val="none"/>
        </w:rPr>
        <w:t>的投标人，但不指明澄清问题的来源。澄清发出的时间距本章第4.2.1项规定的投标截止时间不足15日，且澄清内容可能影响投标文件编制的，将相应延长投标截止时间。</w:t>
      </w:r>
    </w:p>
    <w:p w14:paraId="548D85A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2.2.3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按照投标人须知前附表要求及时收悉澄清内容。</w:t>
      </w:r>
      <w:r>
        <w:rPr>
          <w:rFonts w:hint="default" w:ascii="Times New Roman" w:hAnsi="Times New Roman" w:cs="Times New Roman"/>
          <w:color w:val="auto"/>
          <w:sz w:val="24"/>
          <w:highlight w:val="none"/>
        </w:rPr>
        <w:t>投标人应注意及时浏览网上发出的澄清，因投标人自身原因未及时获知澄清内容而导致的任何后果将由投标人自行承担</w:t>
      </w:r>
      <w:r>
        <w:rPr>
          <w:rFonts w:hint="default" w:ascii="Times New Roman" w:hAnsi="Times New Roman" w:eastAsia="宋体" w:cs="Times New Roman"/>
          <w:color w:val="auto"/>
          <w:sz w:val="24"/>
          <w:highlight w:val="none"/>
        </w:rPr>
        <w:t>。</w:t>
      </w:r>
    </w:p>
    <w:p w14:paraId="16AB056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除非招标人认为确有必要答复，否则，招标人有权拒绝回复投标人在本章第2.2.1项规定的时间后提出的任何澄清要求。</w:t>
      </w:r>
    </w:p>
    <w:p w14:paraId="2C506908">
      <w:pPr>
        <w:pStyle w:val="2"/>
        <w:pageBreakBefore w:val="0"/>
        <w:kinsoku/>
        <w:wordWrap w:val="0"/>
        <w:bidi w:val="0"/>
        <w:outlineLvl w:val="2"/>
        <w:rPr>
          <w:rFonts w:hint="default" w:ascii="Times New Roman" w:hAnsi="Times New Roman" w:cs="Times New Roman"/>
          <w:color w:val="auto"/>
          <w:highlight w:val="none"/>
        </w:rPr>
      </w:pPr>
      <w:bookmarkStart w:id="157" w:name="_Toc20407"/>
      <w:bookmarkStart w:id="158" w:name="_Toc19533"/>
      <w:bookmarkStart w:id="159" w:name="_Toc3661"/>
      <w:bookmarkStart w:id="160" w:name="_Toc234832887"/>
      <w:r>
        <w:rPr>
          <w:rFonts w:hint="default" w:ascii="Times New Roman" w:hAnsi="Times New Roman" w:cs="Times New Roman"/>
          <w:color w:val="auto"/>
          <w:highlight w:val="none"/>
        </w:rPr>
        <w:t>2.3 招标文件的修改</w:t>
      </w:r>
      <w:bookmarkEnd w:id="157"/>
      <w:bookmarkEnd w:id="158"/>
      <w:bookmarkEnd w:id="159"/>
      <w:bookmarkEnd w:id="160"/>
    </w:p>
    <w:p w14:paraId="04AC20C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2.3.1 招标人以投标人须知前附表规定的形式修改招标文件。修改招标文件的时间距本章第4.2.1项规定的投标截止时间不足15日，且修改内容可能影响投标文件编制的，将相应延长投标截止时间。</w:t>
      </w:r>
    </w:p>
    <w:p w14:paraId="5857ADC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2.3.2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内容</w:t>
      </w:r>
      <w:r>
        <w:rPr>
          <w:rFonts w:hint="default" w:ascii="Times New Roman" w:hAnsi="Times New Roman" w:cs="Times New Roman"/>
          <w:color w:val="auto"/>
          <w:sz w:val="24"/>
          <w:highlight w:val="none"/>
        </w:rPr>
        <w:t>。投标人应注意及时浏览网上发出的修改，因投标人自身原因未及时获知修改内容而导致的任何后果将由投标人自行承担</w:t>
      </w:r>
      <w:r>
        <w:rPr>
          <w:rFonts w:hint="default" w:ascii="Times New Roman" w:hAnsi="Times New Roman" w:eastAsia="宋体" w:cs="Times New Roman"/>
          <w:color w:val="auto"/>
          <w:sz w:val="24"/>
          <w:highlight w:val="none"/>
        </w:rPr>
        <w:t>。</w:t>
      </w:r>
    </w:p>
    <w:p w14:paraId="72682BE3">
      <w:pPr>
        <w:pStyle w:val="2"/>
        <w:pageBreakBefore w:val="0"/>
        <w:kinsoku/>
        <w:wordWrap w:val="0"/>
        <w:bidi w:val="0"/>
        <w:outlineLvl w:val="2"/>
        <w:rPr>
          <w:rFonts w:hint="default" w:ascii="Times New Roman" w:hAnsi="Times New Roman" w:cs="Times New Roman"/>
          <w:color w:val="auto"/>
          <w:highlight w:val="none"/>
        </w:rPr>
      </w:pPr>
      <w:bookmarkStart w:id="161" w:name="_Toc8985"/>
      <w:bookmarkStart w:id="162" w:name="_Toc29500"/>
      <w:bookmarkStart w:id="163" w:name="_Toc13132"/>
      <w:r>
        <w:rPr>
          <w:rFonts w:hint="default" w:ascii="Times New Roman" w:hAnsi="Times New Roman" w:cs="Times New Roman"/>
          <w:color w:val="auto"/>
          <w:highlight w:val="none"/>
        </w:rPr>
        <w:t>2.4</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rPr>
        <w:t>招标文件的异议</w:t>
      </w:r>
      <w:bookmarkEnd w:id="161"/>
      <w:bookmarkEnd w:id="162"/>
      <w:bookmarkEnd w:id="163"/>
    </w:p>
    <w:p w14:paraId="0649C2A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投标人或其他利害关系人对招标文件有异议的，应在投标截止时间10日前以书面形式提出。招标人将在收到异议之日起3日内作出答复；作出答复前，将暂停招标投标活动。</w:t>
      </w:r>
    </w:p>
    <w:p w14:paraId="50139E6A">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164" w:name="_Toc5945"/>
      <w:bookmarkStart w:id="165" w:name="_Toc234832888"/>
      <w:bookmarkStart w:id="166" w:name="_Toc24250"/>
      <w:bookmarkStart w:id="167" w:name="_Toc5874"/>
      <w:r>
        <w:rPr>
          <w:rFonts w:hint="default" w:ascii="Times New Roman" w:hAnsi="Times New Roman" w:eastAsia="黑体" w:cs="Times New Roman"/>
          <w:b w:val="0"/>
          <w:color w:val="auto"/>
          <w:sz w:val="28"/>
          <w:szCs w:val="28"/>
          <w:highlight w:val="none"/>
        </w:rPr>
        <w:t>3. 投标文件</w:t>
      </w:r>
      <w:bookmarkEnd w:id="164"/>
      <w:bookmarkEnd w:id="165"/>
      <w:bookmarkEnd w:id="166"/>
      <w:bookmarkEnd w:id="167"/>
    </w:p>
    <w:p w14:paraId="6DA115E2">
      <w:pPr>
        <w:pStyle w:val="2"/>
        <w:keepNext/>
        <w:keepLines/>
        <w:pageBreakBefore w:val="0"/>
        <w:widowControl w:val="0"/>
        <w:kinsoku/>
        <w:wordWrap w:val="0"/>
        <w:overflowPunct/>
        <w:topLinePunct w:val="0"/>
        <w:autoSpaceDE/>
        <w:autoSpaceDN/>
        <w:bidi w:val="0"/>
        <w:adjustRightInd/>
        <w:snapToGrid/>
        <w:textAlignment w:val="auto"/>
        <w:outlineLvl w:val="2"/>
        <w:rPr>
          <w:rFonts w:hint="default" w:ascii="Times New Roman" w:hAnsi="Times New Roman" w:cs="Times New Roman"/>
          <w:color w:val="auto"/>
          <w:highlight w:val="none"/>
        </w:rPr>
      </w:pPr>
      <w:bookmarkStart w:id="168" w:name="_Toc18046"/>
      <w:bookmarkStart w:id="169" w:name="_Toc16758"/>
      <w:bookmarkStart w:id="170" w:name="_Toc20988"/>
      <w:bookmarkStart w:id="171" w:name="_Toc234832889"/>
      <w:r>
        <w:rPr>
          <w:rFonts w:hint="default" w:ascii="Times New Roman" w:hAnsi="Times New Roman" w:cs="Times New Roman"/>
          <w:color w:val="auto"/>
          <w:highlight w:val="none"/>
        </w:rPr>
        <w:t>3.1投标文件的组成</w:t>
      </w:r>
      <w:bookmarkEnd w:id="168"/>
      <w:bookmarkEnd w:id="169"/>
      <w:bookmarkEnd w:id="170"/>
      <w:bookmarkEnd w:id="171"/>
    </w:p>
    <w:p w14:paraId="63B10CF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投标文件应采用双信封形式，包括下列内容：</w:t>
      </w:r>
    </w:p>
    <w:p w14:paraId="40D31ED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w:t>
      </w:r>
    </w:p>
    <w:p w14:paraId="463FCA2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（1）投标函及投标函附录；</w:t>
      </w:r>
    </w:p>
    <w:p w14:paraId="44ED26B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（2）授权委托书或法定代表人身份证明；</w:t>
      </w:r>
    </w:p>
    <w:p w14:paraId="1B62145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（3）联合体协议书（如有）；</w:t>
      </w:r>
    </w:p>
    <w:p w14:paraId="3511B0F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（4）投标保证金（如有）；</w:t>
      </w:r>
    </w:p>
    <w:p w14:paraId="3F867E6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（5）施工组织设计；</w:t>
      </w:r>
    </w:p>
    <w:p w14:paraId="56BA5C4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（6）项目管理机构；</w:t>
      </w:r>
    </w:p>
    <w:p w14:paraId="18D66DD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（7）拟分包项目情况表（</w:t>
      </w:r>
      <w:r>
        <w:rPr>
          <w:rFonts w:hint="eastAsia" w:cs="Times New Roman"/>
          <w:color w:val="auto"/>
          <w:sz w:val="24"/>
          <w:highlight w:val="none"/>
          <w:lang w:val="en-US" w:eastAsia="zh-CN"/>
        </w:rPr>
        <w:t>如有</w:t>
      </w:r>
      <w:r>
        <w:rPr>
          <w:rFonts w:hint="default" w:ascii="Times New Roman" w:hAnsi="Times New Roman" w:eastAsia="宋体" w:cs="Times New Roman"/>
          <w:color w:val="auto"/>
          <w:sz w:val="24"/>
          <w:highlight w:val="none"/>
        </w:rPr>
        <w:t>）</w:t>
      </w:r>
    </w:p>
    <w:p w14:paraId="07F2556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 xml:space="preserve">）资格审查资料； </w:t>
      </w:r>
    </w:p>
    <w:p w14:paraId="64C6128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）投标人须知前附表规定的其他资料。</w:t>
      </w:r>
    </w:p>
    <w:p w14:paraId="2847C40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第二个信封（报价文件）：</w:t>
      </w:r>
    </w:p>
    <w:p w14:paraId="3BDCA4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w:t>
      </w:r>
    </w:p>
    <w:p w14:paraId="08A40CE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）已标价工程量清单；</w:t>
      </w:r>
    </w:p>
    <w:p w14:paraId="6B8B0BD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）合同用款估算表。</w:t>
      </w:r>
    </w:p>
    <w:p w14:paraId="17210E3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投标人在评标过程中作出的符合法律法规和招标文件规定的澄清确认，构成投标文件的组成部分。</w:t>
      </w:r>
    </w:p>
    <w:p w14:paraId="025110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 投标人须知前附表规定不接受联合体投标的，或投标人没有组成联合体的，投标文件不包括本章第3.1.1（3）目所指的联合体协议书。</w:t>
      </w:r>
    </w:p>
    <w:p w14:paraId="3B337193">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 投标人须知前附表未要求提交投标保证金的，投标文件不包括本章第3.1.1（4）目所指的投标保证金。</w:t>
      </w:r>
    </w:p>
    <w:p w14:paraId="1B606E1E">
      <w:pPr>
        <w:pStyle w:val="2"/>
        <w:pageBreakBefore w:val="0"/>
        <w:kinsoku/>
        <w:wordWrap w:val="0"/>
        <w:bidi w:val="0"/>
        <w:outlineLvl w:val="2"/>
        <w:rPr>
          <w:rFonts w:hint="default" w:ascii="Times New Roman" w:hAnsi="Times New Roman" w:cs="Times New Roman"/>
          <w:color w:val="auto"/>
          <w:highlight w:val="none"/>
        </w:rPr>
      </w:pPr>
      <w:bookmarkStart w:id="172" w:name="_Toc4919"/>
      <w:bookmarkStart w:id="173" w:name="_Toc234832890"/>
      <w:bookmarkStart w:id="174" w:name="_Toc25498"/>
      <w:bookmarkStart w:id="175" w:name="_Toc22349"/>
      <w:r>
        <w:rPr>
          <w:rFonts w:hint="default" w:ascii="Times New Roman" w:hAnsi="Times New Roman" w:cs="Times New Roman"/>
          <w:color w:val="auto"/>
          <w:highlight w:val="none"/>
        </w:rPr>
        <w:t>3.2 投标报价</w:t>
      </w:r>
      <w:bookmarkEnd w:id="172"/>
      <w:bookmarkEnd w:id="173"/>
      <w:bookmarkEnd w:id="174"/>
      <w:bookmarkEnd w:id="175"/>
      <w:r>
        <w:rPr>
          <w:rFonts w:hint="default" w:ascii="Times New Roman" w:hAnsi="Times New Roman" w:cs="Times New Roman"/>
          <w:color w:val="auto"/>
          <w:highlight w:val="none"/>
        </w:rPr>
        <w:t xml:space="preserve"> </w:t>
      </w:r>
    </w:p>
    <w:p w14:paraId="75CA93D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3.2.1 投标报价应包括国家规定的增值税税金，除投标人须知前附表另有规定外，增值税税金按一般计税方法计算。投标人应按第九章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的要求在投标函中进行报价并填写工程量清单相应表格。</w:t>
      </w:r>
    </w:p>
    <w:p w14:paraId="4995479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本项目招标采用工程量固化清单，招标人在</w:t>
      </w:r>
      <w:r>
        <w:rPr>
          <w:rFonts w:hint="default" w:ascii="Times New Roman" w:hAnsi="Times New Roman" w:cs="Times New Roman"/>
          <w:color w:val="auto"/>
          <w:sz w:val="24"/>
          <w:highlight w:val="none"/>
          <w:lang w:val="en-US" w:eastAsia="zh-CN"/>
        </w:rPr>
        <w:t>发布</w:t>
      </w:r>
      <w:r>
        <w:rPr>
          <w:rFonts w:hint="default" w:ascii="Times New Roman" w:hAnsi="Times New Roman" w:eastAsia="宋体" w:cs="Times New Roman"/>
          <w:color w:val="auto"/>
          <w:sz w:val="24"/>
          <w:highlight w:val="none"/>
        </w:rPr>
        <w:t>招标文件的同时将工程量固化清单电子文件上传至投标人须知前附表载明的网站供投标人自行下载。投标人填写工程量清单中各子目的单价</w:t>
      </w:r>
      <w:r>
        <w:rPr>
          <w:rFonts w:hint="eastAsia" w:cs="Times New Roman"/>
          <w:color w:val="auto"/>
          <w:sz w:val="24"/>
          <w:highlight w:val="none"/>
          <w:lang w:val="en-US" w:eastAsia="zh-CN"/>
        </w:rPr>
        <w:t>或</w:t>
      </w:r>
      <w:r>
        <w:rPr>
          <w:rFonts w:hint="default" w:ascii="Times New Roman" w:hAnsi="Times New Roman" w:eastAsia="宋体" w:cs="Times New Roman"/>
          <w:color w:val="auto"/>
          <w:sz w:val="24"/>
          <w:highlight w:val="none"/>
        </w:rPr>
        <w:t>总额价，即可完成投标工程量清单的编制，确定投标报价，并</w:t>
      </w:r>
      <w:r>
        <w:rPr>
          <w:rFonts w:hint="eastAsia" w:cs="Times New Roman"/>
          <w:color w:val="auto"/>
          <w:sz w:val="24"/>
          <w:highlight w:val="none"/>
          <w:lang w:val="en-US" w:eastAsia="zh-CN"/>
        </w:rPr>
        <w:t>生成电子版</w:t>
      </w:r>
      <w:r>
        <w:rPr>
          <w:rFonts w:hint="default" w:ascii="Times New Roman" w:hAnsi="Times New Roman" w:eastAsia="宋体" w:cs="Times New Roman"/>
          <w:color w:val="auto"/>
          <w:sz w:val="24"/>
          <w:highlight w:val="none"/>
        </w:rPr>
        <w:t>工程量清单，编入投标文件。投标人未在工程量清单中填入单价或总额价的工程子目，将被认为其已包含在工程量清单其他子目的单价和总额价中，招标人将不予支付。</w:t>
      </w:r>
    </w:p>
    <w:p w14:paraId="2CFFA6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严禁投标人修改工程量固化清单电子文件中的数据、格式及运算定义。</w:t>
      </w:r>
    </w:p>
    <w:p w14:paraId="4535C4B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投标人根据招标人提供的工程量固化清单电子文件填报完成并</w:t>
      </w:r>
      <w:r>
        <w:rPr>
          <w:rFonts w:hint="eastAsia" w:cs="Times New Roman"/>
          <w:color w:val="auto"/>
          <w:sz w:val="24"/>
          <w:highlight w:val="none"/>
          <w:lang w:val="en-US" w:eastAsia="zh-CN"/>
        </w:rPr>
        <w:t>生成</w:t>
      </w:r>
      <w:r>
        <w:rPr>
          <w:rFonts w:hint="default" w:ascii="Times New Roman" w:hAnsi="Times New Roman" w:eastAsia="宋体" w:cs="Times New Roman"/>
          <w:color w:val="auto"/>
          <w:sz w:val="24"/>
          <w:highlight w:val="none"/>
        </w:rPr>
        <w:t>的投标工程量清单中的投标报价和投标函大写金额报价应一致，如果报价金额出现差异，其投标将被否决。</w:t>
      </w:r>
    </w:p>
    <w:p w14:paraId="4BC1882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3.2.2 投标人应充分了解本项目的总体情况以及影响投标报价的其他要素。</w:t>
      </w:r>
    </w:p>
    <w:p w14:paraId="07BEE25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3.2.3 本项目的报价方式见投标人须知前附表。投标人在投标截止时间前修改投标函中的投标总报价，应同时修改投标文件</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已标价工程量清单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中的相应报价。此修改须符合本章第4.3款的有关要求。</w:t>
      </w:r>
    </w:p>
    <w:p w14:paraId="4636A65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3.2.4 投标人如果发现工程量清单中的数量与图纸中数量不一致时，应立即通知招标人核查，除非招标人</w:t>
      </w:r>
      <w:r>
        <w:rPr>
          <w:rFonts w:hint="eastAsia" w:cs="Times New Roman"/>
          <w:color w:val="auto"/>
          <w:sz w:val="24"/>
          <w:highlight w:val="none"/>
          <w:lang w:val="en-US" w:eastAsia="zh-CN"/>
        </w:rPr>
        <w:t>在指定媒介上</w:t>
      </w:r>
      <w:r>
        <w:rPr>
          <w:rFonts w:hint="default" w:ascii="Times New Roman" w:hAnsi="Times New Roman" w:eastAsia="宋体" w:cs="Times New Roman"/>
          <w:color w:val="auto"/>
          <w:sz w:val="24"/>
          <w:highlight w:val="none"/>
        </w:rPr>
        <w:t>以书面方式予以更正，否则，应以工程量清单中列出的数量为准。</w:t>
      </w:r>
    </w:p>
    <w:p w14:paraId="179F2BE8">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3.2.5 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54683DC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 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588901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 xml:space="preserve"> 招标人设有最高投标限价的，投标人的投标报价不得超过最高投标限价，最高投标限价在投标</w:t>
      </w:r>
      <w:bookmarkStart w:id="176" w:name="_Toc10429"/>
      <w:bookmarkStart w:id="177" w:name="_Toc352691488"/>
      <w:bookmarkStart w:id="178" w:name="_Toc247527569"/>
      <w:bookmarkStart w:id="179" w:name="_Toc144974512"/>
      <w:bookmarkStart w:id="180" w:name="_Toc361508600"/>
      <w:bookmarkStart w:id="181" w:name="_Toc300834965"/>
      <w:bookmarkStart w:id="182" w:name="_Toc152045544"/>
      <w:bookmarkStart w:id="183" w:name="_Toc384308225"/>
      <w:bookmarkStart w:id="184" w:name="_Toc152042320"/>
      <w:bookmarkStart w:id="185" w:name="_Toc369531531"/>
      <w:bookmarkStart w:id="186" w:name="_Toc247513968"/>
      <w:r>
        <w:rPr>
          <w:rFonts w:hint="default" w:ascii="Times New Roman" w:hAnsi="Times New Roman" w:eastAsia="宋体" w:cs="Times New Roman"/>
          <w:color w:val="auto"/>
          <w:sz w:val="24"/>
          <w:highlight w:val="none"/>
        </w:rPr>
        <w:t>人须知前附表中载明。</w:t>
      </w:r>
      <w:bookmarkEnd w:id="176"/>
      <w:bookmarkEnd w:id="177"/>
      <w:bookmarkEnd w:id="178"/>
      <w:bookmarkEnd w:id="179"/>
      <w:bookmarkEnd w:id="180"/>
      <w:bookmarkEnd w:id="181"/>
      <w:bookmarkEnd w:id="182"/>
      <w:bookmarkEnd w:id="183"/>
      <w:bookmarkEnd w:id="184"/>
      <w:bookmarkEnd w:id="185"/>
      <w:bookmarkEnd w:id="186"/>
    </w:p>
    <w:p w14:paraId="17091B3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 xml:space="preserve"> 投标报价的其他要求见投标人须知前附表。</w:t>
      </w:r>
    </w:p>
    <w:p w14:paraId="2E43A2D0">
      <w:pPr>
        <w:pStyle w:val="2"/>
        <w:pageBreakBefore w:val="0"/>
        <w:kinsoku/>
        <w:wordWrap w:val="0"/>
        <w:bidi w:val="0"/>
        <w:outlineLvl w:val="2"/>
        <w:rPr>
          <w:rFonts w:hint="default" w:ascii="Times New Roman" w:hAnsi="Times New Roman" w:cs="Times New Roman"/>
          <w:color w:val="auto"/>
          <w:highlight w:val="none"/>
        </w:rPr>
      </w:pPr>
      <w:bookmarkStart w:id="187" w:name="_Toc31161"/>
      <w:bookmarkStart w:id="188" w:name="_Toc5681"/>
      <w:bookmarkStart w:id="189" w:name="_Toc234832891"/>
      <w:bookmarkStart w:id="190" w:name="_Toc19241"/>
      <w:r>
        <w:rPr>
          <w:rFonts w:hint="default" w:ascii="Times New Roman" w:hAnsi="Times New Roman" w:cs="Times New Roman"/>
          <w:color w:val="auto"/>
          <w:highlight w:val="none"/>
        </w:rPr>
        <w:t>3.3投标有效期</w:t>
      </w:r>
      <w:bookmarkEnd w:id="187"/>
      <w:bookmarkEnd w:id="188"/>
      <w:bookmarkEnd w:id="189"/>
      <w:bookmarkEnd w:id="190"/>
    </w:p>
    <w:p w14:paraId="7FBA192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3.3.1 除投标人须知前附表另有规定外，投标有效期为90日。</w:t>
      </w:r>
    </w:p>
    <w:p w14:paraId="1FB73D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 在投标有效期内，投标人撤销投标文件的，应承担招标文件和法律规定的责任。</w:t>
      </w:r>
    </w:p>
    <w:p w14:paraId="1B61481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出现特殊情况需要延长投标有效期的，招标人</w:t>
      </w:r>
      <w:r>
        <w:rPr>
          <w:rFonts w:hint="eastAsia" w:cs="Times New Roman"/>
          <w:color w:val="auto"/>
          <w:sz w:val="24"/>
          <w:highlight w:val="none"/>
          <w:lang w:val="en-US" w:eastAsia="zh-CN"/>
        </w:rPr>
        <w:t>通过电子交易平台</w:t>
      </w:r>
      <w:r>
        <w:rPr>
          <w:rFonts w:hint="default" w:ascii="Times New Roman" w:hAnsi="Times New Roman" w:eastAsia="宋体" w:cs="Times New Roman"/>
          <w:color w:val="auto"/>
          <w:sz w:val="24"/>
          <w:highlight w:val="none"/>
        </w:rPr>
        <w:t>通知所有投标人延长投标有效期。投标人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6C5AF123">
      <w:pPr>
        <w:pStyle w:val="2"/>
        <w:pageBreakBefore w:val="0"/>
        <w:kinsoku/>
        <w:wordWrap w:val="0"/>
        <w:bidi w:val="0"/>
        <w:outlineLvl w:val="2"/>
        <w:rPr>
          <w:rFonts w:hint="default" w:ascii="Times New Roman" w:hAnsi="Times New Roman" w:cs="Times New Roman"/>
          <w:color w:val="auto"/>
          <w:highlight w:val="none"/>
        </w:rPr>
      </w:pPr>
      <w:bookmarkStart w:id="191" w:name="_Toc234832892"/>
      <w:bookmarkStart w:id="192" w:name="_Toc19805"/>
      <w:bookmarkStart w:id="193" w:name="_Toc14943"/>
      <w:bookmarkStart w:id="194" w:name="_Toc17536"/>
      <w:r>
        <w:rPr>
          <w:rFonts w:hint="default" w:ascii="Times New Roman" w:hAnsi="Times New Roman" w:cs="Times New Roman"/>
          <w:color w:val="auto"/>
          <w:highlight w:val="none"/>
        </w:rPr>
        <w:t>3.4投标保证金</w:t>
      </w:r>
      <w:bookmarkEnd w:id="191"/>
      <w:bookmarkEnd w:id="192"/>
      <w:bookmarkEnd w:id="193"/>
      <w:bookmarkEnd w:id="194"/>
    </w:p>
    <w:p w14:paraId="574901E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投标人在递交投标文件的同时，应按投标人须知前附表规定的金额和第九章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规定的投标保证金格式递交投标保证金，并作为其投标文件的组成部分。联合体投标的，其投标保证金由牵头人递交，并应符合投标人须知前附表的规定。</w:t>
      </w:r>
    </w:p>
    <w:p w14:paraId="0975C1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投标保证金应采用现金、支票、银行保函或招标人在投标人须知前附表规定的其他形式。</w:t>
      </w:r>
    </w:p>
    <w:p w14:paraId="63E16D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2622E03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（2）若采用银行保函，则应由符合投标人须知前附表规定级别的银行开具，并采用招标文件提供的格式。银行保函</w:t>
      </w:r>
      <w:r>
        <w:rPr>
          <w:rFonts w:hint="eastAsia" w:cs="Times New Roman"/>
          <w:color w:val="auto"/>
          <w:sz w:val="24"/>
          <w:highlight w:val="none"/>
          <w:lang w:eastAsia="zh-CN"/>
        </w:rPr>
        <w:t>原件扫描件</w:t>
      </w:r>
      <w:r>
        <w:rPr>
          <w:rFonts w:hint="eastAsia" w:cs="Times New Roman"/>
          <w:color w:val="auto"/>
          <w:sz w:val="24"/>
          <w:highlight w:val="none"/>
          <w:lang w:val="en-US" w:eastAsia="zh-CN"/>
        </w:rPr>
        <w:t>编辑</w:t>
      </w:r>
      <w:r>
        <w:rPr>
          <w:rFonts w:hint="default" w:ascii="Times New Roman" w:hAnsi="Times New Roman" w:eastAsia="宋体" w:cs="Times New Roman"/>
          <w:color w:val="auto"/>
          <w:sz w:val="24"/>
          <w:highlight w:val="none"/>
        </w:rPr>
        <w:t>在投标文件内。</w:t>
      </w:r>
    </w:p>
    <w:p w14:paraId="0ACC7184">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）若采用电子保函形式提交，投标人应在投标文件中提供电子保函的扫描件和电子化保函验真渠道。</w:t>
      </w:r>
    </w:p>
    <w:p w14:paraId="6308E19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无论采取何种形式的投标保证金，投标保证金有效期均应与投标有效期一致。招标人如果按本章第3.3.3项的规定延长了投标有效期，则投标保证金的有效期也相应延长。</w:t>
      </w:r>
    </w:p>
    <w:p w14:paraId="54FD29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投标人不按本章第3.4.1项要求提交投标保证金的，评标委员会将否决其投标。</w:t>
      </w:r>
    </w:p>
    <w:p w14:paraId="0E35A9F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3.4.3 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34AC7A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利息计算原则见投标人须知前附表。</w:t>
      </w:r>
    </w:p>
    <w:p w14:paraId="450D3D8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3.4.4 有下列情形之一的，投标保证金将不予退还：</w:t>
      </w:r>
    </w:p>
    <w:p w14:paraId="40CF44D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（1）投标人在投标有效期内撤销投标文件；</w:t>
      </w:r>
    </w:p>
    <w:p w14:paraId="72600D0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（2）中标人在收到中标通知书后，无正当理由不与招标人订立合同，在签订合同时向招标人提出附加条件，或不按照招标文件要求提交履约保证金；</w:t>
      </w:r>
    </w:p>
    <w:p w14:paraId="515AA88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（3）发生投标人须知前附表规定的其他可以不予退还投标保证金的情形。</w:t>
      </w:r>
    </w:p>
    <w:p w14:paraId="37D7EC72">
      <w:pPr>
        <w:pStyle w:val="2"/>
        <w:pageBreakBefore w:val="0"/>
        <w:kinsoku/>
        <w:wordWrap w:val="0"/>
        <w:bidi w:val="0"/>
        <w:outlineLvl w:val="2"/>
        <w:rPr>
          <w:rFonts w:hint="default" w:ascii="Times New Roman" w:hAnsi="Times New Roman" w:cs="Times New Roman"/>
          <w:color w:val="auto"/>
          <w:highlight w:val="none"/>
        </w:rPr>
      </w:pPr>
      <w:bookmarkStart w:id="195" w:name="_Toc19802"/>
      <w:bookmarkStart w:id="196" w:name="_Toc32650"/>
      <w:bookmarkStart w:id="197" w:name="_Toc6927"/>
      <w:bookmarkStart w:id="198" w:name="_Toc234832894"/>
      <w:r>
        <w:rPr>
          <w:rFonts w:hint="default" w:ascii="Times New Roman" w:hAnsi="Times New Roman" w:cs="Times New Roman"/>
          <w:color w:val="auto"/>
          <w:highlight w:val="none"/>
        </w:rPr>
        <w:t>3.5资格审查资料</w:t>
      </w:r>
      <w:bookmarkEnd w:id="195"/>
      <w:bookmarkEnd w:id="196"/>
      <w:bookmarkEnd w:id="197"/>
      <w:bookmarkEnd w:id="198"/>
    </w:p>
    <w:p w14:paraId="5656090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除投标人须知前附表另有规定外，投标人应按下列规定提供资格审查资料，以证明其满足本章第1.4款规定的资质、财务、业绩、信誉等要求。</w:t>
      </w:r>
    </w:p>
    <w:p w14:paraId="3E0CE328">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val="en-US" w:eastAsia="zh-CN"/>
        </w:rPr>
        <w:t>主体信息库</w:t>
      </w:r>
      <w:r>
        <w:rPr>
          <w:rFonts w:hint="default" w:ascii="Times New Roman" w:hAnsi="Times New Roman" w:eastAsia="宋体" w:cs="Times New Roman"/>
          <w:color w:val="auto"/>
          <w:sz w:val="24"/>
          <w:szCs w:val="24"/>
          <w:highlight w:val="none"/>
        </w:rPr>
        <w:t>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36433C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3.5.1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投标人基本情况表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，投标人在交通运输部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公路工程施工资质企业名录中的网页截图</w:t>
      </w:r>
      <w:r>
        <w:rPr>
          <w:rStyle w:val="47"/>
          <w:rFonts w:ascii="Times New Roman" w:hAnsi="Times New Roman" w:eastAsia="宋体" w:cs="Times New Roman"/>
          <w:color w:val="auto"/>
          <w:highlight w:val="none"/>
        </w:rPr>
        <w:footnoteReference w:id="23"/>
      </w:r>
      <w:r>
        <w:rPr>
          <w:rFonts w:hint="default" w:ascii="Times New Roman" w:hAnsi="Times New Roman" w:eastAsia="宋体" w:cs="Times New Roman"/>
          <w:color w:val="auto"/>
          <w:sz w:val="24"/>
          <w:highlight w:val="none"/>
        </w:rPr>
        <w:t>，以及投标人在国家企业信用信息公示系统中基础信息（体现股东及出资详细信息）的网页截图。</w:t>
      </w:r>
    </w:p>
    <w:p w14:paraId="13221C9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应提供全本（证书封面、封底、空白页除外），应包括投标人名称、投标人其他相关信息、颁发机构名称、投标人信息变更情况等关键页在内。</w:t>
      </w:r>
    </w:p>
    <w:p w14:paraId="52B44C1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3.5.2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财务状况表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应附经会计师事务所或审计机构审计的财务会计报表，包括资产负债表、现金流量表、利润表和财务情况说明书的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，具体年份要求见投标人须知前附表。投标人的成立时间少于投标人须知前附表规定年份的，应提供成立以来的财务状况表。</w:t>
      </w:r>
    </w:p>
    <w:p w14:paraId="70631A90">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3.5.3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近年完成的类似项目</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具体时间要求见投标人须知前附表。</w:t>
      </w:r>
    </w:p>
    <w:p w14:paraId="23692583">
      <w:pPr>
        <w:pageBreakBefore w:val="0"/>
        <w:kinsoku/>
        <w:wordWrap w:val="0"/>
        <w:topLinePunct/>
        <w:bidi w:val="0"/>
        <w:spacing w:line="400" w:lineRule="atLeast"/>
        <w:ind w:firstLine="480" w:firstLineChars="200"/>
        <w:rPr>
          <w:rFonts w:hint="eastAsia" w:ascii="宋体" w:hAnsi="宋体" w:eastAsia="宋体" w:cs="宋体"/>
          <w:color w:val="auto"/>
          <w:sz w:val="24"/>
          <w:highlight w:val="none"/>
        </w:rPr>
      </w:pPr>
      <w:r>
        <w:rPr>
          <w:rFonts w:hint="eastAsia" w:cs="Times New Roman"/>
          <w:color w:val="auto"/>
          <w:sz w:val="24"/>
          <w:highlight w:val="none"/>
          <w:lang w:val="en-US" w:eastAsia="zh-CN"/>
        </w:rPr>
        <w:t>投标人应在</w:t>
      </w:r>
      <w:r>
        <w:rPr>
          <w:rFonts w:hint="eastAsia" w:ascii="宋体" w:hAnsi="宋体" w:eastAsia="宋体" w:cs="宋体"/>
          <w:color w:val="auto"/>
          <w:sz w:val="24"/>
          <w:highlight w:val="none"/>
        </w:rPr>
        <w:t>“辽宁省公共资源交易一张网电子化平台”</w:t>
      </w:r>
      <w:r>
        <w:rPr>
          <w:rFonts w:hint="eastAsia" w:ascii="宋体" w:hAnsi="宋体" w:cs="宋体"/>
          <w:color w:val="auto"/>
          <w:sz w:val="24"/>
          <w:highlight w:val="none"/>
          <w:lang w:eastAsia="zh-CN"/>
        </w:rPr>
        <w:t>主体信息库</w:t>
      </w:r>
      <w:r>
        <w:rPr>
          <w:rFonts w:hint="eastAsia" w:ascii="宋体" w:hAnsi="宋体" w:eastAsia="宋体" w:cs="宋体"/>
          <w:color w:val="auto"/>
          <w:sz w:val="24"/>
          <w:highlight w:val="none"/>
        </w:rPr>
        <w:t>中选择并进行超链接</w:t>
      </w:r>
      <w:r>
        <w:rPr>
          <w:rFonts w:hint="eastAsia" w:ascii="宋体" w:hAnsi="宋体" w:cs="宋体"/>
          <w:color w:val="auto"/>
          <w:sz w:val="24"/>
          <w:highlight w:val="none"/>
          <w:lang w:eastAsia="zh-CN"/>
        </w:rPr>
        <w:t>。</w:t>
      </w:r>
    </w:p>
    <w:p w14:paraId="0257933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投标人的信誉情况表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应附投标人在国家企业信用信息公示系统中未被列入严重违法失信企业名单、在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信用中国</w:t>
      </w:r>
      <w:r>
        <w:rPr>
          <w:rFonts w:hint="eastAsia" w:ascii="宋体" w:hAnsi="宋体" w:eastAsia="宋体" w:cs="宋体"/>
          <w:color w:val="auto"/>
          <w:sz w:val="24"/>
          <w:highlight w:val="none"/>
        </w:rPr>
        <w:t>”（或中国执行信息公开网）</w:t>
      </w:r>
      <w:r>
        <w:rPr>
          <w:rFonts w:hint="default" w:ascii="Times New Roman" w:hAnsi="Times New Roman" w:eastAsia="宋体" w:cs="Times New Roman"/>
          <w:color w:val="auto"/>
          <w:sz w:val="24"/>
          <w:highlight w:val="none"/>
        </w:rPr>
        <w:t>网站中未被列入失信被执行人名单的网页截图，以及</w:t>
      </w:r>
      <w:r>
        <w:rPr>
          <w:rFonts w:hint="default" w:ascii="Times New Roman" w:hAnsi="Times New Roman" w:cs="Times New Roman"/>
          <w:color w:val="auto"/>
          <w:sz w:val="24"/>
          <w:szCs w:val="24"/>
          <w:highlight w:val="none"/>
          <w:lang w:val="en-US" w:eastAsia="zh-CN"/>
        </w:rPr>
        <w:t>近三年内（以投标截止日期为截止日、往前推算3个年度）投标人单位、个人（指法定代表人、拟投入的项目经理）均无行贿犯罪行为的书面承诺</w:t>
      </w:r>
      <w:r>
        <w:rPr>
          <w:rFonts w:hint="eastAsia" w:cs="Times New Roman"/>
          <w:color w:val="auto"/>
          <w:sz w:val="24"/>
          <w:szCs w:val="24"/>
          <w:highlight w:val="none"/>
          <w:lang w:val="en-US" w:eastAsia="zh-CN"/>
        </w:rPr>
        <w:t>“原件扫描件”</w:t>
      </w:r>
      <w:r>
        <w:rPr>
          <w:rFonts w:hint="default" w:ascii="Times New Roman" w:hAnsi="Times New Roman" w:cs="Times New Roman"/>
          <w:color w:val="auto"/>
          <w:sz w:val="24"/>
          <w:szCs w:val="24"/>
          <w:highlight w:val="none"/>
          <w:lang w:val="en-US" w:eastAsia="zh-CN"/>
        </w:rPr>
        <w:t>（格式详见招标文件第九章）</w:t>
      </w:r>
      <w:r>
        <w:rPr>
          <w:rFonts w:hint="default" w:ascii="Times New Roman" w:hAnsi="Times New Roman" w:eastAsia="宋体" w:cs="Times New Roman"/>
          <w:color w:val="auto"/>
          <w:sz w:val="24"/>
          <w:highlight w:val="none"/>
        </w:rPr>
        <w:t>。</w:t>
      </w:r>
    </w:p>
    <w:p w14:paraId="653B945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3.5.5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拟委任的项目经理和项目总工资历表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应附项目经理和项目总工的身份证、职称资格证书以及资格审查条件所要求的其他相关证书（如建造师注册证书、安全生产考核合格证书等）的</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建造师注册证书、安全生产考核合格证书在政府相关部门网站上公开信息的网页截图，以及投标人所属社保机构出具的拟委任的项目经理和项目总工的社保缴费证明或其他能够证明拟委任的项目经理和项目总工参加社保的有效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w:t>
      </w:r>
    </w:p>
    <w:p w14:paraId="45BB6C36">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如项目经理或项目总工目前仍在其他项目上任职，则投标人应提供承诺上述人员能够从该项目撤离的书面</w:t>
      </w:r>
      <w:r>
        <w:rPr>
          <w:rFonts w:hint="eastAsia" w:cs="Times New Roman"/>
          <w:color w:val="auto"/>
          <w:sz w:val="24"/>
          <w:highlight w:val="none"/>
          <w:lang w:val="en-US" w:eastAsia="zh-CN"/>
        </w:rPr>
        <w:t>承诺</w:t>
      </w:r>
      <w:r>
        <w:rPr>
          <w:rFonts w:hint="default" w:ascii="Times New Roman" w:hAnsi="Times New Roman" w:eastAsia="宋体" w:cs="Times New Roman"/>
          <w:color w:val="auto"/>
          <w:sz w:val="24"/>
          <w:highlight w:val="none"/>
        </w:rPr>
        <w:t>。</w:t>
      </w:r>
    </w:p>
    <w:p w14:paraId="2944DC49">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3.5.6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拟委任的其他管理和技术人员汇总表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（如有）应填报满足投标人须知前附表附录6规定的其他人员的相关信息。</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拟委任的其他管理和技术人员资历表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（如有）中相关人员应附身份证、职称资格证书以及资格审查条件所要求的其他相关证书的</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，相关业绩证明材料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，以及投标人所属社保机构出具的社保缴费证明或其他能够证明其参加社保的有效证明材料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w:t>
      </w:r>
    </w:p>
    <w:p w14:paraId="009E9BF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3.5.7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拟投入本标段的主要施工机械表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拟配备本标段的主要材料试验、测量、质检仪器设备表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（如有）应填报满足投标人须知前附表附录7规定的机械设备和试验检测设备。</w:t>
      </w:r>
    </w:p>
    <w:p w14:paraId="730FA795">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3.5.8 投标人须知前附表规定接受联合体投标的，本章第3.5.1项至第3.5.7项规定的表格和资料应包括联合体各方相关情况。</w:t>
      </w:r>
    </w:p>
    <w:p w14:paraId="6533DE31">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3.5.9 除合同条款约定的特殊情形外，投标人在投标文件中填报的项目经理和项目总工不允许更换。</w:t>
      </w:r>
    </w:p>
    <w:p w14:paraId="64C5A0C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3.5.10 投标人应根据本单位实际情况及时完成相关信息的申报、录入和动态更新，并对相关信息的真实性、完整性和准确性负责。</w:t>
      </w:r>
    </w:p>
    <w:p w14:paraId="74D03924">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3.5.11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％签约合同价的金额作为违约金。同时招标人将投标人上述弄虚作假行为上报省级交通运输主管部门，作为不良记录纳入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eastAsia="宋体" w:cs="Times New Roman"/>
          <w:color w:val="auto"/>
          <w:sz w:val="24"/>
          <w:highlight w:val="none"/>
        </w:rPr>
        <w:t>。</w:t>
      </w:r>
    </w:p>
    <w:p w14:paraId="6D9EB33B">
      <w:pPr>
        <w:pStyle w:val="2"/>
        <w:pageBreakBefore w:val="0"/>
        <w:kinsoku/>
        <w:wordWrap w:val="0"/>
        <w:bidi w:val="0"/>
        <w:outlineLvl w:val="2"/>
        <w:rPr>
          <w:rFonts w:hint="default" w:ascii="Times New Roman" w:hAnsi="Times New Roman" w:cs="Times New Roman"/>
          <w:color w:val="auto"/>
          <w:highlight w:val="none"/>
        </w:rPr>
      </w:pPr>
      <w:bookmarkStart w:id="199" w:name="_Toc28562"/>
      <w:bookmarkStart w:id="200" w:name="_Toc21591"/>
      <w:bookmarkStart w:id="201" w:name="_Toc234832895"/>
      <w:bookmarkStart w:id="202" w:name="_Toc28097"/>
      <w:r>
        <w:rPr>
          <w:rFonts w:hint="default" w:ascii="Times New Roman" w:hAnsi="Times New Roman" w:cs="Times New Roman"/>
          <w:color w:val="auto"/>
          <w:highlight w:val="none"/>
        </w:rPr>
        <w:t>3.6 备选投标方案</w:t>
      </w:r>
      <w:bookmarkEnd w:id="199"/>
      <w:bookmarkEnd w:id="200"/>
      <w:bookmarkEnd w:id="201"/>
      <w:bookmarkEnd w:id="202"/>
    </w:p>
    <w:p w14:paraId="67D6508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除投标人须知前附表规定允许外，投标人不得递交备选投标方案，否则其投标将被否决。</w:t>
      </w:r>
    </w:p>
    <w:p w14:paraId="35AF26CB">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5109B8A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投标人提供两个或两个以上投标报价，或在投标文件中提供一个报价，但同时提供两个或两个以上</w:t>
      </w:r>
      <w:bookmarkStart w:id="203" w:name="_Toc247513974"/>
      <w:bookmarkStart w:id="204" w:name="_Toc152045550"/>
      <w:bookmarkStart w:id="205" w:name="_Toc300834971"/>
      <w:bookmarkStart w:id="206" w:name="_Toc247527575"/>
      <w:bookmarkStart w:id="207" w:name="_Toc144974518"/>
      <w:bookmarkStart w:id="208" w:name="_Toc384308232"/>
      <w:bookmarkStart w:id="209" w:name="_Toc369531538"/>
      <w:bookmarkStart w:id="210" w:name="_Toc29902"/>
      <w:bookmarkStart w:id="211" w:name="_Toc152042326"/>
      <w:bookmarkStart w:id="212" w:name="_Toc352691495"/>
      <w:bookmarkStart w:id="213" w:name="_Toc361508607"/>
      <w:r>
        <w:rPr>
          <w:rFonts w:hint="default" w:ascii="Times New Roman" w:hAnsi="Times New Roman" w:eastAsia="宋体" w:cs="Times New Roman"/>
          <w:color w:val="auto"/>
          <w:sz w:val="24"/>
          <w:highlight w:val="none"/>
        </w:rPr>
        <w:t>施工组织设计的</w:t>
      </w:r>
      <w:bookmarkEnd w:id="203"/>
      <w:bookmarkEnd w:id="204"/>
      <w:bookmarkEnd w:id="205"/>
      <w:bookmarkEnd w:id="206"/>
      <w:bookmarkEnd w:id="207"/>
      <w:bookmarkEnd w:id="208"/>
      <w:bookmarkEnd w:id="209"/>
      <w:bookmarkEnd w:id="210"/>
      <w:bookmarkEnd w:id="211"/>
      <w:bookmarkEnd w:id="212"/>
      <w:bookmarkEnd w:id="213"/>
      <w:r>
        <w:rPr>
          <w:rFonts w:hint="default" w:ascii="Times New Roman" w:hAnsi="Times New Roman" w:eastAsia="宋体" w:cs="Times New Roman"/>
          <w:color w:val="auto"/>
          <w:sz w:val="24"/>
          <w:highlight w:val="none"/>
        </w:rPr>
        <w:t>，视为提供备选方案。</w:t>
      </w:r>
    </w:p>
    <w:p w14:paraId="0051AD68">
      <w:pPr>
        <w:pStyle w:val="2"/>
        <w:pageBreakBefore w:val="0"/>
        <w:kinsoku/>
        <w:wordWrap w:val="0"/>
        <w:bidi w:val="0"/>
        <w:outlineLvl w:val="2"/>
        <w:rPr>
          <w:rFonts w:hint="default" w:ascii="Times New Roman" w:hAnsi="Times New Roman" w:cs="Times New Roman"/>
          <w:color w:val="auto"/>
          <w:highlight w:val="none"/>
        </w:rPr>
      </w:pPr>
      <w:bookmarkStart w:id="214" w:name="_Toc4837"/>
      <w:bookmarkStart w:id="215" w:name="_Toc234832896"/>
      <w:bookmarkStart w:id="216" w:name="_Toc13945"/>
      <w:bookmarkStart w:id="217" w:name="_Toc10660"/>
      <w:r>
        <w:rPr>
          <w:rFonts w:hint="default" w:ascii="Times New Roman" w:hAnsi="Times New Roman" w:cs="Times New Roman"/>
          <w:color w:val="auto"/>
          <w:highlight w:val="none"/>
        </w:rPr>
        <w:t>3.7 投标文件的编制</w:t>
      </w:r>
      <w:bookmarkEnd w:id="214"/>
      <w:bookmarkEnd w:id="215"/>
      <w:bookmarkEnd w:id="216"/>
      <w:bookmarkEnd w:id="217"/>
    </w:p>
    <w:p w14:paraId="4AE8155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3.7.1 投标文件应按第九章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进行编写，如有必要，可以增加附页，作为投标文件的组成部分。其中，投标函附录在满足招标文件实质性要求的基础上，可以提出比招标文件要求更有利于招标人的承诺。</w:t>
      </w:r>
    </w:p>
    <w:p w14:paraId="10C5121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3.7.2 投标文件应对招标文件有关工期、投标有效期、质量要求、安全目标、技术标准和要求、招标范围等实质性内容作出响应。</w:t>
      </w:r>
    </w:p>
    <w:p w14:paraId="4B28E56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3.7.3 投标文件的制作应满足以下规定：</w:t>
      </w:r>
    </w:p>
    <w:p w14:paraId="13D7BDD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（1）投标文件由投标人使用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自带的</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制作生成。</w:t>
      </w:r>
    </w:p>
    <w:p w14:paraId="636EDAC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（2）投标人在编制投标文件时应建立分级目录，并按照标签提示导入相关内容。</w:t>
      </w:r>
    </w:p>
    <w:p w14:paraId="55B3B1BC">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主体信息库</w:t>
      </w:r>
      <w:r>
        <w:rPr>
          <w:rFonts w:hint="default" w:ascii="Times New Roman" w:hAnsi="Times New Roman" w:cs="Times New Roman"/>
          <w:color w:val="auto"/>
          <w:sz w:val="24"/>
          <w:szCs w:val="24"/>
          <w:highlight w:val="none"/>
        </w:rPr>
        <w:t>中选择并进行超链接，未标示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的证明资料均应直接制作生成。</w:t>
      </w:r>
    </w:p>
    <w:p w14:paraId="2CFC63F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（4）投标文件中的已标价报价清单数据文件应与招标人提供的报价清单数据文件格式一致。</w:t>
      </w:r>
    </w:p>
    <w:p w14:paraId="228DF0F1">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（5）第</w:t>
      </w:r>
      <w:r>
        <w:rPr>
          <w:rFonts w:hint="default" w:ascii="Times New Roman" w:hAnsi="Times New Roman" w:cs="Times New Roman"/>
          <w:color w:val="auto"/>
          <w:sz w:val="24"/>
          <w:szCs w:val="24"/>
          <w:highlight w:val="none"/>
          <w:lang w:val="en-US" w:eastAsia="zh-CN"/>
        </w:rPr>
        <w:t>九</w:t>
      </w:r>
      <w:r>
        <w:rPr>
          <w:rFonts w:hint="default" w:ascii="Times New Roman" w:hAnsi="Times New Roman" w:cs="Times New Roman"/>
          <w:color w:val="auto"/>
          <w:sz w:val="24"/>
          <w:szCs w:val="24"/>
          <w:highlight w:val="none"/>
        </w:rPr>
        <w:t>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投标文件格式</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中要求盖单位章和（或）签字的地方，投标人均应使用CA 数字证书加盖投标人的单位电子印章和（或）法定代表人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。联合体投标的，投标文件由联合体牵头人按上述规定加盖联合体牵头人单位电子印章和（或）法定代表人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w:t>
      </w:r>
    </w:p>
    <w:p w14:paraId="692DADD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（6）投标文件制作完成后，投标人应使用CA 数字证书对投标文件进行文件加密，形成加密的投标文件。</w:t>
      </w:r>
    </w:p>
    <w:p w14:paraId="1006429A">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（7）投标文件制作的具体方法详见</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中的</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操作指南</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rPr>
        <w:t>。</w:t>
      </w:r>
    </w:p>
    <w:p w14:paraId="4B065315">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3.7.4 因投标人自身原因而导致投标文件无法导入</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电子开标、评标系统，该投标视为无效投标，投标人自行承担由此导致的全部责任</w:t>
      </w:r>
      <w:r>
        <w:rPr>
          <w:rFonts w:hint="default" w:ascii="Times New Roman" w:hAnsi="Times New Roman" w:cs="Times New Roman"/>
          <w:color w:val="auto"/>
          <w:sz w:val="24"/>
          <w:szCs w:val="24"/>
          <w:highlight w:val="none"/>
          <w:lang w:eastAsia="zh-CN"/>
        </w:rPr>
        <w:t>。</w:t>
      </w:r>
    </w:p>
    <w:p w14:paraId="38A052AA">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3.7.5 </w:t>
      </w:r>
      <w:r>
        <w:rPr>
          <w:rFonts w:hint="default" w:ascii="Times New Roman" w:hAnsi="Times New Roman" w:cs="Times New Roman"/>
          <w:color w:val="auto"/>
          <w:sz w:val="24"/>
          <w:szCs w:val="24"/>
          <w:highlight w:val="none"/>
        </w:rPr>
        <w:t>投标文件上传的要求</w:t>
      </w:r>
      <w:r>
        <w:rPr>
          <w:rFonts w:hint="default" w:ascii="Times New Roman" w:hAnsi="Times New Roman" w:cs="Times New Roman"/>
          <w:color w:val="auto"/>
          <w:sz w:val="24"/>
          <w:szCs w:val="24"/>
          <w:highlight w:val="none"/>
          <w:lang w:val="en-US" w:eastAsia="zh-CN"/>
        </w:rPr>
        <w:t>：见投标人须知前附表。</w:t>
      </w:r>
    </w:p>
    <w:p w14:paraId="3D56ED4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 投标文件其他要求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见投标人须知前附表。</w:t>
      </w:r>
    </w:p>
    <w:p w14:paraId="097ADD9C">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18" w:name="_Toc17066"/>
      <w:bookmarkStart w:id="219" w:name="_Toc234832897"/>
      <w:bookmarkStart w:id="220" w:name="_Toc3604"/>
      <w:bookmarkStart w:id="221" w:name="_Toc25479"/>
      <w:r>
        <w:rPr>
          <w:rFonts w:hint="default" w:ascii="Times New Roman" w:hAnsi="Times New Roman" w:eastAsia="黑体" w:cs="Times New Roman"/>
          <w:b w:val="0"/>
          <w:color w:val="auto"/>
          <w:sz w:val="28"/>
          <w:szCs w:val="28"/>
          <w:highlight w:val="none"/>
        </w:rPr>
        <w:t>4. 投标</w:t>
      </w:r>
      <w:bookmarkEnd w:id="218"/>
      <w:bookmarkEnd w:id="219"/>
      <w:bookmarkEnd w:id="220"/>
      <w:bookmarkEnd w:id="221"/>
      <w:r>
        <w:rPr>
          <w:rFonts w:hint="default" w:ascii="Times New Roman" w:hAnsi="Times New Roman" w:eastAsia="黑体" w:cs="Times New Roman"/>
          <w:b w:val="0"/>
          <w:color w:val="auto"/>
          <w:sz w:val="28"/>
          <w:szCs w:val="28"/>
          <w:highlight w:val="none"/>
        </w:rPr>
        <w:tab/>
      </w:r>
    </w:p>
    <w:p w14:paraId="44EF4257">
      <w:pPr>
        <w:pStyle w:val="2"/>
        <w:pageBreakBefore w:val="0"/>
        <w:kinsoku/>
        <w:wordWrap w:val="0"/>
        <w:bidi w:val="0"/>
        <w:outlineLvl w:val="2"/>
        <w:rPr>
          <w:rFonts w:hint="default" w:ascii="Times New Roman" w:hAnsi="Times New Roman" w:cs="Times New Roman"/>
          <w:color w:val="auto"/>
          <w:highlight w:val="none"/>
        </w:rPr>
      </w:pPr>
      <w:bookmarkStart w:id="222" w:name="_Toc17200"/>
      <w:bookmarkStart w:id="223" w:name="_Toc2664"/>
      <w:bookmarkStart w:id="224" w:name="_Toc21870"/>
      <w:bookmarkStart w:id="225" w:name="_Toc26001"/>
      <w:r>
        <w:rPr>
          <w:rFonts w:hint="default" w:ascii="Times New Roman" w:hAnsi="Times New Roman" w:cs="Times New Roman"/>
          <w:color w:val="auto"/>
          <w:highlight w:val="none"/>
        </w:rPr>
        <w:t>4.1 投标文件的密封和标记</w:t>
      </w:r>
      <w:bookmarkEnd w:id="222"/>
      <w:bookmarkEnd w:id="223"/>
      <w:bookmarkEnd w:id="224"/>
      <w:bookmarkEnd w:id="225"/>
    </w:p>
    <w:p w14:paraId="4482885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投标文件应按照本章第3.7.3项要求制作并加密，未按要求加密的投标文件，招标人（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）将拒绝接收并提示。</w:t>
      </w:r>
    </w:p>
    <w:p w14:paraId="16AD3B24">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p>
    <w:p w14:paraId="3FD6C694">
      <w:pPr>
        <w:pStyle w:val="2"/>
        <w:pageBreakBefore w:val="0"/>
        <w:kinsoku/>
        <w:wordWrap w:val="0"/>
        <w:bidi w:val="0"/>
        <w:outlineLvl w:val="2"/>
        <w:rPr>
          <w:rFonts w:hint="default" w:ascii="Times New Roman" w:hAnsi="Times New Roman" w:cs="Times New Roman"/>
          <w:color w:val="auto"/>
          <w:highlight w:val="none"/>
        </w:rPr>
      </w:pPr>
      <w:bookmarkStart w:id="226" w:name="_Toc10211"/>
      <w:bookmarkStart w:id="227" w:name="_Toc8968"/>
      <w:bookmarkStart w:id="228" w:name="_Toc10897"/>
      <w:bookmarkStart w:id="229" w:name="_Toc26071"/>
      <w:r>
        <w:rPr>
          <w:rFonts w:hint="default" w:ascii="Times New Roman" w:hAnsi="Times New Roman" w:cs="Times New Roman"/>
          <w:color w:val="auto"/>
          <w:highlight w:val="none"/>
        </w:rPr>
        <w:t>4.2 投标文件的递交</w:t>
      </w:r>
      <w:bookmarkEnd w:id="226"/>
      <w:bookmarkEnd w:id="227"/>
      <w:bookmarkEnd w:id="228"/>
      <w:bookmarkEnd w:id="229"/>
    </w:p>
    <w:p w14:paraId="653AC8E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4.2.1 投标人应在第一章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招标公告</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规定的投标截止时间前，通过互联网使用CA数字证书登录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p w14:paraId="4DBC5F7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4.2.2 根据本章第4.1款的规定，投标人递交的投标文件，只要出现应当拒收的情形，其投标文件予以拒收。</w:t>
      </w:r>
    </w:p>
    <w:p w14:paraId="7A6ED276">
      <w:pPr>
        <w:pStyle w:val="2"/>
        <w:pageBreakBefore w:val="0"/>
        <w:kinsoku/>
        <w:wordWrap w:val="0"/>
        <w:bidi w:val="0"/>
        <w:outlineLvl w:val="2"/>
        <w:rPr>
          <w:rFonts w:hint="default" w:ascii="Times New Roman" w:hAnsi="Times New Roman" w:cs="Times New Roman"/>
          <w:color w:val="auto"/>
          <w:highlight w:val="none"/>
        </w:rPr>
      </w:pPr>
      <w:bookmarkStart w:id="230" w:name="_Toc31061"/>
      <w:bookmarkStart w:id="231" w:name="_Toc16651"/>
      <w:bookmarkStart w:id="232" w:name="_Toc19209"/>
      <w:bookmarkStart w:id="233" w:name="_Toc10369"/>
      <w:r>
        <w:rPr>
          <w:rFonts w:hint="default" w:ascii="Times New Roman" w:hAnsi="Times New Roman" w:cs="Times New Roman"/>
          <w:color w:val="auto"/>
          <w:highlight w:val="none"/>
        </w:rPr>
        <w:t>4.3 投标文件的修改与撤回</w:t>
      </w:r>
      <w:bookmarkEnd w:id="230"/>
      <w:bookmarkEnd w:id="231"/>
      <w:bookmarkEnd w:id="232"/>
      <w:bookmarkEnd w:id="233"/>
    </w:p>
    <w:p w14:paraId="106DF24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4.3.1 在本章第4.2.1项规定的投标截止时间前，投标人可以修改或撤回已递交的投标文件。投标人对加密的投标文件进行撤回的，应在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直接进行撤回操作；投标人对加密的投标文件进行修改的，应在投标截止时间前完成上传。</w:t>
      </w:r>
    </w:p>
    <w:p w14:paraId="4E848C94">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4.3.2 投标人修改投标文件的，应使用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制作成完整的投标文件，并按照本章第3条、第4条规定进行编制、加密和递交。对采用网上递交的加密的投标文件，以投标截止时间前最后完成上传的文件为准。</w:t>
      </w:r>
    </w:p>
    <w:p w14:paraId="54FAD73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4.3.3 投标人撤回投标文件的，招标人自收到投标人书面撤回通知之日起5日内退还已收取的投标保证金。</w:t>
      </w:r>
    </w:p>
    <w:p w14:paraId="246D63C7">
      <w:pPr>
        <w:pStyle w:val="2"/>
        <w:pageBreakBefore w:val="0"/>
        <w:kinsoku/>
        <w:wordWrap w:val="0"/>
        <w:bidi w:val="0"/>
        <w:outlineLvl w:val="1"/>
        <w:rPr>
          <w:rFonts w:hint="default" w:ascii="Times New Roman" w:hAnsi="Times New Roman" w:cs="Times New Roman"/>
          <w:color w:val="auto"/>
          <w:highlight w:val="none"/>
        </w:rPr>
      </w:pPr>
      <w:bookmarkStart w:id="234" w:name="_Toc234832901"/>
      <w:bookmarkStart w:id="235" w:name="_Toc31196"/>
      <w:bookmarkStart w:id="236" w:name="_Toc29100"/>
      <w:bookmarkStart w:id="237" w:name="_Toc1833"/>
      <w:r>
        <w:rPr>
          <w:rFonts w:hint="default" w:ascii="Times New Roman" w:hAnsi="Times New Roman" w:cs="Times New Roman"/>
          <w:color w:val="auto"/>
          <w:highlight w:val="none"/>
        </w:rPr>
        <w:t>5. 开标</w:t>
      </w:r>
      <w:bookmarkEnd w:id="234"/>
      <w:bookmarkEnd w:id="235"/>
      <w:bookmarkEnd w:id="236"/>
      <w:bookmarkEnd w:id="237"/>
    </w:p>
    <w:p w14:paraId="6B35FD15">
      <w:pPr>
        <w:pStyle w:val="2"/>
        <w:pageBreakBefore w:val="0"/>
        <w:kinsoku/>
        <w:wordWrap w:val="0"/>
        <w:bidi w:val="0"/>
        <w:outlineLvl w:val="2"/>
        <w:rPr>
          <w:rFonts w:hint="default" w:ascii="Times New Roman" w:hAnsi="Times New Roman" w:cs="Times New Roman"/>
          <w:color w:val="auto"/>
          <w:highlight w:val="none"/>
        </w:rPr>
      </w:pPr>
      <w:bookmarkStart w:id="238" w:name="_Toc6841"/>
      <w:bookmarkStart w:id="239" w:name="_Toc2581"/>
      <w:bookmarkStart w:id="240" w:name="_Toc22056"/>
      <w:bookmarkStart w:id="241" w:name="_Toc234832902"/>
      <w:r>
        <w:rPr>
          <w:rFonts w:hint="default" w:ascii="Times New Roman" w:hAnsi="Times New Roman" w:cs="Times New Roman"/>
          <w:color w:val="auto"/>
          <w:highlight w:val="none"/>
        </w:rPr>
        <w:t>5.1 开标时间和地点</w:t>
      </w:r>
      <w:bookmarkEnd w:id="238"/>
      <w:bookmarkEnd w:id="239"/>
      <w:bookmarkEnd w:id="240"/>
    </w:p>
    <w:p w14:paraId="74EC065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5.1.1 招标人在投标人须知前附表规定的投标截止时间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开标时间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和地点在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辽宁省公共资源交易中心不见面开标大厅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）上公开进行第一个信封（商务及技术文件）开标，所有投标人均应当准时在线参加开标。</w:t>
      </w:r>
    </w:p>
    <w:p w14:paraId="7E56763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招标人还将在投标人须知前附表规定的时间和地点对投标文件第二个信封（报价文件）在</w:t>
      </w:r>
      <w:r>
        <w:rPr>
          <w:rFonts w:hint="eastAsia" w:ascii="宋体" w:hAnsi="宋体" w:eastAsia="宋体" w:cs="宋体"/>
          <w:color w:val="auto"/>
          <w:sz w:val="24"/>
          <w:highlight w:val="none"/>
        </w:rPr>
        <w:t>“不见面开标大厅”</w:t>
      </w:r>
      <w:r>
        <w:rPr>
          <w:rFonts w:hint="default" w:ascii="Times New Roman" w:hAnsi="Times New Roman" w:eastAsia="宋体" w:cs="Times New Roman"/>
          <w:color w:val="auto"/>
          <w:sz w:val="24"/>
          <w:highlight w:val="none"/>
        </w:rPr>
        <w:t>进行公开开标，并邀请所有投标人代表准时参加。</w:t>
      </w:r>
    </w:p>
    <w:p w14:paraId="7A7B1A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投标人代表应按时参加第一个信封（商务及技术文件）及第二个信封（报价文件）</w:t>
      </w:r>
      <w:r>
        <w:rPr>
          <w:rFonts w:hint="eastAsia" w:cs="Times New Roman"/>
          <w:color w:val="auto"/>
          <w:sz w:val="24"/>
          <w:highlight w:val="none"/>
          <w:lang w:val="en-US" w:eastAsia="zh-CN"/>
        </w:rPr>
        <w:t>线上</w:t>
      </w:r>
      <w:r>
        <w:rPr>
          <w:rFonts w:hint="default" w:ascii="Times New Roman" w:hAnsi="Times New Roman" w:eastAsia="宋体" w:cs="Times New Roman"/>
          <w:color w:val="auto"/>
          <w:sz w:val="24"/>
          <w:highlight w:val="none"/>
        </w:rPr>
        <w:t>开标会。</w:t>
      </w:r>
    </w:p>
    <w:p w14:paraId="2BCDC2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5.1.2 投标人应当在能够保证设施设备可靠、互联网畅通的任意地点，通过互联网在线参加开标，并实时在线关注招标人的操作情况。</w:t>
      </w:r>
    </w:p>
    <w:p w14:paraId="0C81253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bookmarkEnd w:id="241"/>
    <w:p w14:paraId="2B559823">
      <w:pPr>
        <w:pStyle w:val="2"/>
        <w:pageBreakBefore w:val="0"/>
        <w:kinsoku/>
        <w:wordWrap w:val="0"/>
        <w:bidi w:val="0"/>
        <w:outlineLvl w:val="2"/>
        <w:rPr>
          <w:rFonts w:hint="default" w:ascii="Times New Roman" w:hAnsi="Times New Roman" w:cs="Times New Roman"/>
          <w:color w:val="auto"/>
          <w:highlight w:val="none"/>
        </w:rPr>
      </w:pPr>
      <w:bookmarkStart w:id="242" w:name="_Toc8283"/>
      <w:bookmarkStart w:id="243" w:name="_Toc29801"/>
      <w:bookmarkStart w:id="244" w:name="_Toc17800"/>
      <w:r>
        <w:rPr>
          <w:rFonts w:hint="default" w:ascii="Times New Roman" w:hAnsi="Times New Roman" w:cs="Times New Roman"/>
          <w:color w:val="auto"/>
          <w:highlight w:val="none"/>
        </w:rPr>
        <w:t>5.2开标程序</w:t>
      </w:r>
      <w:bookmarkEnd w:id="242"/>
      <w:bookmarkEnd w:id="243"/>
      <w:bookmarkEnd w:id="244"/>
    </w:p>
    <w:p w14:paraId="1B8E311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5.2.1 主持人按下列程序对投标文件第一个信封（商务及技术文件）进行开标：</w:t>
      </w:r>
    </w:p>
    <w:p w14:paraId="0B4DEAE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2FE1F03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（2）公布在投标截止时间前递交</w:t>
      </w:r>
      <w:r>
        <w:rPr>
          <w:rFonts w:hint="default" w:ascii="Times New Roman" w:hAnsi="Times New Roman" w:cs="Times New Roman"/>
          <w:color w:val="auto"/>
          <w:sz w:val="24"/>
          <w:szCs w:val="24"/>
          <w:highlight w:val="none"/>
          <w:lang w:val="en-US" w:eastAsia="zh-CN"/>
        </w:rPr>
        <w:t>至</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电子交易平台</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投标文件的投标人数量；</w:t>
      </w:r>
    </w:p>
    <w:p w14:paraId="004954A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p>
    <w:p w14:paraId="2D1849F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）招标人对未成功解密的投标文件进行退回并按本章第5.3款进行补救处理；</w:t>
      </w:r>
    </w:p>
    <w:p w14:paraId="700AC19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）导入并读取所有解密成功的投标文件第一个信封（商务及技术文件）的内容；</w:t>
      </w:r>
    </w:p>
    <w:p w14:paraId="594444A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）公布标段名称、投标人名称的递交情况、</w:t>
      </w:r>
      <w:r>
        <w:rPr>
          <w:rFonts w:hint="eastAsia" w:cs="Times New Roman"/>
          <w:color w:val="auto"/>
          <w:sz w:val="24"/>
          <w:szCs w:val="24"/>
          <w:highlight w:val="none"/>
          <w:lang w:val="en-US" w:eastAsia="zh-CN"/>
        </w:rPr>
        <w:t>工期</w:t>
      </w:r>
      <w:r>
        <w:rPr>
          <w:rFonts w:hint="default" w:ascii="Times New Roman" w:hAnsi="Times New Roman" w:cs="Times New Roman"/>
          <w:color w:val="auto"/>
          <w:sz w:val="24"/>
          <w:szCs w:val="24"/>
          <w:highlight w:val="none"/>
        </w:rPr>
        <w:t>及其他内容，并记录在案；</w:t>
      </w:r>
    </w:p>
    <w:p w14:paraId="2B33ABE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不见面开标大厅</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提出，否则视为无异议；</w:t>
      </w:r>
    </w:p>
    <w:p w14:paraId="14A4B0B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）开标结束</w:t>
      </w:r>
      <w:r>
        <w:rPr>
          <w:rFonts w:hint="default" w:ascii="Times New Roman" w:hAnsi="Times New Roman" w:eastAsia="宋体" w:cs="Times New Roman"/>
          <w:color w:val="auto"/>
          <w:sz w:val="24"/>
          <w:highlight w:val="none"/>
        </w:rPr>
        <w:t>。</w:t>
      </w:r>
    </w:p>
    <w:p w14:paraId="4B889834">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5.2.2 投标文件第二个信封（报价文件）在投标文件第一个信封（商务及技术文件）完成评审前，</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的开标评标系统将不进行读取。</w:t>
      </w:r>
    </w:p>
    <w:p w14:paraId="670816D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 招标人将按照本章第5.1款规定的时间和地点对投标文件第二个信封（报价文件）进行开标。主持人按下列程序进行开标：</w:t>
      </w:r>
    </w:p>
    <w:p w14:paraId="4E74D91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0FEF6E81">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（2）当众宣布通过投标文件第一个信封（商务及技术文件）评审的投标人名单；</w:t>
      </w:r>
    </w:p>
    <w:p w14:paraId="66E1ED35">
      <w:pPr>
        <w:pageBreakBefore w:val="0"/>
        <w:kinsoku/>
        <w:wordWrap w:val="0"/>
        <w:bidi w:val="0"/>
        <w:spacing w:line="400" w:lineRule="exact"/>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eastAsia" w:ascii="宋体" w:hAnsi="宋体" w:cs="宋体"/>
          <w:color w:val="auto"/>
          <w:sz w:val="24"/>
          <w:szCs w:val="24"/>
          <w:highlight w:val="none"/>
          <w:lang w:val="en-US" w:eastAsia="zh-CN"/>
        </w:rPr>
        <w:t>对</w:t>
      </w:r>
      <w:r>
        <w:rPr>
          <w:rFonts w:hint="default" w:ascii="Times New Roman" w:hAnsi="Times New Roman" w:cs="Times New Roman"/>
          <w:color w:val="auto"/>
          <w:sz w:val="24"/>
          <w:szCs w:val="24"/>
          <w:highlight w:val="none"/>
        </w:rPr>
        <w:t>通过投标文件第一个信封（商务及技术文件）评审的投标人</w:t>
      </w:r>
      <w:r>
        <w:rPr>
          <w:rFonts w:hint="eastAsia" w:cs="Times New Roman"/>
          <w:color w:val="auto"/>
          <w:sz w:val="24"/>
          <w:szCs w:val="24"/>
          <w:highlight w:val="none"/>
          <w:lang w:val="en-US" w:eastAsia="zh-CN"/>
        </w:rPr>
        <w:t>进行随机分配投标标段</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4D61DD8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）通过投标文件第一个信封（商务及技术文件）评审的投标人代表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解密加密的投标文件第二个信封（报价文件）；</w:t>
      </w:r>
    </w:p>
    <w:p w14:paraId="01E6F86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）招标人对未成功解密的投标文件进行退回并按本章第5.3款进行补救处理；</w:t>
      </w:r>
    </w:p>
    <w:p w14:paraId="2ED1DAE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）导入并读取所有通过投标文件第一个信封（商务及技术文件）评审的解密成功的投标文件第二个信封（报价文件）的内容；</w:t>
      </w:r>
    </w:p>
    <w:p w14:paraId="6B44566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 xml:space="preserve">）公布标段名称、投标人名称、投标报价及其他内容，并记录在案； </w:t>
      </w:r>
    </w:p>
    <w:p w14:paraId="3CA827AE">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随机抽取评标基准价计算方法、评标基准价系数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6F2B736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提出，否则视为无异议；</w:t>
      </w:r>
    </w:p>
    <w:p w14:paraId="7D2ED37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）开标结束。</w:t>
      </w:r>
    </w:p>
    <w:p w14:paraId="2C7786D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5.2.4 若采用合理低价法或综合评分法，在投标文件第二个信封（报价文件）开标现场，招标人将按第三章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规定的原则计算并宣布评标基准价。若招标人发现投标文件出现以下任一情况，其投标报价将不再参加评标基准价的计算：</w:t>
      </w:r>
    </w:p>
    <w:p w14:paraId="756156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（1）未按要求在投标函上填写投标总价；</w:t>
      </w:r>
    </w:p>
    <w:p w14:paraId="576A369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（2）投标报价超出招标人公布的最高投标限价（如有）</w:t>
      </w:r>
      <w:r>
        <w:rPr>
          <w:rFonts w:hint="eastAsia" w:cs="Times New Roman"/>
          <w:color w:val="auto"/>
          <w:sz w:val="24"/>
          <w:highlight w:val="none"/>
          <w:lang w:eastAsia="zh-CN"/>
        </w:rPr>
        <w:t>，或低于招标人公布的最高投标限价（如有）的 G</w:t>
      </w:r>
      <w:r>
        <w:rPr>
          <w:rStyle w:val="47"/>
          <w:rFonts w:hint="eastAsia" w:cs="Times New Roman"/>
          <w:color w:val="auto"/>
          <w:sz w:val="24"/>
          <w:highlight w:val="none"/>
          <w:lang w:eastAsia="zh-CN"/>
        </w:rPr>
        <w:footnoteReference w:id="24"/>
      </w:r>
      <w:r>
        <w:rPr>
          <w:rFonts w:hint="eastAsia" w:cs="Times New Roman"/>
          <w:color w:val="auto"/>
          <w:sz w:val="24"/>
          <w:highlight w:val="none"/>
          <w:lang w:eastAsia="zh-CN"/>
        </w:rPr>
        <w:t xml:space="preserve"> %</w:t>
      </w:r>
      <w:r>
        <w:rPr>
          <w:rFonts w:hint="default" w:ascii="Times New Roman" w:hAnsi="Times New Roman" w:eastAsia="宋体" w:cs="Times New Roman"/>
          <w:color w:val="auto"/>
          <w:sz w:val="24"/>
          <w:highlight w:val="none"/>
        </w:rPr>
        <w:t>；</w:t>
      </w:r>
    </w:p>
    <w:p w14:paraId="68ADDE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（3）无法确定投标报价具体数值；</w:t>
      </w:r>
    </w:p>
    <w:p w14:paraId="547B1C2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（4）投标函上填写的标段号与上传的对应项目标段号不一致（如分标段）。</w:t>
      </w:r>
    </w:p>
    <w:p w14:paraId="5EDA052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5CCA9DA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5.2.5 在投标文件第一个信封（商务及技术文件）或第二个信封（报价文件）开标过程中，若</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的内容与投标文件不符，投标人有权在开标现场提出疑问，经招标人当场核查确认之后，可重新</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其</w:t>
      </w:r>
      <w:r>
        <w:rPr>
          <w:rFonts w:hint="eastAsia" w:cs="Times New Roman"/>
          <w:color w:val="auto"/>
          <w:sz w:val="24"/>
          <w:szCs w:val="24"/>
          <w:highlight w:val="none"/>
          <w:lang w:val="en-US" w:eastAsia="zh-CN"/>
        </w:rPr>
        <w:t>内容</w:t>
      </w:r>
      <w:r>
        <w:rPr>
          <w:rFonts w:hint="default" w:ascii="Times New Roman" w:hAnsi="Times New Roman" w:cs="Times New Roman"/>
          <w:color w:val="auto"/>
          <w:sz w:val="24"/>
          <w:szCs w:val="24"/>
          <w:highlight w:val="none"/>
        </w:rPr>
        <w:t>。若投标人现场未提出疑问，则认为投标人已确认</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w:t>
      </w:r>
    </w:p>
    <w:p w14:paraId="6DBAECC5">
      <w:pPr>
        <w:pStyle w:val="2"/>
        <w:pageBreakBefore w:val="0"/>
        <w:kinsoku/>
        <w:wordWrap w:val="0"/>
        <w:bidi w:val="0"/>
        <w:outlineLvl w:val="2"/>
        <w:rPr>
          <w:rFonts w:hint="default" w:ascii="Times New Roman" w:hAnsi="Times New Roman" w:cs="Times New Roman"/>
          <w:color w:val="auto"/>
          <w:highlight w:val="none"/>
        </w:rPr>
      </w:pPr>
      <w:bookmarkStart w:id="245" w:name="_Toc27278"/>
      <w:bookmarkStart w:id="246" w:name="_Toc29082"/>
      <w:bookmarkStart w:id="247" w:name="_Toc24866"/>
      <w:r>
        <w:rPr>
          <w:rFonts w:hint="default" w:ascii="Times New Roman" w:hAnsi="Times New Roman" w:cs="Times New Roman"/>
          <w:color w:val="auto"/>
          <w:highlight w:val="none"/>
        </w:rPr>
        <w:t>5.3 开标补救措施</w:t>
      </w:r>
      <w:bookmarkEnd w:id="245"/>
      <w:bookmarkEnd w:id="246"/>
      <w:bookmarkEnd w:id="247"/>
    </w:p>
    <w:p w14:paraId="74B8B4A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5.3.1 开标过程中因本章第5.3.2项、第5.3.3项所列原因，导致系统无法正常运行，将按投标人须知前附表的规定采取补救措施。</w:t>
      </w:r>
    </w:p>
    <w:p w14:paraId="41B2E5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5.3.2 因</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系统故障导致投标人无法正常上传加密的投标文件，投标人应打印并递交</w:t>
      </w:r>
      <w:r>
        <w:rPr>
          <w:rFonts w:hint="eastAsia" w:cs="Times New Roman"/>
          <w:color w:val="auto"/>
          <w:sz w:val="24"/>
          <w:highlight w:val="none"/>
          <w:lang w:eastAsia="zh-CN"/>
        </w:rPr>
        <w:t>电子交易平台</w:t>
      </w:r>
      <w:r>
        <w:rPr>
          <w:rFonts w:hint="default" w:ascii="Times New Roman" w:hAnsi="Times New Roman" w:eastAsia="宋体" w:cs="Times New Roman"/>
          <w:color w:val="auto"/>
          <w:sz w:val="24"/>
          <w:highlight w:val="none"/>
        </w:rPr>
        <w:t>自动生成的上传失败的异常记录单。</w:t>
      </w:r>
    </w:p>
    <w:p w14:paraId="2F7BE0A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5.3.3 当出现以下情况时，应对未开标的中止电子开标，并在恢复正常后及时安排时间开标：</w:t>
      </w:r>
    </w:p>
    <w:p w14:paraId="15A9143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（1）系统服务器发生故障，无法访问或无法使用系统；</w:t>
      </w:r>
    </w:p>
    <w:p w14:paraId="7D19E29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（2）系统的软件或数据库出现错误，不能进行正常操作；</w:t>
      </w:r>
    </w:p>
    <w:p w14:paraId="3FFA826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（3）系统发现有安全漏洞，有潜在的泄密危险；</w:t>
      </w:r>
    </w:p>
    <w:p w14:paraId="2CF40DC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（4）出现断电事故且短时间内无法恢复供电；</w:t>
      </w:r>
    </w:p>
    <w:p w14:paraId="4E311DD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（5）其他无法保证招投标过程正常进行的情形。</w:t>
      </w:r>
    </w:p>
    <w:p w14:paraId="61E8413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5.3.4 采取补救措施时，必须对原有资料及信息作出妥善保密处理。</w:t>
      </w:r>
    </w:p>
    <w:p w14:paraId="18E2B0E0">
      <w:pPr>
        <w:pStyle w:val="2"/>
        <w:pageBreakBefore w:val="0"/>
        <w:kinsoku/>
        <w:wordWrap w:val="0"/>
        <w:bidi w:val="0"/>
        <w:outlineLvl w:val="2"/>
        <w:rPr>
          <w:rFonts w:hint="default" w:ascii="Times New Roman" w:hAnsi="Times New Roman" w:cs="Times New Roman"/>
          <w:color w:val="auto"/>
          <w:highlight w:val="none"/>
        </w:rPr>
      </w:pPr>
      <w:bookmarkStart w:id="248" w:name="_Toc11803"/>
      <w:bookmarkStart w:id="249" w:name="_Toc3488"/>
      <w:bookmarkStart w:id="250" w:name="_Toc20631"/>
      <w:r>
        <w:rPr>
          <w:rFonts w:hint="default" w:ascii="Times New Roman" w:hAnsi="Times New Roman" w:cs="Times New Roman"/>
          <w:color w:val="auto"/>
          <w:highlight w:val="none"/>
        </w:rPr>
        <w:t>5.4开标异议</w:t>
      </w:r>
      <w:bookmarkEnd w:id="248"/>
      <w:bookmarkEnd w:id="249"/>
      <w:bookmarkEnd w:id="250"/>
    </w:p>
    <w:p w14:paraId="1B7689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cs="Times New Roman"/>
          <w:color w:val="auto"/>
          <w:sz w:val="24"/>
          <w:szCs w:val="24"/>
          <w:highlight w:val="none"/>
        </w:rPr>
        <w:t>投标人对开标有异议的，应在开标现场</w:t>
      </w:r>
      <w:r>
        <w:rPr>
          <w:rFonts w:hint="default" w:ascii="Times New Roman" w:hAnsi="Times New Roman" w:cs="Times New Roman"/>
          <w:color w:val="auto"/>
          <w:sz w:val="24"/>
          <w:szCs w:val="24"/>
          <w:highlight w:val="none"/>
          <w:lang w:val="en-US" w:eastAsia="zh-CN"/>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提出，招标人当场作出答复，并制作记录</w:t>
      </w:r>
      <w:r>
        <w:rPr>
          <w:rFonts w:hint="default" w:ascii="Times New Roman" w:hAnsi="Times New Roman" w:eastAsia="宋体" w:cs="Times New Roman"/>
          <w:color w:val="auto"/>
          <w:sz w:val="24"/>
          <w:highlight w:val="none"/>
        </w:rPr>
        <w:t>。</w:t>
      </w:r>
    </w:p>
    <w:p w14:paraId="3ACBE922">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51" w:name="_Toc234832906"/>
      <w:bookmarkStart w:id="252" w:name="_Toc26520"/>
      <w:bookmarkStart w:id="253" w:name="_Toc25227"/>
      <w:bookmarkStart w:id="254" w:name="_Toc32026"/>
      <w:r>
        <w:rPr>
          <w:rFonts w:hint="default" w:ascii="Times New Roman" w:hAnsi="Times New Roman" w:eastAsia="黑体" w:cs="Times New Roman"/>
          <w:b w:val="0"/>
          <w:color w:val="auto"/>
          <w:sz w:val="28"/>
          <w:szCs w:val="28"/>
          <w:highlight w:val="none"/>
        </w:rPr>
        <w:t>6. 评标</w:t>
      </w:r>
      <w:bookmarkEnd w:id="251"/>
      <w:bookmarkEnd w:id="252"/>
      <w:bookmarkEnd w:id="253"/>
      <w:bookmarkEnd w:id="254"/>
    </w:p>
    <w:p w14:paraId="5CEAC5DF">
      <w:pPr>
        <w:pStyle w:val="2"/>
        <w:pageBreakBefore w:val="0"/>
        <w:kinsoku/>
        <w:wordWrap w:val="0"/>
        <w:bidi w:val="0"/>
        <w:outlineLvl w:val="2"/>
        <w:rPr>
          <w:rFonts w:hint="default" w:ascii="Times New Roman" w:hAnsi="Times New Roman" w:cs="Times New Roman"/>
          <w:color w:val="auto"/>
          <w:highlight w:val="none"/>
        </w:rPr>
      </w:pPr>
      <w:bookmarkStart w:id="255" w:name="_Toc21787"/>
      <w:bookmarkStart w:id="256" w:name="_Toc475"/>
      <w:bookmarkStart w:id="257" w:name="_Toc22353"/>
      <w:bookmarkStart w:id="258" w:name="_Toc234832907"/>
      <w:r>
        <w:rPr>
          <w:rFonts w:hint="default" w:ascii="Times New Roman" w:hAnsi="Times New Roman" w:cs="Times New Roman"/>
          <w:color w:val="auto"/>
          <w:highlight w:val="none"/>
        </w:rPr>
        <w:t>6.1评标委员会</w:t>
      </w:r>
      <w:bookmarkEnd w:id="255"/>
      <w:bookmarkEnd w:id="256"/>
      <w:bookmarkEnd w:id="257"/>
      <w:bookmarkEnd w:id="258"/>
    </w:p>
    <w:p w14:paraId="6953A64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6.1.1 评标由招标人依法组建的评标委员会负责。评标委员会由招标人或其委托熟悉相关业务的代表，以及有关技术、经济等方面的专家组成。评标委员会成员人数以及技术、经济等方面专家的确定方式见投标人须知前附表。</w:t>
      </w:r>
    </w:p>
    <w:p w14:paraId="025B511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6.1.2 评标委员会成员有下列情形之一的，应主动提出回避：</w:t>
      </w:r>
    </w:p>
    <w:p w14:paraId="5E0D6E4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（1）为负责招标项目监督管理的交通运输主管部门的工作人员；</w:t>
      </w:r>
    </w:p>
    <w:p w14:paraId="09DE396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（2）与投标人法定代表人或其委托代理人有近亲属关系；</w:t>
      </w:r>
    </w:p>
    <w:p w14:paraId="45B880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（3）为投标人的工作人员或退休人员；</w:t>
      </w:r>
    </w:p>
    <w:p w14:paraId="49A86CD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（4）与投标人有其他利害关系，可能影响评标活动公正性；</w:t>
      </w:r>
    </w:p>
    <w:p w14:paraId="688805B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（5）在与招标投标有关的活动中有过违法违规行为、曾受过行政处罚或刑事处罚。</w:t>
      </w:r>
    </w:p>
    <w:p w14:paraId="7B1CC0C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招标人及其子公司、招标人下属单位、招标人的上级主管部门或者控股公司、招标代理机构的工作人员或者退休人员不得以专家身份参与本单位招标或者招标代理项目的评标。</w:t>
      </w:r>
    </w:p>
    <w:p w14:paraId="0B8CE4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6.1.3 评标过程中，评标委员会成员有回避事由、擅离职守或因健康等原因不能继续评标的，招标人有权更换。被更换的评标委员会成员作出的评审结论无效，由更换后的评标委员会成员重新进行评审。</w:t>
      </w:r>
    </w:p>
    <w:p w14:paraId="463F4E76">
      <w:pPr>
        <w:pStyle w:val="2"/>
        <w:pageBreakBefore w:val="0"/>
        <w:kinsoku/>
        <w:wordWrap w:val="0"/>
        <w:bidi w:val="0"/>
        <w:outlineLvl w:val="2"/>
        <w:rPr>
          <w:rFonts w:hint="default" w:ascii="Times New Roman" w:hAnsi="Times New Roman" w:cs="Times New Roman"/>
          <w:color w:val="auto"/>
          <w:highlight w:val="none"/>
        </w:rPr>
      </w:pPr>
      <w:bookmarkStart w:id="259" w:name="_Toc4844"/>
      <w:bookmarkStart w:id="260" w:name="_Toc234832908"/>
      <w:bookmarkStart w:id="261" w:name="_Toc2946"/>
      <w:bookmarkStart w:id="262" w:name="_Toc9194"/>
      <w:r>
        <w:rPr>
          <w:rFonts w:hint="default" w:ascii="Times New Roman" w:hAnsi="Times New Roman" w:cs="Times New Roman"/>
          <w:color w:val="auto"/>
          <w:highlight w:val="none"/>
        </w:rPr>
        <w:t>6.2 评标原则</w:t>
      </w:r>
      <w:bookmarkEnd w:id="259"/>
      <w:bookmarkEnd w:id="260"/>
      <w:bookmarkEnd w:id="261"/>
      <w:bookmarkEnd w:id="262"/>
    </w:p>
    <w:p w14:paraId="397C2B9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评标活动遵循公平、公正、科学和择优的原则。</w:t>
      </w:r>
    </w:p>
    <w:p w14:paraId="7F590E44">
      <w:pPr>
        <w:pStyle w:val="2"/>
        <w:pageBreakBefore w:val="0"/>
        <w:kinsoku/>
        <w:wordWrap w:val="0"/>
        <w:bidi w:val="0"/>
        <w:outlineLvl w:val="2"/>
        <w:rPr>
          <w:rFonts w:hint="default" w:ascii="Times New Roman" w:hAnsi="Times New Roman" w:cs="Times New Roman"/>
          <w:color w:val="auto"/>
          <w:highlight w:val="none"/>
        </w:rPr>
      </w:pPr>
      <w:bookmarkStart w:id="263" w:name="_Toc22506"/>
      <w:bookmarkStart w:id="264" w:name="_Toc32567"/>
      <w:bookmarkStart w:id="265" w:name="_Toc25028"/>
      <w:bookmarkStart w:id="266" w:name="_Toc234832909"/>
      <w:r>
        <w:rPr>
          <w:rFonts w:hint="default" w:ascii="Times New Roman" w:hAnsi="Times New Roman" w:cs="Times New Roman"/>
          <w:color w:val="auto"/>
          <w:highlight w:val="none"/>
        </w:rPr>
        <w:t>6.3 评标</w:t>
      </w:r>
      <w:bookmarkEnd w:id="263"/>
      <w:bookmarkEnd w:id="264"/>
      <w:bookmarkEnd w:id="265"/>
      <w:bookmarkEnd w:id="266"/>
    </w:p>
    <w:p w14:paraId="1F9E4B7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6.3.1 评标委员会按照第三章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规定的方法、评审因素、标准和程序对投标文件进行评审。第三章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没有规定的方法、评审因素和标准，不作为评标依据。</w:t>
      </w:r>
    </w:p>
    <w:p w14:paraId="5CCBBE8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6.3.2评标及补救措施</w:t>
      </w:r>
    </w:p>
    <w:p w14:paraId="5B2FD2A6">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4E33ED1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评标完成后，评标委员会应当向招标人提交书面评标报告和中标候选人名单。评标委员会推荐中标</w:t>
      </w:r>
      <w:bookmarkStart w:id="267" w:name="_Toc361508615"/>
      <w:bookmarkStart w:id="268" w:name="_Toc247513982"/>
      <w:bookmarkStart w:id="269" w:name="_Toc247527583"/>
      <w:bookmarkStart w:id="270" w:name="_Toc152042334"/>
      <w:bookmarkStart w:id="271" w:name="_Toc369531546"/>
      <w:bookmarkStart w:id="272" w:name="_Toc12259"/>
      <w:bookmarkStart w:id="273" w:name="_Toc300834979"/>
      <w:bookmarkStart w:id="274" w:name="_Toc144974526"/>
      <w:bookmarkStart w:id="275" w:name="_Toc352691502"/>
      <w:bookmarkStart w:id="276" w:name="_Toc152045558"/>
      <w:bookmarkStart w:id="277" w:name="_Toc384308240"/>
      <w:r>
        <w:rPr>
          <w:rFonts w:hint="default" w:ascii="Times New Roman" w:hAnsi="Times New Roman" w:cs="Times New Roman"/>
          <w:color w:val="auto"/>
          <w:sz w:val="24"/>
          <w:szCs w:val="24"/>
          <w:highlight w:val="none"/>
        </w:rPr>
        <w:t>候选人的人数见投标人须知前附</w:t>
      </w:r>
      <w:bookmarkEnd w:id="267"/>
      <w:bookmarkEnd w:id="268"/>
      <w:bookmarkEnd w:id="269"/>
      <w:bookmarkEnd w:id="270"/>
      <w:bookmarkEnd w:id="271"/>
      <w:bookmarkEnd w:id="272"/>
      <w:bookmarkEnd w:id="273"/>
      <w:bookmarkEnd w:id="274"/>
      <w:bookmarkEnd w:id="275"/>
      <w:bookmarkEnd w:id="276"/>
      <w:bookmarkEnd w:id="277"/>
      <w:r>
        <w:rPr>
          <w:rFonts w:hint="default" w:ascii="Times New Roman" w:hAnsi="Times New Roman" w:cs="Times New Roman"/>
          <w:color w:val="auto"/>
          <w:sz w:val="24"/>
          <w:szCs w:val="24"/>
          <w:highlight w:val="none"/>
        </w:rPr>
        <w:t>表</w:t>
      </w:r>
      <w:r>
        <w:rPr>
          <w:rFonts w:hint="default" w:ascii="Times New Roman" w:hAnsi="Times New Roman" w:eastAsia="宋体" w:cs="Times New Roman"/>
          <w:color w:val="auto"/>
          <w:sz w:val="24"/>
          <w:highlight w:val="none"/>
        </w:rPr>
        <w:t>。</w:t>
      </w:r>
    </w:p>
    <w:p w14:paraId="532F1523">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78" w:name="_Toc5930"/>
      <w:bookmarkStart w:id="279" w:name="_Toc29075"/>
      <w:bookmarkStart w:id="280" w:name="_Toc16883"/>
      <w:bookmarkStart w:id="281" w:name="_Toc234832910"/>
      <w:r>
        <w:rPr>
          <w:rFonts w:hint="default" w:ascii="Times New Roman" w:hAnsi="Times New Roman" w:eastAsia="黑体" w:cs="Times New Roman"/>
          <w:b w:val="0"/>
          <w:color w:val="auto"/>
          <w:sz w:val="28"/>
          <w:szCs w:val="28"/>
          <w:highlight w:val="none"/>
        </w:rPr>
        <w:t>7. 合同授予</w:t>
      </w:r>
      <w:bookmarkEnd w:id="278"/>
      <w:bookmarkEnd w:id="279"/>
      <w:bookmarkEnd w:id="280"/>
      <w:bookmarkEnd w:id="281"/>
    </w:p>
    <w:p w14:paraId="44C1F90F">
      <w:pPr>
        <w:pStyle w:val="2"/>
        <w:pageBreakBefore w:val="0"/>
        <w:kinsoku/>
        <w:wordWrap w:val="0"/>
        <w:bidi w:val="0"/>
        <w:outlineLvl w:val="2"/>
        <w:rPr>
          <w:rFonts w:hint="default" w:ascii="Times New Roman" w:hAnsi="Times New Roman" w:cs="Times New Roman"/>
          <w:color w:val="auto"/>
          <w:highlight w:val="none"/>
        </w:rPr>
      </w:pPr>
      <w:bookmarkStart w:id="282" w:name="_Toc6153"/>
      <w:bookmarkStart w:id="283" w:name="_Toc1586"/>
      <w:bookmarkStart w:id="284" w:name="_Toc29612"/>
      <w:bookmarkStart w:id="285" w:name="_Toc234832911"/>
      <w:r>
        <w:rPr>
          <w:rFonts w:hint="default" w:ascii="Times New Roman" w:hAnsi="Times New Roman" w:cs="Times New Roman"/>
          <w:color w:val="auto"/>
          <w:highlight w:val="none"/>
        </w:rPr>
        <w:t>7.1 中标候选人公示</w:t>
      </w:r>
      <w:bookmarkEnd w:id="282"/>
      <w:bookmarkEnd w:id="283"/>
      <w:bookmarkEnd w:id="284"/>
    </w:p>
    <w:p w14:paraId="5481FF2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招标人在收到评标报告之日起3日内，按照投标人须知前附表规定的公示媒介和期限公示中标候选人，公示期不得少于3日，公示内容包括：</w:t>
      </w:r>
    </w:p>
    <w:p w14:paraId="383DEDE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（1）中标候选人排序、名称、投标报价，对工程质量要求、安全目标和工期的响应情况；</w:t>
      </w:r>
    </w:p>
    <w:p w14:paraId="0764269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（2）中标候选人在投标文件中承诺的项目经理和项目总工姓名、个人业绩、相关证书名称和编号；</w:t>
      </w:r>
    </w:p>
    <w:p w14:paraId="0B07518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（3）中标候选人在投标文件中填报的项目业绩；</w:t>
      </w:r>
    </w:p>
    <w:p w14:paraId="2F1C989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（4）被否决投标的投标人名称、否决依据和原因；</w:t>
      </w:r>
    </w:p>
    <w:p w14:paraId="1AEFC93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（5）提出异议的渠道和方式；</w:t>
      </w:r>
    </w:p>
    <w:p w14:paraId="13B09E1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（6）投标人须知前附表规定公示的其他内容。</w:t>
      </w:r>
    </w:p>
    <w:p w14:paraId="68F32CC9">
      <w:pPr>
        <w:pStyle w:val="2"/>
        <w:pageBreakBefore w:val="0"/>
        <w:kinsoku/>
        <w:wordWrap w:val="0"/>
        <w:bidi w:val="0"/>
        <w:outlineLvl w:val="2"/>
        <w:rPr>
          <w:rFonts w:hint="default" w:ascii="Times New Roman" w:hAnsi="Times New Roman" w:cs="Times New Roman"/>
          <w:color w:val="auto"/>
          <w:highlight w:val="none"/>
        </w:rPr>
      </w:pPr>
      <w:bookmarkStart w:id="286" w:name="_Toc27197"/>
      <w:bookmarkStart w:id="287" w:name="_Toc28677"/>
      <w:bookmarkStart w:id="288" w:name="_Toc9333"/>
      <w:r>
        <w:rPr>
          <w:rFonts w:hint="default" w:ascii="Times New Roman" w:hAnsi="Times New Roman" w:cs="Times New Roman"/>
          <w:color w:val="auto"/>
          <w:highlight w:val="none"/>
        </w:rPr>
        <w:t>7.2 评标结果异议</w:t>
      </w:r>
      <w:bookmarkEnd w:id="286"/>
      <w:bookmarkEnd w:id="287"/>
      <w:bookmarkEnd w:id="288"/>
    </w:p>
    <w:p w14:paraId="314BCA8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投标人或其他利害关系人对依法必须进行招标的项目的评标结果有异议的，应在中标候选人公示期间提出。招标人将在收到异议之日起3日内作出答复；作出答复前，将暂停招标投标活动。</w:t>
      </w:r>
    </w:p>
    <w:p w14:paraId="09085330">
      <w:pPr>
        <w:pStyle w:val="2"/>
        <w:pageBreakBefore w:val="0"/>
        <w:kinsoku/>
        <w:wordWrap w:val="0"/>
        <w:bidi w:val="0"/>
        <w:outlineLvl w:val="2"/>
        <w:rPr>
          <w:rFonts w:hint="default" w:ascii="Times New Roman" w:hAnsi="Times New Roman" w:cs="Times New Roman"/>
          <w:color w:val="auto"/>
          <w:highlight w:val="none"/>
        </w:rPr>
      </w:pPr>
      <w:bookmarkStart w:id="289" w:name="_Toc2167"/>
      <w:bookmarkStart w:id="290" w:name="_Toc9159"/>
      <w:bookmarkStart w:id="291" w:name="_Toc20027"/>
      <w:r>
        <w:rPr>
          <w:rFonts w:hint="default" w:ascii="Times New Roman" w:hAnsi="Times New Roman" w:cs="Times New Roman"/>
          <w:color w:val="auto"/>
          <w:highlight w:val="none"/>
        </w:rPr>
        <w:t>7.3 中标候选人履约能力审查</w:t>
      </w:r>
      <w:bookmarkEnd w:id="289"/>
      <w:bookmarkEnd w:id="290"/>
      <w:bookmarkEnd w:id="291"/>
    </w:p>
    <w:p w14:paraId="5AA192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6CC9869C">
      <w:pPr>
        <w:pStyle w:val="2"/>
        <w:pageBreakBefore w:val="0"/>
        <w:kinsoku/>
        <w:wordWrap w:val="0"/>
        <w:bidi w:val="0"/>
        <w:outlineLvl w:val="2"/>
        <w:rPr>
          <w:rFonts w:hint="default" w:ascii="Times New Roman" w:hAnsi="Times New Roman" w:cs="Times New Roman"/>
          <w:color w:val="auto"/>
          <w:highlight w:val="none"/>
        </w:rPr>
      </w:pPr>
      <w:bookmarkStart w:id="292" w:name="_Toc5726"/>
      <w:bookmarkStart w:id="293" w:name="_Toc19093"/>
      <w:bookmarkStart w:id="294" w:name="_Toc766"/>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4 </w:t>
      </w:r>
      <w:r>
        <w:rPr>
          <w:rFonts w:hint="default" w:ascii="Times New Roman" w:hAnsi="Times New Roman" w:cs="Times New Roman"/>
          <w:color w:val="auto"/>
          <w:highlight w:val="none"/>
        </w:rPr>
        <w:t>定标</w:t>
      </w:r>
      <w:bookmarkEnd w:id="285"/>
      <w:bookmarkEnd w:id="292"/>
      <w:bookmarkEnd w:id="293"/>
      <w:bookmarkEnd w:id="294"/>
    </w:p>
    <w:p w14:paraId="706D445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7.4.1</w:t>
      </w:r>
      <w:r>
        <w:rPr>
          <w:rFonts w:hint="default" w:ascii="Times New Roman" w:hAnsi="Times New Roman" w:eastAsia="宋体" w:cs="Times New Roman"/>
          <w:color w:val="auto"/>
          <w:sz w:val="24"/>
          <w:highlight w:val="none"/>
        </w:rPr>
        <w:t>按照投标人须知前附表的规定，招标人或招标人授权的评标委员会依法确定中标人。</w:t>
      </w:r>
    </w:p>
    <w:p w14:paraId="1465B88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7.4.2招标人依据投标须知前附表的</w:t>
      </w:r>
      <w:r>
        <w:rPr>
          <w:rFonts w:hint="eastAsia" w:cs="Times New Roman"/>
          <w:color w:val="auto"/>
          <w:sz w:val="24"/>
          <w:szCs w:val="24"/>
          <w:highlight w:val="none"/>
          <w:lang w:val="en-US" w:eastAsia="zh-CN"/>
        </w:rPr>
        <w:t>定标规则</w:t>
      </w:r>
      <w:r>
        <w:rPr>
          <w:rFonts w:hint="eastAsia" w:cs="Times New Roman"/>
          <w:color w:val="auto"/>
          <w:sz w:val="24"/>
          <w:highlight w:val="none"/>
          <w:lang w:val="en-US" w:eastAsia="zh-CN"/>
        </w:rPr>
        <w:t>，在评标委员会推荐的中标候选人中确定中标人</w:t>
      </w:r>
      <w:r>
        <w:rPr>
          <w:rFonts w:hint="default" w:ascii="Times New Roman" w:hAnsi="Times New Roman" w:eastAsia="宋体" w:cs="Times New Roman"/>
          <w:color w:val="auto"/>
          <w:sz w:val="24"/>
          <w:highlight w:val="none"/>
        </w:rPr>
        <w:t>。</w:t>
      </w:r>
    </w:p>
    <w:p w14:paraId="04FFCA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7.4.3招标人授权评标委员会按前附表7.4.2项规定的规则直接定标。</w:t>
      </w:r>
    </w:p>
    <w:p w14:paraId="0FB28957">
      <w:pPr>
        <w:pStyle w:val="2"/>
        <w:pageBreakBefore w:val="0"/>
        <w:kinsoku/>
        <w:wordWrap w:val="0"/>
        <w:bidi w:val="0"/>
        <w:outlineLvl w:val="2"/>
        <w:rPr>
          <w:rFonts w:hint="default" w:ascii="Times New Roman" w:hAnsi="Times New Roman" w:cs="Times New Roman"/>
          <w:color w:val="auto"/>
          <w:highlight w:val="none"/>
        </w:rPr>
      </w:pPr>
      <w:bookmarkStart w:id="295" w:name="_Toc11520"/>
      <w:bookmarkStart w:id="296" w:name="_Toc4728"/>
      <w:bookmarkStart w:id="297" w:name="_Toc10213"/>
      <w:bookmarkStart w:id="298" w:name="_Toc234832912"/>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5 中标通知</w:t>
      </w:r>
      <w:bookmarkEnd w:id="295"/>
      <w:bookmarkEnd w:id="296"/>
      <w:bookmarkEnd w:id="297"/>
      <w:bookmarkEnd w:id="298"/>
    </w:p>
    <w:p w14:paraId="24F9B8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在本章第3.3款规定的投标有效期内，招标人应通过</w:t>
      </w:r>
      <w:r>
        <w:rPr>
          <w:rFonts w:hint="default" w:ascii="Times New Roman" w:hAnsi="Times New Roman" w:cs="Times New Roman"/>
          <w:color w:val="auto"/>
          <w:sz w:val="24"/>
          <w:highlight w:val="none"/>
          <w:lang w:val="en-US" w:eastAsia="zh-CN"/>
        </w:rPr>
        <w:t>投标人须知前附表规定的</w:t>
      </w:r>
      <w:r>
        <w:rPr>
          <w:rFonts w:hint="default" w:ascii="Times New Roman" w:hAnsi="Times New Roman" w:cs="Times New Roman"/>
          <w:color w:val="auto"/>
          <w:sz w:val="24"/>
          <w:highlight w:val="none"/>
        </w:rPr>
        <w:t>形式向中标人发出中标通知书，同时将中标结果通知未中标的投标人</w:t>
      </w:r>
      <w:r>
        <w:rPr>
          <w:rFonts w:hint="default" w:ascii="Times New Roman" w:hAnsi="Times New Roman" w:eastAsia="宋体" w:cs="Times New Roman"/>
          <w:color w:val="auto"/>
          <w:sz w:val="24"/>
          <w:highlight w:val="none"/>
        </w:rPr>
        <w:t>。</w:t>
      </w:r>
    </w:p>
    <w:p w14:paraId="75BA45ED">
      <w:pPr>
        <w:pStyle w:val="2"/>
        <w:pageBreakBefore w:val="0"/>
        <w:kinsoku/>
        <w:wordWrap w:val="0"/>
        <w:bidi w:val="0"/>
        <w:outlineLvl w:val="2"/>
        <w:rPr>
          <w:rFonts w:hint="default" w:ascii="Times New Roman" w:hAnsi="Times New Roman" w:cs="Times New Roman"/>
          <w:color w:val="auto"/>
          <w:highlight w:val="none"/>
        </w:rPr>
      </w:pPr>
      <w:bookmarkStart w:id="299" w:name="_Toc8745"/>
      <w:bookmarkStart w:id="300" w:name="_Toc16073"/>
      <w:bookmarkStart w:id="301" w:name="_Toc2116"/>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6 </w:t>
      </w:r>
      <w:r>
        <w:rPr>
          <w:rFonts w:hint="default" w:ascii="Times New Roman" w:hAnsi="Times New Roman" w:cs="Times New Roman"/>
          <w:color w:val="auto"/>
          <w:highlight w:val="none"/>
        </w:rPr>
        <w:t>中标</w:t>
      </w:r>
      <w:r>
        <w:rPr>
          <w:rFonts w:hint="default" w:ascii="Times New Roman" w:hAnsi="Times New Roman" w:cs="Times New Roman"/>
          <w:color w:val="auto"/>
          <w:highlight w:val="none"/>
          <w:lang w:eastAsia="zh-CN"/>
        </w:rPr>
        <w:t>结果</w:t>
      </w:r>
      <w:r>
        <w:rPr>
          <w:rFonts w:hint="default" w:ascii="Times New Roman" w:hAnsi="Times New Roman" w:cs="Times New Roman"/>
          <w:color w:val="auto"/>
          <w:highlight w:val="none"/>
        </w:rPr>
        <w:t>公告</w:t>
      </w:r>
      <w:bookmarkEnd w:id="299"/>
      <w:bookmarkEnd w:id="300"/>
      <w:bookmarkEnd w:id="301"/>
    </w:p>
    <w:p w14:paraId="4D69381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招标人在确定中标人之日起3日内，按照投标人须知前附表规定的公告媒介和期限公告中标结果，公告期不得少于3日。公告内容包括中标人名称、中标价。</w:t>
      </w:r>
    </w:p>
    <w:p w14:paraId="37573989">
      <w:pPr>
        <w:pStyle w:val="2"/>
        <w:pageBreakBefore w:val="0"/>
        <w:kinsoku/>
        <w:wordWrap w:val="0"/>
        <w:bidi w:val="0"/>
        <w:outlineLvl w:val="2"/>
        <w:rPr>
          <w:rFonts w:hint="default" w:ascii="Times New Roman" w:hAnsi="Times New Roman" w:cs="Times New Roman"/>
          <w:color w:val="auto"/>
          <w:highlight w:val="none"/>
        </w:rPr>
      </w:pPr>
      <w:bookmarkStart w:id="302" w:name="_Toc234832913"/>
      <w:bookmarkStart w:id="303" w:name="_Toc24614"/>
      <w:bookmarkStart w:id="304" w:name="_Toc12850"/>
      <w:bookmarkStart w:id="305" w:name="_Toc8824"/>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7 </w:t>
      </w:r>
      <w:r>
        <w:rPr>
          <w:rFonts w:hint="default" w:ascii="Times New Roman" w:hAnsi="Times New Roman" w:cs="Times New Roman"/>
          <w:color w:val="auto"/>
          <w:highlight w:val="none"/>
        </w:rPr>
        <w:t>履约</w:t>
      </w:r>
      <w:bookmarkEnd w:id="302"/>
      <w:r>
        <w:rPr>
          <w:rFonts w:hint="default" w:ascii="Times New Roman" w:hAnsi="Times New Roman" w:cs="Times New Roman"/>
          <w:color w:val="auto"/>
          <w:highlight w:val="none"/>
          <w:lang w:eastAsia="zh-CN"/>
        </w:rPr>
        <w:t>保证金</w:t>
      </w:r>
      <w:bookmarkEnd w:id="303"/>
      <w:bookmarkEnd w:id="304"/>
      <w:bookmarkEnd w:id="305"/>
    </w:p>
    <w:p w14:paraId="2ACB876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7.7.1 在签订合同前，中标人应按投标人须知前附表规定的形式、金额和招标文件第四章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合同条款及格式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规定的或事先经过招标人书面认可的履约保证金格式向招标人提交履约保证金。除投标人须知前附表另有规定外，履约保证金为签约合同价的</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%。联合体中标的，其履约保证金以联合体各方或联合体中牵头人的名义提交。</w:t>
      </w:r>
    </w:p>
    <w:p w14:paraId="3A55B77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采用银行保函时，应由符合投标人须知前附表规定级别的银行开具，所需的费用由中标人承担，中标人应保证银行保函有效。</w:t>
      </w:r>
    </w:p>
    <w:p w14:paraId="74E630E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7.7.2 中标人不能按本章第7.7.1项要求提交履约保证金的，视为放弃中标，其投标保证金不予退还，给招标人造成的损失超过投标保证金数额的，中标人还应对超过部分予以赔偿。</w:t>
      </w:r>
    </w:p>
    <w:p w14:paraId="0F09E191">
      <w:pPr>
        <w:pStyle w:val="2"/>
        <w:pageBreakBefore w:val="0"/>
        <w:kinsoku/>
        <w:wordWrap w:val="0"/>
        <w:bidi w:val="0"/>
        <w:outlineLvl w:val="2"/>
        <w:rPr>
          <w:rFonts w:hint="default" w:ascii="Times New Roman" w:hAnsi="Times New Roman" w:cs="Times New Roman"/>
          <w:color w:val="auto"/>
          <w:highlight w:val="none"/>
        </w:rPr>
      </w:pPr>
      <w:bookmarkStart w:id="306" w:name="_Toc8984"/>
      <w:bookmarkStart w:id="307" w:name="_Toc24076"/>
      <w:bookmarkStart w:id="308" w:name="_Toc234832914"/>
      <w:bookmarkStart w:id="309" w:name="_Toc12449"/>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 xml:space="preserve"> 签订合同</w:t>
      </w:r>
      <w:bookmarkEnd w:id="306"/>
      <w:bookmarkEnd w:id="307"/>
      <w:bookmarkEnd w:id="308"/>
      <w:bookmarkEnd w:id="309"/>
    </w:p>
    <w:p w14:paraId="6F64A45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7.8.1 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 </w:t>
      </w:r>
    </w:p>
    <w:p w14:paraId="317505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7.8.2 发出中标通知书后，招标人无正当理由拒签合同，或在签订合同时向中标人提出附加条件的，招标人向中标人退还投标保证金；给中标人造成损失的，还应赔偿损失。</w:t>
      </w:r>
    </w:p>
    <w:p w14:paraId="3269515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联合体中标的，联合体各方应共同与招标人签订合同，就中标项目向招标人承担连带责任。</w:t>
      </w:r>
    </w:p>
    <w:p w14:paraId="4338B18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招标人和中标人在签订合同协议书的同时，须按照本招标文件规定的格式和要求签订廉政合同及安全生产合同，明确双方在廉政建设和安全生产方面的权利和义务以及应承担的违约责任。</w:t>
      </w:r>
    </w:p>
    <w:p w14:paraId="53A47C0E">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10" w:name="_Toc11642"/>
      <w:bookmarkStart w:id="311" w:name="_Toc234832918"/>
      <w:bookmarkStart w:id="312" w:name="_Toc21562"/>
      <w:bookmarkStart w:id="313" w:name="_Toc11626"/>
      <w:r>
        <w:rPr>
          <w:rFonts w:hint="default" w:ascii="Times New Roman" w:hAnsi="Times New Roman" w:eastAsia="黑体" w:cs="Times New Roman"/>
          <w:b w:val="0"/>
          <w:color w:val="auto"/>
          <w:sz w:val="28"/>
          <w:szCs w:val="28"/>
          <w:highlight w:val="none"/>
          <w:lang w:eastAsia="zh-CN"/>
        </w:rPr>
        <w:t>8</w:t>
      </w:r>
      <w:r>
        <w:rPr>
          <w:rFonts w:hint="default" w:ascii="Times New Roman" w:hAnsi="Times New Roman" w:eastAsia="黑体" w:cs="Times New Roman"/>
          <w:b w:val="0"/>
          <w:color w:val="auto"/>
          <w:sz w:val="28"/>
          <w:szCs w:val="28"/>
          <w:highlight w:val="none"/>
        </w:rPr>
        <w:t>. 纪律和监督</w:t>
      </w:r>
      <w:bookmarkEnd w:id="310"/>
      <w:bookmarkEnd w:id="311"/>
      <w:bookmarkEnd w:id="312"/>
      <w:bookmarkEnd w:id="313"/>
    </w:p>
    <w:p w14:paraId="41E4D223">
      <w:pPr>
        <w:pStyle w:val="2"/>
        <w:pageBreakBefore w:val="0"/>
        <w:kinsoku/>
        <w:wordWrap w:val="0"/>
        <w:bidi w:val="0"/>
        <w:outlineLvl w:val="2"/>
        <w:rPr>
          <w:rFonts w:hint="default" w:ascii="Times New Roman" w:hAnsi="Times New Roman" w:cs="Times New Roman"/>
          <w:color w:val="auto"/>
          <w:highlight w:val="none"/>
        </w:rPr>
      </w:pPr>
      <w:bookmarkStart w:id="314" w:name="_Toc2195"/>
      <w:bookmarkStart w:id="315" w:name="_Toc234832919"/>
      <w:bookmarkStart w:id="316" w:name="_Toc30402"/>
      <w:bookmarkStart w:id="317" w:name="_Toc23721"/>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.1 对招标人的纪律要求</w:t>
      </w:r>
      <w:bookmarkEnd w:id="314"/>
      <w:bookmarkEnd w:id="315"/>
      <w:bookmarkEnd w:id="316"/>
      <w:bookmarkEnd w:id="317"/>
    </w:p>
    <w:p w14:paraId="15ED3F0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招标人不得泄露招标投标活动中应保密的情况和资料，不得与投标人串通损害国家利益、社会公共利益或他人合法权益。</w:t>
      </w:r>
    </w:p>
    <w:p w14:paraId="3B7119B1">
      <w:pPr>
        <w:pStyle w:val="2"/>
        <w:pageBreakBefore w:val="0"/>
        <w:kinsoku/>
        <w:wordWrap w:val="0"/>
        <w:bidi w:val="0"/>
        <w:outlineLvl w:val="2"/>
        <w:rPr>
          <w:rFonts w:hint="default" w:ascii="Times New Roman" w:hAnsi="Times New Roman" w:cs="Times New Roman"/>
          <w:color w:val="auto"/>
          <w:highlight w:val="none"/>
        </w:rPr>
      </w:pPr>
      <w:bookmarkStart w:id="318" w:name="_Toc31255"/>
      <w:bookmarkStart w:id="319" w:name="_Toc23019"/>
      <w:bookmarkStart w:id="320" w:name="_Toc28155"/>
      <w:bookmarkStart w:id="321" w:name="_Toc234832920"/>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.2 对投标人的纪律要求</w:t>
      </w:r>
      <w:bookmarkEnd w:id="318"/>
      <w:bookmarkEnd w:id="319"/>
      <w:bookmarkEnd w:id="320"/>
      <w:bookmarkEnd w:id="321"/>
    </w:p>
    <w:p w14:paraId="28327B7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40A6823D">
      <w:pPr>
        <w:pStyle w:val="2"/>
        <w:pageBreakBefore w:val="0"/>
        <w:kinsoku/>
        <w:wordWrap w:val="0"/>
        <w:bidi w:val="0"/>
        <w:outlineLvl w:val="2"/>
        <w:rPr>
          <w:rFonts w:hint="default" w:ascii="Times New Roman" w:hAnsi="Times New Roman" w:cs="Times New Roman"/>
          <w:color w:val="auto"/>
          <w:highlight w:val="none"/>
        </w:rPr>
      </w:pPr>
      <w:bookmarkStart w:id="322" w:name="_Toc5418"/>
      <w:bookmarkStart w:id="323" w:name="_Toc234832921"/>
      <w:bookmarkStart w:id="324" w:name="_Toc22216"/>
      <w:bookmarkStart w:id="325" w:name="_Toc18750"/>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.3 对评标委员会成员的纪律要求</w:t>
      </w:r>
      <w:bookmarkEnd w:id="322"/>
      <w:bookmarkEnd w:id="323"/>
      <w:bookmarkEnd w:id="324"/>
      <w:bookmarkEnd w:id="325"/>
    </w:p>
    <w:p w14:paraId="7B1DDFB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没有规定的评审因素和标准进行评标。</w:t>
      </w:r>
    </w:p>
    <w:p w14:paraId="4412B560">
      <w:pPr>
        <w:pStyle w:val="2"/>
        <w:pageBreakBefore w:val="0"/>
        <w:kinsoku/>
        <w:wordWrap w:val="0"/>
        <w:bidi w:val="0"/>
        <w:outlineLvl w:val="2"/>
        <w:rPr>
          <w:rFonts w:hint="default" w:ascii="Times New Roman" w:hAnsi="Times New Roman" w:cs="Times New Roman"/>
          <w:color w:val="auto"/>
          <w:highlight w:val="none"/>
        </w:rPr>
      </w:pPr>
      <w:bookmarkStart w:id="326" w:name="_Toc11335"/>
      <w:bookmarkStart w:id="327" w:name="_Toc234832922"/>
      <w:bookmarkStart w:id="328" w:name="_Toc9801"/>
      <w:bookmarkStart w:id="329" w:name="_Toc6211"/>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.4 对与评标活动有关的工作人员的纪律要求</w:t>
      </w:r>
      <w:bookmarkEnd w:id="326"/>
      <w:bookmarkEnd w:id="327"/>
      <w:bookmarkEnd w:id="328"/>
      <w:bookmarkEnd w:id="329"/>
    </w:p>
    <w:p w14:paraId="6F4E17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2C441406">
      <w:pPr>
        <w:pStyle w:val="2"/>
        <w:pageBreakBefore w:val="0"/>
        <w:kinsoku/>
        <w:wordWrap w:val="0"/>
        <w:bidi w:val="0"/>
        <w:outlineLvl w:val="2"/>
        <w:rPr>
          <w:rFonts w:hint="default" w:ascii="Times New Roman" w:hAnsi="Times New Roman" w:cs="Times New Roman"/>
          <w:color w:val="auto"/>
          <w:highlight w:val="none"/>
        </w:rPr>
      </w:pPr>
      <w:bookmarkStart w:id="330" w:name="_Toc15842"/>
      <w:bookmarkStart w:id="331" w:name="_Toc234832923"/>
      <w:bookmarkStart w:id="332" w:name="_Toc22150"/>
      <w:bookmarkStart w:id="333" w:name="_Toc19294"/>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.5 投诉</w:t>
      </w:r>
      <w:bookmarkEnd w:id="330"/>
      <w:bookmarkEnd w:id="331"/>
      <w:bookmarkEnd w:id="332"/>
      <w:bookmarkEnd w:id="333"/>
    </w:p>
    <w:p w14:paraId="15B39CC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8.5.1 投标人或其他利害关系人认为招标投标活动不符合法律、行政法规规定的，可以自知道或应当知道之日起10日内向有关行政监督部门投诉。投诉应有明确的请求和必要的证明材料。</w:t>
      </w:r>
    </w:p>
    <w:p w14:paraId="7DD032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监督部门的联系方式见投标人须知前附表。</w:t>
      </w:r>
    </w:p>
    <w:p w14:paraId="587FEEB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8.5.2 投标人或其他利害关系人对招标文件、开标和评标结果提出投诉的，应按照本章第2.4款、第5.3款和第7.2款的规定先向招标人提出异议。异议答复期间</w:t>
      </w:r>
      <w:bookmarkStart w:id="334" w:name="_Toc12776"/>
      <w:bookmarkStart w:id="335" w:name="_Toc152042346"/>
      <w:bookmarkStart w:id="336" w:name="_Toc369531561"/>
      <w:bookmarkStart w:id="337" w:name="_Toc300834993"/>
      <w:bookmarkStart w:id="338" w:name="_Toc361508630"/>
      <w:bookmarkStart w:id="339" w:name="_Toc247513994"/>
      <w:bookmarkStart w:id="340" w:name="_Toc352691517"/>
      <w:bookmarkStart w:id="341" w:name="_Toc152045570"/>
      <w:bookmarkStart w:id="342" w:name="_Toc144974538"/>
      <w:bookmarkStart w:id="343" w:name="_Toc384308255"/>
      <w:bookmarkStart w:id="344" w:name="_Toc247527595"/>
      <w:r>
        <w:rPr>
          <w:rFonts w:hint="default" w:ascii="Times New Roman" w:hAnsi="Times New Roman" w:eastAsia="宋体" w:cs="Times New Roman"/>
          <w:color w:val="auto"/>
          <w:sz w:val="24"/>
          <w:highlight w:val="none"/>
        </w:rPr>
        <w:t>不计算在第8.5.</w:t>
      </w:r>
      <w:bookmarkEnd w:id="334"/>
      <w:bookmarkEnd w:id="335"/>
      <w:bookmarkEnd w:id="336"/>
      <w:bookmarkEnd w:id="337"/>
      <w:bookmarkEnd w:id="338"/>
      <w:bookmarkEnd w:id="339"/>
      <w:bookmarkEnd w:id="340"/>
      <w:bookmarkEnd w:id="341"/>
      <w:bookmarkEnd w:id="342"/>
      <w:bookmarkEnd w:id="343"/>
      <w:bookmarkEnd w:id="344"/>
      <w:r>
        <w:rPr>
          <w:rFonts w:hint="default" w:ascii="Times New Roman" w:hAnsi="Times New Roman" w:eastAsia="宋体" w:cs="Times New Roman"/>
          <w:color w:val="auto"/>
          <w:sz w:val="24"/>
          <w:highlight w:val="none"/>
        </w:rPr>
        <w:t>1项规定的期限内。</w:t>
      </w:r>
    </w:p>
    <w:p w14:paraId="5068F50C">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lang w:eastAsia="zh-CN"/>
        </w:rPr>
      </w:pPr>
      <w:bookmarkStart w:id="345" w:name="_Toc22135"/>
      <w:bookmarkStart w:id="346" w:name="_Toc18903"/>
      <w:bookmarkStart w:id="347" w:name="_Toc234832924"/>
      <w:bookmarkStart w:id="348" w:name="_Toc5209"/>
      <w:r>
        <w:rPr>
          <w:rFonts w:hint="default" w:ascii="Times New Roman" w:hAnsi="Times New Roman" w:cs="Times New Roman"/>
          <w:b w:val="0"/>
          <w:color w:val="auto"/>
          <w:sz w:val="28"/>
          <w:szCs w:val="28"/>
          <w:highlight w:val="none"/>
          <w:lang w:val="en-US" w:eastAsia="zh-CN"/>
        </w:rPr>
        <w:t>9</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b w:val="0"/>
          <w:color w:val="auto"/>
          <w:sz w:val="28"/>
          <w:szCs w:val="28"/>
          <w:highlight w:val="none"/>
          <w:lang w:eastAsia="zh-CN"/>
        </w:rPr>
        <w:t xml:space="preserve"> </w:t>
      </w:r>
      <w:r>
        <w:rPr>
          <w:rFonts w:hint="default" w:ascii="Times New Roman" w:hAnsi="Times New Roman" w:eastAsia="黑体" w:cs="Times New Roman"/>
          <w:b w:val="0"/>
          <w:color w:val="auto"/>
          <w:sz w:val="28"/>
          <w:szCs w:val="28"/>
          <w:highlight w:val="none"/>
        </w:rPr>
        <w:t>需要补充的其他内容</w:t>
      </w:r>
      <w:bookmarkEnd w:id="345"/>
      <w:bookmarkEnd w:id="346"/>
      <w:bookmarkEnd w:id="347"/>
      <w:bookmarkEnd w:id="348"/>
    </w:p>
    <w:p w14:paraId="44ABA4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需要补充的其他内容：见投标人须知前附表。</w:t>
      </w:r>
    </w:p>
    <w:p w14:paraId="18331042">
      <w:pPr>
        <w:pStyle w:val="2"/>
        <w:wordWrap w:val="0"/>
        <w:spacing w:before="0" w:after="100" w:afterAutospacing="1"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隶书" w:cs="Times New Roman"/>
          <w:color w:val="auto"/>
          <w:sz w:val="24"/>
          <w:highlight w:val="none"/>
        </w:rPr>
        <w:br w:type="page"/>
      </w:r>
      <w:bookmarkStart w:id="349" w:name="_Toc31950"/>
      <w:bookmarkStart w:id="350" w:name="_Toc12892"/>
      <w:bookmarkStart w:id="351" w:name="_Toc234832925"/>
      <w:bookmarkStart w:id="352" w:name="_Toc19391"/>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开标记录表 </w:t>
      </w:r>
      <w:r>
        <w:rPr>
          <w:rStyle w:val="47"/>
          <w:rFonts w:hint="default" w:ascii="Times New Roman" w:hAnsi="Times New Roman" w:eastAsia="黑体" w:cs="Times New Roman"/>
          <w:b w:val="0"/>
          <w:color w:val="auto"/>
          <w:sz w:val="28"/>
          <w:szCs w:val="28"/>
          <w:highlight w:val="none"/>
        </w:rPr>
        <w:footnoteReference w:id="25"/>
      </w:r>
      <w:bookmarkEnd w:id="349"/>
      <w:bookmarkEnd w:id="350"/>
      <w:bookmarkEnd w:id="351"/>
      <w:bookmarkEnd w:id="352"/>
    </w:p>
    <w:p w14:paraId="1C62D13C">
      <w:pPr>
        <w:wordWrap w:val="0"/>
        <w:spacing w:before="0" w:after="100" w:afterAutospacing="1" w:line="240" w:lineRule="atLeast"/>
        <w:outlineLvl w:val="9"/>
        <w:rPr>
          <w:rFonts w:hint="default" w:ascii="Times New Roman" w:hAnsi="Times New Roman" w:eastAsia="黑体" w:cs="Times New Roman"/>
          <w:b w:val="0"/>
          <w:color w:val="auto"/>
          <w:sz w:val="24"/>
          <w:szCs w:val="24"/>
          <w:highlight w:val="none"/>
        </w:rPr>
      </w:pPr>
      <w:bookmarkStart w:id="353" w:name="_Toc8817"/>
      <w:bookmarkStart w:id="354" w:name="_Toc16381"/>
      <w:bookmarkStart w:id="355" w:name="_Toc2455"/>
      <w:bookmarkStart w:id="356" w:name="_Toc20922"/>
      <w:r>
        <w:rPr>
          <w:rFonts w:hint="eastAsia" w:ascii="宋体" w:hAnsi="宋体" w:eastAsia="宋体" w:cs="宋体"/>
          <w:color w:val="auto"/>
          <w:sz w:val="24"/>
          <w:szCs w:val="24"/>
          <w:highlight w:val="none"/>
          <w:u w:val="none"/>
          <w:lang w:val="en-US" w:eastAsia="zh-CN"/>
        </w:rPr>
        <w:t>以电子交易平台生成格式为准。</w:t>
      </w:r>
      <w:bookmarkEnd w:id="353"/>
      <w:bookmarkEnd w:id="354"/>
      <w:bookmarkEnd w:id="355"/>
      <w:bookmarkEnd w:id="356"/>
    </w:p>
    <w:p w14:paraId="10D54DE3">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color w:val="auto"/>
          <w:szCs w:val="21"/>
          <w:highlight w:val="none"/>
        </w:rPr>
      </w:pPr>
      <w:bookmarkStart w:id="357" w:name="_Toc24468"/>
      <w:r>
        <w:rPr>
          <w:rFonts w:hint="eastAsia" w:eastAsia="黑体" w:cs="Times New Roman"/>
          <w:color w:val="auto"/>
          <w:sz w:val="24"/>
          <w:szCs w:val="24"/>
          <w:highlight w:val="none"/>
          <w:u w:val="none"/>
          <w:lang w:val="en-US" w:eastAsia="zh-CN"/>
        </w:rPr>
        <w:t xml:space="preserve"> </w:t>
      </w:r>
      <w:r>
        <w:rPr>
          <w:rFonts w:hint="default" w:ascii="Times New Roman" w:hAnsi="Times New Roman" w:cs="Times New Roman"/>
          <w:color w:val="auto"/>
          <w:szCs w:val="24"/>
          <w:highlight w:val="none"/>
        </w:rPr>
        <w:br w:type="page"/>
      </w:r>
      <w:bookmarkEnd w:id="357"/>
    </w:p>
    <w:p w14:paraId="4208375C">
      <w:pPr>
        <w:pageBreakBefore w:val="0"/>
        <w:kinsoku/>
        <w:wordWrap w:val="0"/>
        <w:bidi w:val="0"/>
        <w:spacing w:line="620" w:lineRule="exact"/>
        <w:ind w:right="630"/>
        <w:jc w:val="center"/>
        <w:rPr>
          <w:rFonts w:hint="default" w:ascii="Times New Roman" w:hAnsi="Times New Roman" w:cs="Times New Roman"/>
          <w:color w:val="auto"/>
          <w:szCs w:val="21"/>
          <w:highlight w:val="none"/>
        </w:rPr>
        <w:sectPr>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1EBAD083">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358" w:name="_Toc234832926"/>
      <w:bookmarkStart w:id="359" w:name="_Toc3403"/>
      <w:bookmarkStart w:id="360" w:name="_Toc18880"/>
      <w:bookmarkStart w:id="361" w:name="_Toc25086"/>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问题澄清通知</w:t>
      </w:r>
      <w:bookmarkEnd w:id="358"/>
      <w:bookmarkEnd w:id="359"/>
      <w:bookmarkEnd w:id="360"/>
      <w:bookmarkEnd w:id="361"/>
    </w:p>
    <w:p w14:paraId="64645D91">
      <w:pPr>
        <w:pageBreakBefore w:val="0"/>
        <w:kinsoku/>
        <w:wordWrap w:val="0"/>
        <w:bidi w:val="0"/>
        <w:spacing w:line="440" w:lineRule="exact"/>
        <w:jc w:val="center"/>
        <w:rPr>
          <w:rFonts w:hint="default" w:ascii="Times New Roman" w:hAnsi="Times New Roman" w:cs="Times New Roman"/>
          <w:color w:val="auto"/>
          <w:sz w:val="28"/>
          <w:szCs w:val="28"/>
          <w:highlight w:val="none"/>
        </w:rPr>
      </w:pPr>
    </w:p>
    <w:p w14:paraId="766153F3">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问题澄清通知</w:t>
      </w:r>
    </w:p>
    <w:p w14:paraId="08F5AA53">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666A57B8">
      <w:pPr>
        <w:pageBreakBefore w:val="0"/>
        <w:kinsoku/>
        <w:wordWrap w:val="0"/>
        <w:bidi w:val="0"/>
        <w:spacing w:line="440" w:lineRule="exact"/>
        <w:rPr>
          <w:rFonts w:hint="default" w:ascii="Times New Roman" w:hAnsi="Times New Roman" w:cs="Times New Roman"/>
          <w:color w:val="auto"/>
          <w:sz w:val="24"/>
          <w:highlight w:val="none"/>
        </w:rPr>
      </w:pPr>
    </w:p>
    <w:p w14:paraId="47FD2F8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w:t>
      </w:r>
    </w:p>
    <w:p w14:paraId="05927090">
      <w:pPr>
        <w:pageBreakBefore w:val="0"/>
        <w:kinsoku/>
        <w:wordWrap w:val="0"/>
        <w:bidi w:val="0"/>
        <w:spacing w:line="440" w:lineRule="exact"/>
        <w:rPr>
          <w:rFonts w:hint="default" w:ascii="Times New Roman" w:hAnsi="Times New Roman" w:cs="Times New Roman"/>
          <w:color w:val="auto"/>
          <w:sz w:val="24"/>
          <w:highlight w:val="none"/>
        </w:rPr>
      </w:pPr>
    </w:p>
    <w:p w14:paraId="021C328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标段施工招标的评标委员会，对你方的投标文件进行了仔细的审查，现需你方对下列问题以书面形式予以澄清或说明：</w:t>
      </w:r>
    </w:p>
    <w:p w14:paraId="6CB3FF0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230432E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w:t>
      </w:r>
    </w:p>
    <w:p w14:paraId="6EE961D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w:t>
      </w:r>
    </w:p>
    <w:p w14:paraId="463C3E0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   </w:t>
      </w:r>
    </w:p>
    <w:p w14:paraId="2667594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41183A29">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请将上述问题的澄清或说明于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分前通过</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lang w:eastAsia="zh-CN"/>
        </w:rPr>
        <w:t>”</w:t>
      </w:r>
      <w:r>
        <w:rPr>
          <w:rFonts w:hint="default" w:ascii="Times New Roman" w:hAnsi="Times New Roman" w:cs="Times New Roman"/>
          <w:color w:val="auto"/>
          <w:sz w:val="24"/>
          <w:highlight w:val="none"/>
        </w:rPr>
        <w:t>上传。</w:t>
      </w:r>
    </w:p>
    <w:p w14:paraId="2809404C">
      <w:pPr>
        <w:pageBreakBefore w:val="0"/>
        <w:kinsoku/>
        <w:wordWrap w:val="0"/>
        <w:bidi w:val="0"/>
        <w:spacing w:line="440" w:lineRule="exact"/>
        <w:rPr>
          <w:rFonts w:hint="default" w:ascii="Times New Roman" w:hAnsi="Times New Roman" w:cs="Times New Roman"/>
          <w:color w:val="auto"/>
          <w:sz w:val="24"/>
          <w:highlight w:val="none"/>
        </w:rPr>
      </w:pPr>
    </w:p>
    <w:p w14:paraId="20C22570">
      <w:pPr>
        <w:pageBreakBefore w:val="0"/>
        <w:kinsoku/>
        <w:wordWrap w:val="0"/>
        <w:bidi w:val="0"/>
        <w:spacing w:line="440" w:lineRule="exact"/>
        <w:rPr>
          <w:rFonts w:hint="default" w:ascii="Times New Roman" w:hAnsi="Times New Roman" w:cs="Times New Roman"/>
          <w:color w:val="auto"/>
          <w:sz w:val="24"/>
          <w:highlight w:val="none"/>
        </w:rPr>
      </w:pPr>
    </w:p>
    <w:p w14:paraId="76D0BC53">
      <w:pPr>
        <w:pageBreakBefore w:val="0"/>
        <w:kinsoku/>
        <w:wordWrap w:val="0"/>
        <w:bidi w:val="0"/>
        <w:spacing w:line="440" w:lineRule="exact"/>
        <w:jc w:val="righ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评标委员会授权的招标人或招标代理机构：</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（签字或盖单位章）</w:t>
      </w:r>
    </w:p>
    <w:p w14:paraId="2B594FF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5D9FABC2">
      <w:pPr>
        <w:pageBreakBefore w:val="0"/>
        <w:kinsoku/>
        <w:wordWrap w:val="0"/>
        <w:bidi w:val="0"/>
        <w:spacing w:line="440" w:lineRule="exact"/>
        <w:ind w:right="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2D7687DC">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362" w:name="_Toc31852"/>
      <w:bookmarkStart w:id="363" w:name="_Toc234832927"/>
      <w:bookmarkStart w:id="364" w:name="_Toc6756"/>
      <w:bookmarkStart w:id="365" w:name="_Toc23171"/>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问题的澄清</w:t>
      </w:r>
      <w:bookmarkEnd w:id="362"/>
      <w:bookmarkEnd w:id="363"/>
      <w:bookmarkEnd w:id="364"/>
      <w:bookmarkEnd w:id="365"/>
    </w:p>
    <w:p w14:paraId="68355E7E">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问题的澄清</w:t>
      </w:r>
    </w:p>
    <w:p w14:paraId="0C8F5AAC">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08D1925C">
      <w:pPr>
        <w:pageBreakBefore w:val="0"/>
        <w:kinsoku/>
        <w:wordWrap w:val="0"/>
        <w:bidi w:val="0"/>
        <w:spacing w:line="440" w:lineRule="exact"/>
        <w:rPr>
          <w:rFonts w:hint="default" w:ascii="Times New Roman" w:hAnsi="Times New Roman" w:cs="Times New Roman"/>
          <w:color w:val="auto"/>
          <w:sz w:val="24"/>
          <w:highlight w:val="none"/>
        </w:rPr>
      </w:pPr>
    </w:p>
    <w:p w14:paraId="573D416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标段施工招标评标委员会：</w:t>
      </w:r>
    </w:p>
    <w:p w14:paraId="61FD5648">
      <w:pPr>
        <w:pageBreakBefore w:val="0"/>
        <w:kinsoku/>
        <w:wordWrap w:val="0"/>
        <w:bidi w:val="0"/>
        <w:spacing w:line="440" w:lineRule="exact"/>
        <w:rPr>
          <w:rFonts w:hint="default" w:ascii="Times New Roman" w:hAnsi="Times New Roman" w:cs="Times New Roman"/>
          <w:color w:val="auto"/>
          <w:sz w:val="24"/>
          <w:highlight w:val="none"/>
        </w:rPr>
      </w:pPr>
    </w:p>
    <w:p w14:paraId="7FD1E0B2">
      <w:pPr>
        <w:pageBreakBefore w:val="0"/>
        <w:kinsoku/>
        <w:wordWrap w:val="0"/>
        <w:bidi w:val="0"/>
        <w:spacing w:line="440" w:lineRule="exact"/>
        <w:rPr>
          <w:rFonts w:hint="default" w:ascii="Times New Roman" w:hAnsi="Times New Roman" w:cs="Times New Roman"/>
          <w:color w:val="auto"/>
          <w:sz w:val="24"/>
          <w:highlight w:val="none"/>
        </w:rPr>
      </w:pPr>
    </w:p>
    <w:p w14:paraId="62504EA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问题澄清通知（编号：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）已收悉，现澄清、说明如下：</w:t>
      </w:r>
    </w:p>
    <w:p w14:paraId="32956CC5">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w:t>
      </w:r>
    </w:p>
    <w:p w14:paraId="4853BCB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w:t>
      </w:r>
    </w:p>
    <w:p w14:paraId="5E39672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4833EE29">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4C0643D8">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3CE7A2C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55E6E562">
      <w:pPr>
        <w:pageBreakBefore w:val="0"/>
        <w:kinsoku/>
        <w:wordWrap w:val="0"/>
        <w:bidi w:val="0"/>
        <w:spacing w:line="440" w:lineRule="exact"/>
        <w:rPr>
          <w:rFonts w:hint="default" w:ascii="Times New Roman" w:hAnsi="Times New Roman" w:cs="Times New Roman"/>
          <w:color w:val="auto"/>
          <w:sz w:val="24"/>
          <w:highlight w:val="none"/>
        </w:rPr>
      </w:pPr>
    </w:p>
    <w:p w14:paraId="68721B5E">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上述问题澄清或说明，不改变我方投标文件的实质性内容，构成我方投标文件的组成部分。</w:t>
      </w:r>
    </w:p>
    <w:p w14:paraId="594220BB">
      <w:pPr>
        <w:pageBreakBefore w:val="0"/>
        <w:kinsoku/>
        <w:wordWrap w:val="0"/>
        <w:bidi w:val="0"/>
        <w:spacing w:line="440" w:lineRule="exact"/>
        <w:rPr>
          <w:rFonts w:hint="default" w:ascii="Times New Roman" w:hAnsi="Times New Roman" w:cs="Times New Roman"/>
          <w:color w:val="auto"/>
          <w:sz w:val="24"/>
          <w:highlight w:val="none"/>
        </w:rPr>
      </w:pPr>
    </w:p>
    <w:p w14:paraId="26C543BB">
      <w:pPr>
        <w:pageBreakBefore w:val="0"/>
        <w:kinsoku/>
        <w:wordWrap w:val="0"/>
        <w:bidi w:val="0"/>
        <w:spacing w:line="440" w:lineRule="exact"/>
        <w:rPr>
          <w:rFonts w:hint="default" w:ascii="Times New Roman" w:hAnsi="Times New Roman" w:cs="Times New Roman"/>
          <w:color w:val="auto"/>
          <w:sz w:val="24"/>
          <w:highlight w:val="none"/>
        </w:rPr>
      </w:pPr>
    </w:p>
    <w:p w14:paraId="477B6A3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vertAlign w:val="superscript"/>
        </w:rPr>
        <w:footnoteReference w:id="26"/>
      </w:r>
    </w:p>
    <w:p w14:paraId="6D101A9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117AF06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FEED5BE">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0"/>
          <w:szCs w:val="20"/>
          <w:highlight w:val="none"/>
        </w:rPr>
        <w:br w:type="page"/>
      </w:r>
      <w:bookmarkStart w:id="366" w:name="_Toc234832928"/>
      <w:bookmarkStart w:id="367" w:name="_Toc22225"/>
      <w:bookmarkStart w:id="368" w:name="_Toc10765"/>
      <w:bookmarkStart w:id="369" w:name="_Toc15693"/>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中标通知书</w:t>
      </w:r>
      <w:bookmarkEnd w:id="366"/>
      <w:bookmarkEnd w:id="367"/>
      <w:bookmarkEnd w:id="368"/>
      <w:bookmarkEnd w:id="369"/>
    </w:p>
    <w:p w14:paraId="3E8B7905">
      <w:pPr>
        <w:pageBreakBefore w:val="0"/>
        <w:kinsoku/>
        <w:wordWrap w:val="0"/>
        <w:bidi w:val="0"/>
        <w:spacing w:line="440" w:lineRule="exact"/>
        <w:ind w:firstLine="3640" w:firstLineChars="1300"/>
        <w:rPr>
          <w:rFonts w:hint="default" w:ascii="Times New Roman" w:hAnsi="Times New Roman" w:eastAsia="黑体" w:cs="Times New Roman"/>
          <w:color w:val="auto"/>
          <w:sz w:val="28"/>
          <w:szCs w:val="28"/>
          <w:highlight w:val="none"/>
        </w:rPr>
      </w:pPr>
    </w:p>
    <w:p w14:paraId="008B760E">
      <w:pPr>
        <w:pageBreakBefore w:val="0"/>
        <w:kinsoku/>
        <w:wordWrap w:val="0"/>
        <w:bidi w:val="0"/>
        <w:spacing w:line="600" w:lineRule="exact"/>
        <w:ind w:firstLine="0" w:firstLineChars="0"/>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u w:val="none"/>
          <w:lang w:val="en-US" w:eastAsia="zh-CN"/>
        </w:rPr>
        <w:t>以</w:t>
      </w:r>
      <w:r>
        <w:rPr>
          <w:rFonts w:hint="eastAsia" w:cs="Times New Roman"/>
          <w:color w:val="auto"/>
          <w:sz w:val="24"/>
          <w:szCs w:val="24"/>
          <w:highlight w:val="none"/>
          <w:u w:val="none"/>
          <w:lang w:val="en-US" w:eastAsia="zh-CN"/>
        </w:rPr>
        <w:t>辽宁省招标投标监管网</w:t>
      </w:r>
      <w:r>
        <w:rPr>
          <w:rFonts w:hint="default" w:cs="Times New Roman"/>
          <w:color w:val="auto"/>
          <w:sz w:val="24"/>
          <w:szCs w:val="24"/>
          <w:highlight w:val="none"/>
          <w:u w:val="none"/>
          <w:lang w:val="en-US" w:eastAsia="zh-CN"/>
        </w:rPr>
        <w:t>生成格式为准</w:t>
      </w:r>
      <w:r>
        <w:rPr>
          <w:rFonts w:hint="eastAsia" w:cs="Times New Roman"/>
          <w:color w:val="auto"/>
          <w:sz w:val="24"/>
          <w:szCs w:val="24"/>
          <w:highlight w:val="none"/>
          <w:u w:val="none"/>
          <w:lang w:val="en-US" w:eastAsia="zh-CN"/>
        </w:rPr>
        <w:t>（如有）</w:t>
      </w:r>
      <w:r>
        <w:rPr>
          <w:rFonts w:hint="default" w:cs="Times New Roman"/>
          <w:color w:val="auto"/>
          <w:sz w:val="24"/>
          <w:szCs w:val="24"/>
          <w:highlight w:val="none"/>
          <w:u w:val="none"/>
          <w:lang w:val="en-US" w:eastAsia="zh-CN"/>
        </w:rPr>
        <w:t>。</w:t>
      </w:r>
    </w:p>
    <w:p w14:paraId="687046F4">
      <w:pPr>
        <w:pageBreakBefore w:val="0"/>
        <w:kinsoku/>
        <w:wordWrap w:val="0"/>
        <w:bidi w:val="0"/>
        <w:spacing w:line="440" w:lineRule="exact"/>
        <w:rPr>
          <w:rFonts w:hint="default" w:ascii="Times New Roman" w:hAnsi="Times New Roman" w:eastAsia="黑体" w:cs="Times New Roman"/>
          <w:color w:val="auto"/>
          <w:sz w:val="24"/>
          <w:highlight w:val="none"/>
        </w:rPr>
      </w:pPr>
    </w:p>
    <w:p w14:paraId="71D7B768">
      <w:pPr>
        <w:pageBreakBefore w:val="0"/>
        <w:kinsoku/>
        <w:wordWrap w:val="0"/>
        <w:bidi w:val="0"/>
        <w:spacing w:line="440" w:lineRule="exact"/>
        <w:rPr>
          <w:rFonts w:hint="default" w:ascii="Times New Roman" w:hAnsi="Times New Roman" w:cs="Times New Roman"/>
          <w:color w:val="auto"/>
          <w:sz w:val="20"/>
          <w:szCs w:val="20"/>
          <w:highlight w:val="none"/>
        </w:rPr>
      </w:pPr>
    </w:p>
    <w:p w14:paraId="366AA722">
      <w:pPr>
        <w:pageBreakBefore w:val="0"/>
        <w:kinsoku/>
        <w:wordWrap w:val="0"/>
        <w:bidi w:val="0"/>
        <w:spacing w:line="440" w:lineRule="exact"/>
        <w:rPr>
          <w:rFonts w:hint="default" w:ascii="Times New Roman" w:hAnsi="Times New Roman" w:cs="Times New Roman"/>
          <w:color w:val="auto"/>
          <w:sz w:val="20"/>
          <w:szCs w:val="20"/>
          <w:highlight w:val="none"/>
        </w:rPr>
      </w:pPr>
    </w:p>
    <w:p w14:paraId="09BA17C3">
      <w:pPr>
        <w:pageBreakBefore w:val="0"/>
        <w:kinsoku/>
        <w:wordWrap w:val="0"/>
        <w:bidi w:val="0"/>
        <w:spacing w:line="440" w:lineRule="exact"/>
        <w:rPr>
          <w:rFonts w:hint="default" w:ascii="Times New Roman" w:hAnsi="Times New Roman" w:cs="Times New Roman"/>
          <w:color w:val="auto"/>
          <w:sz w:val="20"/>
          <w:szCs w:val="20"/>
          <w:highlight w:val="none"/>
        </w:rPr>
      </w:pPr>
    </w:p>
    <w:p w14:paraId="49658921">
      <w:pPr>
        <w:pageBreakBefore w:val="0"/>
        <w:kinsoku/>
        <w:wordWrap w:val="0"/>
        <w:bidi w:val="0"/>
        <w:spacing w:line="440" w:lineRule="exact"/>
        <w:rPr>
          <w:rFonts w:hint="default" w:ascii="Times New Roman" w:hAnsi="Times New Roman" w:cs="Times New Roman"/>
          <w:color w:val="auto"/>
          <w:sz w:val="20"/>
          <w:szCs w:val="20"/>
          <w:highlight w:val="none"/>
        </w:rPr>
      </w:pPr>
    </w:p>
    <w:p w14:paraId="79D4E17E">
      <w:pPr>
        <w:pageBreakBefore w:val="0"/>
        <w:kinsoku/>
        <w:wordWrap w:val="0"/>
        <w:bidi w:val="0"/>
        <w:spacing w:line="440" w:lineRule="exact"/>
        <w:rPr>
          <w:rFonts w:hint="default" w:ascii="Times New Roman" w:hAnsi="Times New Roman" w:cs="Times New Roman"/>
          <w:color w:val="auto"/>
          <w:sz w:val="20"/>
          <w:szCs w:val="20"/>
          <w:highlight w:val="none"/>
        </w:rPr>
      </w:pPr>
    </w:p>
    <w:p w14:paraId="71250CBA">
      <w:pPr>
        <w:pageBreakBefore w:val="0"/>
        <w:kinsoku/>
        <w:wordWrap w:val="0"/>
        <w:bidi w:val="0"/>
        <w:spacing w:line="440" w:lineRule="exact"/>
        <w:rPr>
          <w:rFonts w:hint="default" w:ascii="Times New Roman" w:hAnsi="Times New Roman" w:cs="Times New Roman"/>
          <w:color w:val="auto"/>
          <w:sz w:val="20"/>
          <w:szCs w:val="20"/>
          <w:highlight w:val="none"/>
        </w:rPr>
      </w:pPr>
    </w:p>
    <w:p w14:paraId="67917685">
      <w:pPr>
        <w:pageBreakBefore w:val="0"/>
        <w:kinsoku/>
        <w:wordWrap w:val="0"/>
        <w:bidi w:val="0"/>
        <w:spacing w:line="440" w:lineRule="exact"/>
        <w:rPr>
          <w:rFonts w:hint="default" w:ascii="Times New Roman" w:hAnsi="Times New Roman" w:cs="Times New Roman"/>
          <w:color w:val="auto"/>
          <w:sz w:val="20"/>
          <w:szCs w:val="20"/>
          <w:highlight w:val="none"/>
        </w:rPr>
      </w:pPr>
    </w:p>
    <w:p w14:paraId="3DA380B7">
      <w:pPr>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370" w:name="_Toc234832929"/>
      <w:r>
        <w:rPr>
          <w:rFonts w:hint="default" w:ascii="Times New Roman" w:hAnsi="Times New Roman" w:eastAsia="黑体" w:cs="Times New Roman"/>
          <w:b w:val="0"/>
          <w:color w:val="auto"/>
          <w:sz w:val="24"/>
          <w:szCs w:val="24"/>
          <w:highlight w:val="none"/>
        </w:rPr>
        <w:br w:type="page"/>
      </w:r>
    </w:p>
    <w:bookmarkEnd w:id="370"/>
    <w:p w14:paraId="6E449D9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DCE7807">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33501BF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145DCCC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7B922D29">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46CCC16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6E39A908">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1D085D13">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06AC211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609FB01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26FEE861">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r>
        <w:rPr>
          <w:rFonts w:hint="default" w:ascii="Times New Roman" w:hAnsi="Times New Roman" w:eastAsia="黑体" w:cs="Times New Roman"/>
          <w:color w:val="auto"/>
          <w:sz w:val="56"/>
          <w:szCs w:val="56"/>
          <w:highlight w:val="none"/>
        </w:rPr>
        <w:t>第三章  评标办法</w:t>
      </w:r>
    </w:p>
    <w:p w14:paraId="460AC5AC">
      <w:pPr>
        <w:pStyle w:val="2"/>
        <w:pageBreakBefore w:val="0"/>
        <w:kinsoku/>
        <w:wordWrap w:val="0"/>
        <w:bidi w:val="0"/>
        <w:spacing w:before="0" w:after="120" w:afterLines="50" w:line="240" w:lineRule="atLeast"/>
        <w:jc w:val="center"/>
        <w:outlineLvl w:val="9"/>
        <w:rPr>
          <w:rFonts w:hint="default" w:ascii="Times New Roman" w:hAnsi="Times New Roman" w:eastAsia="黑体" w:cs="Times New Roman"/>
          <w:color w:val="auto"/>
          <w:sz w:val="36"/>
          <w:szCs w:val="36"/>
          <w:highlight w:val="none"/>
        </w:rPr>
        <w:sectPr>
          <w:headerReference r:id="rId27" w:type="default"/>
          <w:footerReference r:id="rId29" w:type="default"/>
          <w:headerReference r:id="rId28" w:type="even"/>
          <w:footerReference r:id="rId30"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78B86BCF">
      <w:pPr>
        <w:spacing w:line="400" w:lineRule="atLeast"/>
        <w:ind w:firstLine="480" w:firstLineChars="200"/>
        <w:rPr>
          <w:rFonts w:hint="default" w:ascii="Times New Roman" w:hAnsi="Times New Roman" w:eastAsia="宋体" w:cs="Times New Roman"/>
          <w:color w:val="auto"/>
          <w:sz w:val="24"/>
          <w:highlight w:val="none"/>
        </w:rPr>
      </w:pPr>
      <w:bookmarkStart w:id="371" w:name="_Toc234832931"/>
    </w:p>
    <w:p w14:paraId="4649B38B">
      <w:pPr>
        <w:pStyle w:val="2"/>
        <w:pageBreakBefore w:val="0"/>
        <w:kinsoku/>
        <w:wordWrap w:val="0"/>
        <w:bidi w:val="0"/>
        <w:spacing w:before="0" w:after="120" w:afterLines="50" w:line="240" w:lineRule="atLeast"/>
        <w:jc w:val="center"/>
        <w:rPr>
          <w:rFonts w:hint="default" w:ascii="Times New Roman" w:hAnsi="Times New Roman" w:eastAsia="黑体" w:cs="Times New Roman"/>
          <w:b w:val="0"/>
          <w:color w:val="auto"/>
          <w:sz w:val="42"/>
          <w:szCs w:val="42"/>
          <w:highlight w:val="none"/>
        </w:rPr>
      </w:pPr>
      <w:bookmarkStart w:id="372" w:name="_Toc26505"/>
      <w:bookmarkStart w:id="373" w:name="_Toc14682"/>
      <w:bookmarkStart w:id="374" w:name="_Toc10728"/>
      <w:r>
        <w:rPr>
          <w:rFonts w:hint="default" w:ascii="Times New Roman" w:hAnsi="Times New Roman" w:eastAsia="黑体" w:cs="Times New Roman"/>
          <w:b w:val="0"/>
          <w:color w:val="auto"/>
          <w:sz w:val="42"/>
          <w:szCs w:val="42"/>
          <w:highlight w:val="none"/>
        </w:rPr>
        <w:t>第三章  评标办法（合理低价法）</w:t>
      </w:r>
      <w:r>
        <w:rPr>
          <w:rStyle w:val="47"/>
          <w:rFonts w:hint="default" w:ascii="Times New Roman" w:hAnsi="Times New Roman" w:eastAsia="黑体" w:cs="Times New Roman"/>
          <w:color w:val="auto"/>
          <w:sz w:val="42"/>
          <w:szCs w:val="42"/>
          <w:highlight w:val="none"/>
        </w:rPr>
        <w:footnoteReference w:id="27"/>
      </w:r>
      <w:bookmarkEnd w:id="371"/>
      <w:bookmarkEnd w:id="372"/>
      <w:bookmarkEnd w:id="373"/>
      <w:bookmarkEnd w:id="374"/>
    </w:p>
    <w:p w14:paraId="3BBDCC78">
      <w:pPr>
        <w:pageBreakBefore w:val="0"/>
        <w:kinsoku/>
        <w:wordWrap w:val="0"/>
        <w:bidi w:val="0"/>
        <w:spacing w:line="420" w:lineRule="atLeast"/>
        <w:rPr>
          <w:rFonts w:hint="default" w:ascii="Times New Roman" w:hAnsi="Times New Roman" w:eastAsia="黑体" w:cs="Times New Roman"/>
          <w:color w:val="auto"/>
          <w:sz w:val="20"/>
          <w:szCs w:val="20"/>
          <w:highlight w:val="none"/>
        </w:rPr>
      </w:pPr>
    </w:p>
    <w:p w14:paraId="6DA1A5E5">
      <w:pPr>
        <w:pStyle w:val="2"/>
        <w:pageBreakBefore w:val="0"/>
        <w:kinsoku/>
        <w:wordWrap w:val="0"/>
        <w:bidi w:val="0"/>
        <w:spacing w:before="0" w:after="0" w:line="240" w:lineRule="atLeast"/>
        <w:outlineLvl w:val="1"/>
        <w:rPr>
          <w:rFonts w:hint="default" w:ascii="Times New Roman" w:hAnsi="Times New Roman" w:eastAsia="黑体" w:cs="Times New Roman"/>
          <w:b w:val="0"/>
          <w:color w:val="auto"/>
          <w:sz w:val="28"/>
          <w:szCs w:val="28"/>
          <w:highlight w:val="none"/>
        </w:rPr>
      </w:pPr>
      <w:bookmarkStart w:id="375" w:name="_Toc234832932"/>
      <w:bookmarkStart w:id="376" w:name="_Toc17606"/>
      <w:bookmarkStart w:id="377" w:name="_Toc11316"/>
      <w:bookmarkStart w:id="378" w:name="_Toc8233"/>
      <w:r>
        <w:rPr>
          <w:rFonts w:hint="default" w:ascii="Times New Roman" w:hAnsi="Times New Roman" w:eastAsia="黑体" w:cs="Times New Roman"/>
          <w:b w:val="0"/>
          <w:color w:val="auto"/>
          <w:sz w:val="24"/>
          <w:szCs w:val="24"/>
          <w:highlight w:val="none"/>
        </w:rPr>
        <w:t>评标办法前附表</w:t>
      </w:r>
      <w:r>
        <w:rPr>
          <w:rFonts w:hint="default" w:ascii="Times New Roman" w:hAnsi="Times New Roman" w:eastAsia="黑体" w:cs="Times New Roman"/>
          <w:b w:val="0"/>
          <w:color w:val="auto"/>
          <w:sz w:val="28"/>
          <w:szCs w:val="28"/>
          <w:highlight w:val="none"/>
        </w:rPr>
        <w:t xml:space="preserve"> </w:t>
      </w:r>
      <w:r>
        <w:rPr>
          <w:rStyle w:val="47"/>
          <w:rFonts w:hint="default" w:ascii="Times New Roman" w:hAnsi="Times New Roman" w:cs="Times New Roman"/>
          <w:color w:val="auto"/>
          <w:sz w:val="28"/>
          <w:szCs w:val="28"/>
          <w:highlight w:val="none"/>
        </w:rPr>
        <w:footnoteReference w:id="28"/>
      </w:r>
      <w:bookmarkEnd w:id="375"/>
      <w:bookmarkEnd w:id="376"/>
      <w:bookmarkEnd w:id="377"/>
      <w:bookmarkEnd w:id="378"/>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208C47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6B015CFF">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6D1B2780">
            <w:pPr>
              <w:pageBreakBefore w:val="0"/>
              <w:kinsoku/>
              <w:wordWrap w:val="0"/>
              <w:bidi w:val="0"/>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评审因素与评审标准</w:t>
            </w:r>
          </w:p>
        </w:tc>
      </w:tr>
      <w:tr w14:paraId="2A4FA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55D7893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67D43E4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评标方法</w:t>
            </w:r>
          </w:p>
        </w:tc>
        <w:tc>
          <w:tcPr>
            <w:tcW w:w="6616" w:type="dxa"/>
            <w:gridSpan w:val="3"/>
            <w:tcBorders>
              <w:top w:val="single" w:color="auto" w:sz="4" w:space="0"/>
              <w:left w:val="single" w:color="auto" w:sz="4" w:space="0"/>
              <w:right w:val="single" w:color="auto" w:sz="4" w:space="0"/>
            </w:tcBorders>
            <w:noWrap w:val="0"/>
            <w:vAlign w:val="center"/>
          </w:tcPr>
          <w:p w14:paraId="6C753350">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综合评分相等时，评标委员会依次按照以下优先顺序推荐中标候选人或确定中标人：</w:t>
            </w:r>
          </w:p>
          <w:p w14:paraId="13AFDD3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（1）评标价低的投标人优先；</w:t>
            </w:r>
          </w:p>
          <w:p w14:paraId="0433752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（2）被</w:t>
            </w:r>
            <w:r>
              <w:rPr>
                <w:rFonts w:hint="eastAsia" w:cs="Times New Roman"/>
                <w:color w:val="auto"/>
                <w:szCs w:val="21"/>
                <w:highlight w:val="none"/>
                <w:lang w:val="en-US" w:eastAsia="zh-CN"/>
              </w:rPr>
              <w:t>辽宁</w:t>
            </w:r>
            <w:r>
              <w:rPr>
                <w:rFonts w:hint="default" w:ascii="Times New Roman" w:hAnsi="Times New Roman" w:cs="Times New Roman"/>
                <w:color w:val="auto"/>
                <w:szCs w:val="21"/>
                <w:highlight w:val="none"/>
              </w:rPr>
              <w:t>省交通运输</w:t>
            </w:r>
            <w:r>
              <w:rPr>
                <w:rFonts w:hint="eastAsia" w:cs="Times New Roman"/>
                <w:color w:val="auto"/>
                <w:szCs w:val="21"/>
                <w:highlight w:val="none"/>
                <w:lang w:val="en-US" w:eastAsia="zh-CN"/>
              </w:rPr>
              <w:t>厅</w:t>
            </w:r>
            <w:r>
              <w:rPr>
                <w:rFonts w:hint="default" w:ascii="Times New Roman" w:hAnsi="Times New Roman" w:cs="Times New Roman"/>
                <w:color w:val="auto"/>
                <w:szCs w:val="21"/>
                <w:highlight w:val="none"/>
              </w:rPr>
              <w:t>评为较高信用等级的投标人优先；</w:t>
            </w:r>
          </w:p>
          <w:p w14:paraId="5A21662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r>
      <w:tr w14:paraId="242282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0EDC50D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p w14:paraId="3D234E3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20E3161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0F03AE62">
            <w:pPr>
              <w:pageBreakBefore w:val="0"/>
              <w:kinsoku/>
              <w:wordWrap w:val="0"/>
              <w:bidi w:val="0"/>
              <w:spacing w:line="360" w:lineRule="atLeast"/>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第一个信封（商务及技术文件）评审标准：</w:t>
            </w:r>
          </w:p>
          <w:p w14:paraId="1264684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484DFF49">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a.投标函按招标文件规定填报了项目名称、标段号、补遗书编号（如有）、工期、工程质量要求及安全目标；</w:t>
            </w:r>
          </w:p>
          <w:p w14:paraId="16F237A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b.投标函附录的所有数据均符合招标文件规定；</w:t>
            </w:r>
          </w:p>
          <w:p w14:paraId="00E514E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44D14F5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30CDD46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）投标人按照招标文件的规定提供了投标保证金：</w:t>
            </w:r>
          </w:p>
          <w:p w14:paraId="672F522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a.投标保证金金额符合招标文件规定的金额，且投标保证金有效期不少于投标有效期；</w:t>
            </w:r>
          </w:p>
          <w:p w14:paraId="6A9DC11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b.若投标保证金采用现金或支票形式提交，投标人应在递交投标文件截止时间之前，将投标保证金由投标人的基本账户转入招标人指定账户；</w:t>
            </w:r>
          </w:p>
          <w:p w14:paraId="7C976D2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c.若投标保证金采用银行保函形式提交，银行保函的格式、开具保函的银行均满足招标文件要求。</w:t>
            </w:r>
          </w:p>
          <w:p w14:paraId="7424F2A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d.若投标保证金采用电子保函形式提交，投标人应在投标文件中提供电子保函的原件扫描件、电子化保函验真渠道和从投标人基本账户支出的保函财务费用支付凭证。</w:t>
            </w:r>
          </w:p>
          <w:p w14:paraId="34A1483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（4）投标人法定代表人授权委托代理人签署投标文件的，须提交授权委托书，且授权人和被授权人均在授权委托书上使用CA 数字证书加盖个人电子印章或</w:t>
            </w:r>
            <w:r>
              <w:rPr>
                <w:rFonts w:hint="eastAsia" w:cs="Times New Roman"/>
                <w:color w:val="auto"/>
                <w:szCs w:val="21"/>
                <w:highlight w:val="none"/>
                <w:lang w:eastAsia="zh-CN"/>
              </w:rPr>
              <w:t>电子签名</w:t>
            </w:r>
            <w:r>
              <w:rPr>
                <w:rFonts w:hint="default" w:ascii="Times New Roman" w:hAnsi="Times New Roman" w:cs="Times New Roman"/>
                <w:color w:val="auto"/>
                <w:szCs w:val="21"/>
                <w:highlight w:val="none"/>
              </w:rPr>
              <w:t>。</w:t>
            </w:r>
          </w:p>
          <w:p w14:paraId="32CA665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（5）投标人法定代表人亲自签署投标文件的，提供了法定代表人身份证明，且法定代表人在法定代表人身份证明上使用CA 数字证书加盖个人电子印章或</w:t>
            </w:r>
            <w:r>
              <w:rPr>
                <w:rFonts w:hint="eastAsia" w:cs="Times New Roman"/>
                <w:color w:val="auto"/>
                <w:szCs w:val="21"/>
                <w:highlight w:val="none"/>
                <w:lang w:eastAsia="zh-CN"/>
              </w:rPr>
              <w:t>电子签名</w:t>
            </w:r>
            <w:r>
              <w:rPr>
                <w:rFonts w:hint="default" w:ascii="Times New Roman" w:hAnsi="Times New Roman" w:cs="Times New Roman"/>
                <w:color w:val="auto"/>
                <w:szCs w:val="21"/>
                <w:highlight w:val="none"/>
              </w:rPr>
              <w:t>。</w:t>
            </w:r>
          </w:p>
          <w:p w14:paraId="0A873F9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（6）投标人以联合体形式投标时，联合体满足招标文件的要求：投标人按照招标文件提供的格式签订了联合体协议书，明确各方承担连带责任，并明确了联合体牵头人。</w:t>
            </w:r>
          </w:p>
          <w:p w14:paraId="44E7381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（7）投标人如有分包计划，符合招标文件第二章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第1.11款规定。</w:t>
            </w:r>
          </w:p>
          <w:p w14:paraId="040FAFF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（8）同一投标人未提交两个以上不同的投标文件，但招标文件要求提交备选投标的除外。</w:t>
            </w:r>
          </w:p>
          <w:p w14:paraId="20F2F85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（9）投标文件中未出现有关投标报价的内容。</w:t>
            </w:r>
          </w:p>
          <w:p w14:paraId="086FDB88">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（10）投标文件载明的招标项目完成期限未超过招标文件规定的时限。</w:t>
            </w:r>
          </w:p>
          <w:p w14:paraId="601E3F89">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（11）投标文件对招标文件的实质性要求和条件作出响应。</w:t>
            </w:r>
          </w:p>
          <w:p w14:paraId="16D7E4B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（12）权利义务符合招标文件规定：</w:t>
            </w:r>
          </w:p>
          <w:p w14:paraId="37DBAC8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a.投标人应接受招标文件规定的风险划分原则，未提出新的风险划分办法；</w:t>
            </w:r>
          </w:p>
          <w:p w14:paraId="3667639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b.投标人未增加发包人的责任范围，或减少投标人义务；</w:t>
            </w:r>
          </w:p>
          <w:p w14:paraId="49740EC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c.投标人未提出不同的工程验收、计量、支付办法；</w:t>
            </w:r>
          </w:p>
          <w:p w14:paraId="2E15A89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d.投标人对合同纠纷、事故处理办法未提出异议；</w:t>
            </w:r>
          </w:p>
          <w:p w14:paraId="7DA510C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e.投标人在投标活动中无欺诈行为；</w:t>
            </w:r>
          </w:p>
          <w:p w14:paraId="2895E46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f.投标人未对合同条款有重要保留。</w:t>
            </w:r>
          </w:p>
          <w:p w14:paraId="6122FCDA">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）投标人上传投标文件的标段数量满足第一章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招标公告</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第3.3款规定，投标函上填写的标段号与上传的对应项目标段号一致。</w:t>
            </w:r>
          </w:p>
          <w:p w14:paraId="63F8613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（14）未发现投标人与其他投标人存在使用同一不可篡改的唯一标识软硬件设备投标的（如：MAC地址、标书制作特征码、标书唯一特征码等）。</w:t>
            </w:r>
          </w:p>
          <w:p w14:paraId="4B79BFF0">
            <w:pPr>
              <w:pageBreakBefore w:val="0"/>
              <w:kinsoku/>
              <w:wordWrap w:val="0"/>
              <w:bidi w:val="0"/>
              <w:spacing w:line="360" w:lineRule="atLeast"/>
              <w:ind w:firstLine="422" w:firstLineChars="200"/>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第二个信封（报价文件）评审标准：</w:t>
            </w:r>
          </w:p>
          <w:p w14:paraId="3C583F5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（1）投标文件按照招标文件规定的格式、内容填写，字迹清晰可辨：</w:t>
            </w:r>
          </w:p>
          <w:p w14:paraId="1EA6BF8C">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a.投标函按招标文件规定填报了项目名称、标段号、补遗书编号（如有）、投标价（包括大写金额和小写金额）；</w:t>
            </w:r>
          </w:p>
          <w:p w14:paraId="5E7140CD">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b.已标价工程量清单说明文字与招标文件规定一致，未进行实质性修改和删减；</w:t>
            </w:r>
          </w:p>
          <w:p w14:paraId="3F71BD03">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c.投标文件组成齐全完整，内容均按规定填写。</w:t>
            </w:r>
          </w:p>
          <w:p w14:paraId="2B46205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（2）投标文件上法定代表人或其委托代理人的签字、投标人的单位章盖章齐全，符合招标文件规定。</w:t>
            </w:r>
          </w:p>
          <w:p w14:paraId="1BBE3A2F">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（3）投标报价中的报价未超过招标文件设定的最高投标限价（如有）。</w:t>
            </w:r>
          </w:p>
          <w:p w14:paraId="2257F27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（4）投标报价中报价的大写金额能够确定具体数值。</w:t>
            </w:r>
          </w:p>
          <w:p w14:paraId="6C018917">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（5）同一投标人未提交两个以上不同的投标报价，但招标文件要求提交备选投标的除外。</w:t>
            </w:r>
          </w:p>
          <w:p w14:paraId="44DBD671">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）投标人若填写工程量固化清单，填写完毕的工程量固化清单未对工程量固化清单电子文件中的数据、格式和运算定义进行修改；工程量固化清单中的投标报价和投标函大写金额报价一致。</w:t>
            </w:r>
          </w:p>
          <w:p w14:paraId="4BDCD34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）未发现投标人与其他投标人存在使用同一不可篡改的唯一标识软硬件设备投标的（如：MAC地址、标书制作特征码、标书唯一特征码等）。</w:t>
            </w:r>
          </w:p>
        </w:tc>
      </w:tr>
      <w:tr w14:paraId="54743E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1DE9B98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1136" w:type="dxa"/>
            <w:gridSpan w:val="2"/>
            <w:tcBorders>
              <w:top w:val="single" w:color="auto" w:sz="4" w:space="0"/>
              <w:right w:val="single" w:color="auto" w:sz="4" w:space="0"/>
            </w:tcBorders>
            <w:noWrap w:val="0"/>
            <w:vAlign w:val="center"/>
          </w:tcPr>
          <w:p w14:paraId="18FBE9F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575677D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（1）投标人的资质等级符合招标文件规定。</w:t>
            </w:r>
          </w:p>
          <w:p w14:paraId="2A91CF3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）投标人的财务状况符合招标文件规定。</w:t>
            </w:r>
          </w:p>
          <w:p w14:paraId="58227332">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）投标人的类似项目业绩符合招标文件规定。</w:t>
            </w:r>
          </w:p>
          <w:p w14:paraId="36219AF4">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）投标人的信誉符合招标文件规定。</w:t>
            </w:r>
          </w:p>
          <w:p w14:paraId="205AC8B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）投标人的项目经理和项目总工资格、在岗情况符合招标文件规定。</w:t>
            </w:r>
          </w:p>
          <w:p w14:paraId="0911327E">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）投标人的其他要求符合招标文件规定。</w:t>
            </w:r>
            <w:r>
              <w:rPr>
                <w:rFonts w:hint="default" w:ascii="Times New Roman" w:hAnsi="Times New Roman" w:cs="Times New Roman"/>
                <w:color w:val="auto"/>
                <w:szCs w:val="21"/>
                <w:highlight w:val="none"/>
                <w:vertAlign w:val="superscript"/>
              </w:rPr>
              <w:footnoteReference w:id="29"/>
            </w:r>
          </w:p>
          <w:p w14:paraId="46F7E225">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）投标人不存在第二章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 xml:space="preserve">第1.4.3项或第1.4.4项规定的任何一种情形。 </w:t>
            </w:r>
          </w:p>
          <w:p w14:paraId="69BF71CB">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）投标人符合第二章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第1.4.5项规定。</w:t>
            </w:r>
            <w:r>
              <w:rPr>
                <w:rStyle w:val="47"/>
                <w:rFonts w:hint="default" w:ascii="Times New Roman" w:hAnsi="Times New Roman" w:cs="Times New Roman"/>
                <w:color w:val="auto"/>
                <w:highlight w:val="none"/>
              </w:rPr>
              <w:footnoteReference w:id="30"/>
            </w:r>
          </w:p>
          <w:p w14:paraId="29E8886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）以联合体形式参与投标的，联合体各方均未再以自己名义单独或参加其他联合体在同一标段中投标；独立参与投标的，投标人未同时参加联合体在同一标段中投标。</w:t>
            </w:r>
          </w:p>
          <w:p w14:paraId="141A8FA1">
            <w:pPr>
              <w:pageBreakBefore w:val="0"/>
              <w:kinsoku/>
              <w:wordWrap w:val="0"/>
              <w:bidi w:val="0"/>
              <w:spacing w:line="360" w:lineRule="atLeast"/>
              <w:ind w:firstLine="422" w:firstLineChars="200"/>
              <w:rPr>
                <w:rFonts w:hint="default" w:ascii="Times New Roman" w:hAnsi="Times New Roman" w:cs="Times New Roman"/>
                <w:color w:val="auto"/>
                <w:szCs w:val="21"/>
                <w:highlight w:val="none"/>
              </w:rPr>
            </w:pPr>
            <w:r>
              <w:rPr>
                <w:rFonts w:ascii="宋体" w:hAnsi="宋体"/>
                <w:b/>
                <w:sz w:val="21"/>
                <w:szCs w:val="21"/>
              </w:rPr>
              <w:t>投标文件未满足以上任一条件的，其投标视为无效，评标委员会将否决其投标。</w:t>
            </w:r>
          </w:p>
        </w:tc>
      </w:tr>
      <w:tr w14:paraId="378D84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03AA1356">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4A6141B4">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1D0C4381">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7D646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0807F42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5E2F4D6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分值构成</w:t>
            </w:r>
          </w:p>
          <w:p w14:paraId="2F50CB8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78CB68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评标价：100分</w:t>
            </w:r>
          </w:p>
        </w:tc>
      </w:tr>
      <w:tr w14:paraId="73924D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491BC7F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090A2CD6">
            <w:pPr>
              <w:pageBreakBefore w:val="0"/>
              <w:kinsoku/>
              <w:wordWrap w:val="0"/>
              <w:bidi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00AF55B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个评标期间保持不变，不随任何因素发生变化。</w:t>
            </w:r>
          </w:p>
          <w:p w14:paraId="3C132BB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计算差错，仅限于以下两种情况：</w:t>
            </w:r>
            <w:r>
              <w:rPr>
                <w:rFonts w:hint="eastAsia" w:ascii="Times New Roman" w:hAnsi="Times New Roman" w:eastAsia="宋体" w:cs="Times New Roman"/>
                <w:color w:val="auto"/>
                <w:kern w:val="0"/>
                <w:szCs w:val="21"/>
                <w:highlight w:val="none"/>
                <w:lang w:bidi="ar"/>
              </w:rPr>
              <w:t>1、</w:t>
            </w:r>
            <w:r>
              <w:rPr>
                <w:rFonts w:ascii="Times New Roman" w:hAnsi="Times New Roman" w:eastAsia="宋体" w:cs="Times New Roman"/>
                <w:color w:val="auto"/>
                <w:kern w:val="0"/>
                <w:szCs w:val="21"/>
                <w:highlight w:val="none"/>
                <w:lang w:bidi="ar"/>
              </w:rPr>
              <w:t>纯算术性四则运算差错；</w:t>
            </w:r>
            <w:r>
              <w:rPr>
                <w:rFonts w:hint="eastAsia" w:ascii="Times New Roman" w:hAnsi="Times New Roman" w:eastAsia="宋体" w:cs="Times New Roman"/>
                <w:color w:val="auto"/>
                <w:kern w:val="0"/>
                <w:szCs w:val="21"/>
                <w:highlight w:val="none"/>
                <w:lang w:bidi="ar"/>
              </w:rPr>
              <w:t>2、</w:t>
            </w:r>
            <w:r>
              <w:rPr>
                <w:rFonts w:ascii="Times New Roman" w:hAnsi="Times New Roman" w:eastAsia="宋体" w:cs="Times New Roman"/>
                <w:color w:val="auto"/>
                <w:kern w:val="0"/>
                <w:szCs w:val="21"/>
                <w:highlight w:val="none"/>
                <w:lang w:bidi="ar"/>
              </w:rPr>
              <w:t>未按约定的</w:t>
            </w:r>
            <w:r>
              <w:rPr>
                <w:rFonts w:hint="eastAsia" w:ascii="Times New Roman" w:hAnsi="Times New Roman" w:eastAsia="宋体" w:cs="Times New Roman"/>
                <w:color w:val="auto"/>
                <w:kern w:val="0"/>
                <w:szCs w:val="21"/>
                <w:highlight w:val="none"/>
                <w:lang w:bidi="ar"/>
              </w:rPr>
              <w:t>规则</w:t>
            </w:r>
            <w:r>
              <w:rPr>
                <w:rFonts w:ascii="Times New Roman" w:hAnsi="Times New Roman" w:eastAsia="宋体" w:cs="Times New Roman"/>
                <w:color w:val="auto"/>
                <w:kern w:val="0"/>
                <w:szCs w:val="21"/>
                <w:highlight w:val="none"/>
                <w:lang w:bidi="ar"/>
              </w:rPr>
              <w:t>，多计或少计</w:t>
            </w:r>
            <w:r>
              <w:rPr>
                <w:rFonts w:hint="eastAsia" w:ascii="Times New Roman" w:hAnsi="Times New Roman" w:eastAsia="宋体" w:cs="Times New Roman"/>
                <w:color w:val="auto"/>
                <w:kern w:val="0"/>
                <w:szCs w:val="21"/>
                <w:highlight w:val="none"/>
                <w:lang w:bidi="ar"/>
              </w:rPr>
              <w:t>参加评标价平均值计算的评标价</w:t>
            </w:r>
            <w:r>
              <w:rPr>
                <w:rFonts w:ascii="Times New Roman" w:hAnsi="Times New Roman" w:eastAsia="宋体" w:cs="Times New Roman"/>
                <w:color w:val="auto"/>
                <w:kern w:val="0"/>
                <w:szCs w:val="21"/>
                <w:highlight w:val="none"/>
                <w:lang w:bidi="ar"/>
              </w:rPr>
              <w:t>。</w:t>
            </w:r>
          </w:p>
          <w:p w14:paraId="7EBA61D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本次招标设定</w:t>
            </w:r>
            <w:r>
              <w:rPr>
                <w:rFonts w:ascii="Times New Roman" w:hAnsi="Times New Roman" w:eastAsia="宋体" w:cs="Times New Roman"/>
                <w:color w:val="auto"/>
                <w:highlight w:val="none"/>
              </w:rPr>
              <w:t>3</w:t>
            </w:r>
            <w:r>
              <w:rPr>
                <w:rFonts w:hint="eastAsia" w:ascii="Times New Roman" w:hAnsi="Times New Roman" w:eastAsia="宋体" w:cs="Times New Roman"/>
                <w:color w:val="auto"/>
                <w:highlight w:val="none"/>
              </w:rPr>
              <w:t>种评标价平均值（B）计算方法，在第二个信封（报价文件）开标现场，每个标段随机抽取其中1种作为该标段的评标价平均值计算方法。</w:t>
            </w:r>
          </w:p>
          <w:p w14:paraId="240E21A1">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
              </w:rPr>
              <w:t>一、</w:t>
            </w:r>
            <w:r>
              <w:rPr>
                <w:rFonts w:ascii="Times New Roman" w:hAnsi="Times New Roman" w:eastAsia="宋体" w:cs="Times New Roman"/>
                <w:b/>
                <w:bCs/>
                <w:color w:val="auto"/>
                <w:kern w:val="0"/>
                <w:sz w:val="21"/>
                <w:szCs w:val="21"/>
                <w:highlight w:val="none"/>
                <w:lang w:val="en-US" w:eastAsia="zh-CN" w:bidi="ar"/>
              </w:rPr>
              <w:t>评标价</w:t>
            </w:r>
            <w:r>
              <w:rPr>
                <w:rFonts w:hint="eastAsia" w:ascii="Times New Roman" w:hAnsi="Times New Roman" w:eastAsia="宋体" w:cs="Times New Roman"/>
                <w:b/>
                <w:bCs/>
                <w:color w:val="auto"/>
                <w:kern w:val="0"/>
                <w:sz w:val="21"/>
                <w:szCs w:val="21"/>
                <w:highlight w:val="none"/>
                <w:lang w:val="en-US" w:eastAsia="zh-CN" w:bidi="ar"/>
              </w:rPr>
              <w:t>（A）</w:t>
            </w:r>
          </w:p>
          <w:p w14:paraId="38E7035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lang w:bidi="ar"/>
              </w:rPr>
              <w:t>评标价=投标函的文字报价</w:t>
            </w:r>
          </w:p>
          <w:p w14:paraId="1106428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如果投标文件出现以下1～5任一情况，不参加评标价平均值的计算：</w:t>
            </w:r>
          </w:p>
          <w:p w14:paraId="0FC9117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1、未按要求在投标函上填写投标总价；</w:t>
            </w:r>
          </w:p>
          <w:p w14:paraId="40BC344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、投标报价超出招标人公布的最高投标限价，或低于招标人公布的最高投标限价的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r>
              <w:rPr>
                <w:rFonts w:ascii="Times New Roman" w:hAnsi="Times New Roman" w:eastAsia="黑体" w:cs="Times New Roman"/>
                <w:color w:val="auto"/>
                <w:kern w:val="0"/>
                <w:szCs w:val="21"/>
                <w:highlight w:val="none"/>
                <w:lang w:bidi="ar"/>
              </w:rPr>
              <w:t>（注：由招标人在招标文件中约定低于投标最高限价一定范围值的投标报价不参与评标基准价的计算，G%</w:t>
            </w:r>
            <w:r>
              <w:rPr>
                <w:rFonts w:hint="eastAsia" w:eastAsia="黑体" w:cs="Times New Roman"/>
                <w:color w:val="auto"/>
                <w:kern w:val="0"/>
                <w:szCs w:val="21"/>
                <w:highlight w:val="none"/>
                <w:lang w:val="en-US" w:eastAsia="zh-CN" w:bidi="ar"/>
              </w:rPr>
              <w:t>按</w:t>
            </w:r>
            <w:r>
              <w:rPr>
                <w:rFonts w:ascii="Times New Roman" w:hAnsi="Times New Roman" w:eastAsia="黑体" w:cs="Times New Roman"/>
                <w:color w:val="auto"/>
                <w:kern w:val="0"/>
                <w:szCs w:val="21"/>
                <w:highlight w:val="none"/>
                <w:lang w:bidi="ar"/>
              </w:rPr>
              <w:t>90%取值。）</w:t>
            </w:r>
          </w:p>
          <w:p w14:paraId="0CB19EE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3</w:t>
            </w:r>
            <w:r>
              <w:rPr>
                <w:rFonts w:hint="eastAsia" w:ascii="Times New Roman" w:hAnsi="Times New Roman" w:eastAsia="宋体" w:cs="Times New Roman"/>
                <w:color w:val="auto"/>
                <w:kern w:val="0"/>
                <w:szCs w:val="21"/>
                <w:highlight w:val="none"/>
                <w:lang w:bidi="ar"/>
              </w:rPr>
              <w:t>、无法确定投标报价具体数值；</w:t>
            </w:r>
          </w:p>
          <w:p w14:paraId="4D50D95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4</w:t>
            </w:r>
            <w:r>
              <w:rPr>
                <w:rFonts w:hint="eastAsia" w:ascii="Times New Roman" w:hAnsi="Times New Roman" w:eastAsia="宋体" w:cs="Times New Roman"/>
                <w:color w:val="auto"/>
                <w:kern w:val="0"/>
                <w:szCs w:val="21"/>
                <w:highlight w:val="none"/>
                <w:lang w:bidi="ar"/>
              </w:rPr>
              <w:t>、投标函上填写的标段号与上传的对应项目标段号不一致（如分标段）；</w:t>
            </w:r>
          </w:p>
          <w:p w14:paraId="30F6B34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5</w:t>
            </w:r>
            <w:r>
              <w:rPr>
                <w:rFonts w:hint="eastAsia" w:ascii="Times New Roman" w:hAnsi="Times New Roman" w:eastAsia="宋体" w:cs="Times New Roman"/>
                <w:color w:val="auto"/>
                <w:kern w:val="0"/>
                <w:szCs w:val="21"/>
                <w:highlight w:val="none"/>
                <w:lang w:bidi="ar"/>
              </w:rPr>
              <w:t>、投标函中的投标报价大写金额与投标文件工程量清单中的投标报价金额不一致。</w:t>
            </w:r>
          </w:p>
          <w:p w14:paraId="7797EC2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kern w:val="0"/>
                <w:szCs w:val="21"/>
                <w:highlight w:val="none"/>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77083FA8">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二、评标价平均值（B）计算方法1</w:t>
            </w:r>
          </w:p>
          <w:p w14:paraId="709ADF2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C为招标人设定的最高投标限价</w:t>
            </w:r>
            <w:r>
              <w:rPr>
                <w:rFonts w:hint="eastAsia" w:cs="Times New Roman"/>
                <w:color w:val="auto"/>
                <w:kern w:val="0"/>
                <w:szCs w:val="21"/>
                <w:highlight w:val="none"/>
                <w:lang w:eastAsia="zh-CN" w:bidi="ar"/>
              </w:rPr>
              <w:t>，</w:t>
            </w:r>
            <w:r>
              <w:rPr>
                <w:rFonts w:hint="eastAsia" w:ascii="Times New Roman" w:hAnsi="Times New Roman" w:eastAsia="宋体" w:cs="Times New Roman"/>
                <w:color w:val="auto"/>
                <w:kern w:val="0"/>
                <w:szCs w:val="21"/>
                <w:highlight w:val="none"/>
                <w:lang w:bidi="ar"/>
              </w:rPr>
              <w:t>如果所有评标价均低于</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*C值（最高投标限价的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），则评标价平均值（B）直接为</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lang w:bidi="ar"/>
              </w:rPr>
              <w:t>*C值（最高投标限价的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lang w:bidi="ar"/>
              </w:rPr>
              <w:t>）。否则，按以下方式计算评标价平均值（B）：</w:t>
            </w:r>
          </w:p>
          <w:p w14:paraId="20A8FE6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、评标价初始平均值（B</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w:t>
            </w:r>
          </w:p>
          <w:p w14:paraId="29DCADD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所有参加评标价平均值计算的评标价的算术平均值为评标价初始平均值B</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w:t>
            </w:r>
          </w:p>
          <w:p w14:paraId="3F9824C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评标价初始平均值（B</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）保留七位小数，小数点后第八位</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四舍五入</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p>
          <w:p w14:paraId="775BDD6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、评标价区段平均值（B</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w:t>
            </w:r>
          </w:p>
          <w:p w14:paraId="1544ADD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根据下述区段计算</w:t>
            </w:r>
            <w:r>
              <w:rPr>
                <w:rFonts w:hint="eastAsia" w:ascii="Times New Roman" w:hAnsi="Times New Roman" w:eastAsia="宋体" w:cs="Times New Roman"/>
                <w:color w:val="auto"/>
                <w:kern w:val="0"/>
                <w:szCs w:val="21"/>
                <w:highlight w:val="none"/>
                <w:lang w:bidi="ar"/>
              </w:rPr>
              <w:t>评标价</w:t>
            </w:r>
            <w:r>
              <w:rPr>
                <w:rFonts w:ascii="Times New Roman" w:hAnsi="Times New Roman" w:eastAsia="宋体" w:cs="Times New Roman"/>
                <w:color w:val="auto"/>
                <w:kern w:val="0"/>
                <w:szCs w:val="21"/>
                <w:highlight w:val="none"/>
                <w:lang w:bidi="ar"/>
              </w:rPr>
              <w:t>区段平均值</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szCs w:val="21"/>
                <w:highlight w:val="none"/>
              </w:rPr>
              <w:t>B2.1</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B2.2</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B2.15</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B2.16</w:t>
            </w:r>
            <w:r>
              <w:rPr>
                <w:rFonts w:hint="eastAsia" w:ascii="Times New Roman" w:hAnsi="Times New Roman" w:eastAsia="宋体" w:cs="Times New Roman"/>
                <w:color w:val="auto"/>
                <w:kern w:val="0"/>
                <w:szCs w:val="21"/>
                <w:highlight w:val="none"/>
                <w:lang w:bidi="ar"/>
              </w:rPr>
              <w:t>），各</w:t>
            </w:r>
            <w:r>
              <w:rPr>
                <w:rFonts w:ascii="Times New Roman" w:hAnsi="Times New Roman" w:eastAsia="宋体" w:cs="Times New Roman"/>
                <w:color w:val="auto"/>
                <w:kern w:val="0"/>
                <w:szCs w:val="21"/>
                <w:highlight w:val="none"/>
                <w:lang w:bidi="ar"/>
              </w:rPr>
              <w:t>区段</w:t>
            </w:r>
            <w:r>
              <w:rPr>
                <w:rFonts w:hint="eastAsia" w:ascii="Times New Roman" w:hAnsi="Times New Roman" w:eastAsia="宋体" w:cs="Times New Roman"/>
                <w:color w:val="auto"/>
                <w:kern w:val="0"/>
                <w:szCs w:val="21"/>
                <w:highlight w:val="none"/>
                <w:lang w:bidi="ar"/>
              </w:rPr>
              <w:t>平均值为该区段内</w:t>
            </w:r>
            <w:r>
              <w:rPr>
                <w:rFonts w:ascii="Times New Roman" w:hAnsi="Times New Roman" w:eastAsia="宋体" w:cs="Times New Roman"/>
                <w:color w:val="auto"/>
                <w:kern w:val="0"/>
                <w:szCs w:val="21"/>
                <w:highlight w:val="none"/>
                <w:lang w:bidi="ar"/>
              </w:rPr>
              <w:t>各评标价的算术平均值</w:t>
            </w:r>
            <w:r>
              <w:rPr>
                <w:rFonts w:hint="eastAsia" w:ascii="Times New Roman" w:hAnsi="Times New Roman" w:eastAsia="宋体" w:cs="Times New Roman"/>
                <w:color w:val="auto"/>
                <w:kern w:val="0"/>
                <w:szCs w:val="21"/>
                <w:highlight w:val="none"/>
                <w:lang w:bidi="ar"/>
              </w:rPr>
              <w:t>。如：B2.2为</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1.03*B1（不含）～1.035*B1（含）</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范围内的所有评标价的算术平均值。评标价区段平均值（B</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）保留七位小数，小数点后第八位</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四舍五入</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1525"/>
            </w:tblGrid>
            <w:tr w14:paraId="1C94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22923E6E">
                  <w:pPr>
                    <w:widowControl w:val="0"/>
                    <w:spacing w:line="360" w:lineRule="exact"/>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区段</w:t>
                  </w:r>
                </w:p>
              </w:tc>
              <w:tc>
                <w:tcPr>
                  <w:tcW w:w="1564" w:type="pct"/>
                  <w:vAlign w:val="center"/>
                </w:tcPr>
                <w:p w14:paraId="0FBC43E2">
                  <w:pPr>
                    <w:widowControl w:val="0"/>
                    <w:spacing w:line="360" w:lineRule="exact"/>
                    <w:ind w:firstLine="0" w:firstLineChars="0"/>
                    <w:jc w:val="center"/>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区段平均值</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p>
              </w:tc>
            </w:tr>
            <w:tr w14:paraId="1EFA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4A27B81D">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.035*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p>
              </w:tc>
              <w:tc>
                <w:tcPr>
                  <w:tcW w:w="1564" w:type="pct"/>
                  <w:vAlign w:val="center"/>
                </w:tcPr>
                <w:p w14:paraId="3F131E11">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w:t>
                  </w:r>
                </w:p>
              </w:tc>
            </w:tr>
            <w:tr w14:paraId="2A8E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7395FBA9">
                  <w:pPr>
                    <w:widowControl w:val="0"/>
                    <w:spacing w:line="360" w:lineRule="exact"/>
                    <w:ind w:firstLine="420" w:firstLineChars="200"/>
                    <w:jc w:val="left"/>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.03*</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.035*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156D733B">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B2.2</w:t>
                  </w:r>
                </w:p>
              </w:tc>
            </w:tr>
            <w:tr w14:paraId="48EE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1B1EE9E9">
                  <w:pPr>
                    <w:widowControl w:val="0"/>
                    <w:spacing w:line="360" w:lineRule="exact"/>
                    <w:ind w:firstLine="420" w:firstLineChars="200"/>
                    <w:jc w:val="left"/>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.025*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.03*</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280EE2A5">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B2.3</w:t>
                  </w:r>
                </w:p>
              </w:tc>
            </w:tr>
            <w:tr w14:paraId="5E54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7E22B1A5">
                  <w:pPr>
                    <w:widowControl w:val="0"/>
                    <w:spacing w:line="360" w:lineRule="exact"/>
                    <w:ind w:firstLine="420" w:firstLineChars="200"/>
                    <w:jc w:val="left"/>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.02*</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.025*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6A17E7B5">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B2.4</w:t>
                  </w:r>
                </w:p>
              </w:tc>
            </w:tr>
            <w:tr w14:paraId="2E2D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50CAB34C">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.015*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.02*</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23C15E24">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B2.5</w:t>
                  </w:r>
                </w:p>
              </w:tc>
            </w:tr>
            <w:tr w14:paraId="32A6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408C5CD3">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.01*</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.015*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3A1241BC">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B2.6</w:t>
                  </w:r>
                </w:p>
              </w:tc>
            </w:tr>
            <w:tr w14:paraId="2A56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333022DE">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.005*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.01*</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2FC9CD8C">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B2.7</w:t>
                  </w:r>
                </w:p>
              </w:tc>
            </w:tr>
            <w:tr w14:paraId="7EF6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7E71B1FF">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.00*</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.005*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4E922514">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B2.8</w:t>
                  </w:r>
                </w:p>
              </w:tc>
            </w:tr>
            <w:tr w14:paraId="38DC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0FE0AB2A">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0.995*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.00*</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671926BA">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B2.9</w:t>
                  </w:r>
                </w:p>
              </w:tc>
            </w:tr>
            <w:tr w14:paraId="3853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vAlign w:val="center"/>
                </w:tcPr>
                <w:p w14:paraId="44489DB2">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0.99*</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0.995*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69B70483">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B2.10</w:t>
                  </w:r>
                </w:p>
              </w:tc>
            </w:tr>
            <w:tr w14:paraId="7468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6385FD80">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0.985*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0.99*</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28B440F5">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B2.11</w:t>
                  </w:r>
                </w:p>
              </w:tc>
            </w:tr>
            <w:tr w14:paraId="40F0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376DC285">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0.98*</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0.985*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647F0D5B">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B2.12</w:t>
                  </w:r>
                </w:p>
              </w:tc>
            </w:tr>
            <w:tr w14:paraId="40D9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592C171A">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0.975*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0.98*</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028C05E2">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B2.13</w:t>
                  </w:r>
                </w:p>
              </w:tc>
            </w:tr>
            <w:tr w14:paraId="626F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57503F59">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0.97*</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1&lt;评标价</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0.975*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7AC635F8">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B2.14</w:t>
                  </w:r>
                </w:p>
              </w:tc>
            </w:tr>
            <w:tr w14:paraId="6746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1153D493">
                  <w:pPr>
                    <w:widowControl w:val="0"/>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0"/>
                      <w:sz w:val="21"/>
                      <w:szCs w:val="21"/>
                      <w:highlight w:val="none"/>
                      <w:lang w:val="en-US" w:eastAsia="zh-CN" w:bidi="ar"/>
                    </w:rPr>
                    <w:t>0.965*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评标价</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0.97*</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0E4368F0">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B2.15</w:t>
                  </w:r>
                </w:p>
              </w:tc>
            </w:tr>
            <w:tr w14:paraId="51C0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pct"/>
                </w:tcPr>
                <w:p w14:paraId="6CE54D3B">
                  <w:pPr>
                    <w:widowControl w:val="0"/>
                    <w:spacing w:line="360" w:lineRule="exact"/>
                    <w:ind w:firstLine="420" w:firstLineChars="200"/>
                    <w:jc w:val="left"/>
                    <w:rPr>
                      <w:rFonts w:ascii="Times New Roman" w:hAnsi="Times New Roman" w:eastAsia="宋体" w:cs="Times New Roman"/>
                      <w:color w:val="auto"/>
                      <w:kern w:val="0"/>
                      <w:sz w:val="21"/>
                      <w:szCs w:val="21"/>
                      <w:highlight w:val="none"/>
                      <w:lang w:val="en-US" w:eastAsia="zh-CN" w:bidi="ar"/>
                    </w:rPr>
                  </w:pPr>
                  <w:r>
                    <w:rPr>
                      <w:rFonts w:ascii="Times New Roman" w:hAnsi="Times New Roman" w:eastAsia="宋体" w:cs="Times New Roman"/>
                      <w:color w:val="auto"/>
                      <w:kern w:val="0"/>
                      <w:sz w:val="21"/>
                      <w:szCs w:val="21"/>
                      <w:highlight w:val="none"/>
                      <w:lang w:val="en-US" w:eastAsia="zh-CN" w:bidi="ar"/>
                    </w:rPr>
                    <w:t>评标价&lt;0.965*</w:t>
                  </w: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1</w:t>
                  </w:r>
                </w:p>
              </w:tc>
              <w:tc>
                <w:tcPr>
                  <w:tcW w:w="1564" w:type="pct"/>
                  <w:vAlign w:val="center"/>
                </w:tcPr>
                <w:p w14:paraId="36CC591C">
                  <w:pPr>
                    <w:widowControl/>
                    <w:spacing w:line="360" w:lineRule="exact"/>
                    <w:ind w:firstLine="420" w:firstLineChars="200"/>
                    <w:jc w:val="left"/>
                    <w:rPr>
                      <w:rFonts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B2.16</w:t>
                  </w:r>
                </w:p>
              </w:tc>
            </w:tr>
          </w:tbl>
          <w:p w14:paraId="4190D3E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3</w:t>
            </w:r>
            <w:r>
              <w:rPr>
                <w:rFonts w:hint="eastAsia" w:ascii="Times New Roman" w:hAnsi="Times New Roman" w:eastAsia="宋体" w:cs="Times New Roman"/>
                <w:color w:val="auto"/>
                <w:kern w:val="0"/>
                <w:szCs w:val="21"/>
                <w:highlight w:val="none"/>
                <w:lang w:bidi="ar"/>
              </w:rPr>
              <w:t>、评标价平均值（B）</w:t>
            </w:r>
          </w:p>
          <w:p w14:paraId="1D3DAAA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（1）按下列公式，</w:t>
            </w:r>
            <w:r>
              <w:rPr>
                <w:rFonts w:ascii="Times New Roman" w:hAnsi="Times New Roman" w:eastAsia="宋体" w:cs="Times New Roman"/>
                <w:color w:val="auto"/>
                <w:kern w:val="0"/>
                <w:szCs w:val="21"/>
                <w:highlight w:val="none"/>
                <w:lang w:bidi="ar"/>
              </w:rPr>
              <w:t>将计算得出的区段平均值</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szCs w:val="21"/>
                <w:highlight w:val="none"/>
              </w:rPr>
              <w:t>B2.1</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B2.2</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B2.15</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B2.16</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kern w:val="0"/>
                <w:szCs w:val="21"/>
                <w:highlight w:val="none"/>
                <w:lang w:bidi="ar"/>
              </w:rPr>
              <w:t>进行加权平均</w:t>
            </w:r>
            <w:r>
              <w:rPr>
                <w:rFonts w:hint="eastAsia" w:ascii="Times New Roman" w:hAnsi="Times New Roman" w:eastAsia="宋体" w:cs="Times New Roman"/>
                <w:color w:val="auto"/>
                <w:kern w:val="0"/>
                <w:szCs w:val="21"/>
                <w:highlight w:val="none"/>
                <w:lang w:bidi="ar"/>
              </w:rPr>
              <w:t>（B</w:t>
            </w:r>
            <w:r>
              <w:rPr>
                <w:rFonts w:ascii="Times New Roman" w:hAnsi="Times New Roman" w:eastAsia="宋体" w:cs="Times New Roman"/>
                <w:color w:val="auto"/>
                <w:kern w:val="0"/>
                <w:szCs w:val="21"/>
                <w:highlight w:val="none"/>
                <w:lang w:bidi="ar"/>
              </w:rPr>
              <w:t>2.1</w:t>
            </w:r>
            <w:r>
              <w:rPr>
                <w:rFonts w:hint="eastAsia" w:ascii="Times New Roman" w:hAnsi="Times New Roman" w:eastAsia="宋体" w:cs="Times New Roman"/>
                <w:color w:val="auto"/>
                <w:kern w:val="0"/>
                <w:szCs w:val="21"/>
                <w:highlight w:val="none"/>
                <w:lang w:bidi="ar"/>
              </w:rPr>
              <w:t>和B</w:t>
            </w:r>
            <w:r>
              <w:rPr>
                <w:rFonts w:ascii="Times New Roman" w:hAnsi="Times New Roman" w:eastAsia="宋体" w:cs="Times New Roman"/>
                <w:color w:val="auto"/>
                <w:kern w:val="0"/>
                <w:szCs w:val="21"/>
                <w:highlight w:val="none"/>
                <w:lang w:bidi="ar"/>
              </w:rPr>
              <w:t>2.16</w:t>
            </w:r>
            <w:r>
              <w:rPr>
                <w:rFonts w:hint="eastAsia" w:ascii="Times New Roman" w:hAnsi="Times New Roman" w:eastAsia="宋体" w:cs="Times New Roman"/>
                <w:color w:val="auto"/>
                <w:kern w:val="0"/>
                <w:szCs w:val="21"/>
                <w:highlight w:val="none"/>
                <w:lang w:bidi="ar"/>
              </w:rPr>
              <w:t>权重为0.1，B</w:t>
            </w:r>
            <w:r>
              <w:rPr>
                <w:rFonts w:ascii="Times New Roman" w:hAnsi="Times New Roman" w:eastAsia="宋体" w:cs="Times New Roman"/>
                <w:color w:val="auto"/>
                <w:kern w:val="0"/>
                <w:szCs w:val="21"/>
                <w:highlight w:val="none"/>
                <w:lang w:bidi="ar"/>
              </w:rPr>
              <w:t>2.2</w:t>
            </w:r>
            <w:r>
              <w:rPr>
                <w:rFonts w:hint="eastAsia" w:ascii="Times New Roman" w:hAnsi="Times New Roman" w:eastAsia="宋体" w:cs="Times New Roman"/>
                <w:color w:val="auto"/>
                <w:kern w:val="0"/>
                <w:szCs w:val="21"/>
                <w:highlight w:val="none"/>
                <w:lang w:bidi="ar"/>
              </w:rPr>
              <w:t>和B</w:t>
            </w:r>
            <w:r>
              <w:rPr>
                <w:rFonts w:ascii="Times New Roman" w:hAnsi="Times New Roman" w:eastAsia="宋体" w:cs="Times New Roman"/>
                <w:color w:val="auto"/>
                <w:kern w:val="0"/>
                <w:szCs w:val="21"/>
                <w:highlight w:val="none"/>
                <w:lang w:bidi="ar"/>
              </w:rPr>
              <w:t>2.15</w:t>
            </w:r>
            <w:r>
              <w:rPr>
                <w:rFonts w:hint="eastAsia" w:ascii="Times New Roman" w:hAnsi="Times New Roman" w:eastAsia="宋体" w:cs="Times New Roman"/>
                <w:color w:val="auto"/>
                <w:kern w:val="0"/>
                <w:szCs w:val="21"/>
                <w:highlight w:val="none"/>
                <w:lang w:bidi="ar"/>
              </w:rPr>
              <w:t>权重为0.3，B</w:t>
            </w:r>
            <w:r>
              <w:rPr>
                <w:rFonts w:ascii="Times New Roman" w:hAnsi="Times New Roman" w:eastAsia="宋体" w:cs="Times New Roman"/>
                <w:color w:val="auto"/>
                <w:kern w:val="0"/>
                <w:szCs w:val="21"/>
                <w:highlight w:val="none"/>
                <w:lang w:bidi="ar"/>
              </w:rPr>
              <w:t>2.3</w:t>
            </w:r>
            <w:r>
              <w:rPr>
                <w:rFonts w:hint="eastAsia" w:ascii="Times New Roman" w:hAnsi="Times New Roman" w:eastAsia="宋体" w:cs="Times New Roman"/>
                <w:color w:val="auto"/>
                <w:kern w:val="0"/>
                <w:szCs w:val="21"/>
                <w:highlight w:val="none"/>
                <w:lang w:bidi="ar"/>
              </w:rPr>
              <w:t>和B</w:t>
            </w:r>
            <w:r>
              <w:rPr>
                <w:rFonts w:ascii="Times New Roman" w:hAnsi="Times New Roman" w:eastAsia="宋体" w:cs="Times New Roman"/>
                <w:color w:val="auto"/>
                <w:kern w:val="0"/>
                <w:szCs w:val="21"/>
                <w:highlight w:val="none"/>
                <w:lang w:bidi="ar"/>
              </w:rPr>
              <w:t>2.14</w:t>
            </w:r>
            <w:r>
              <w:rPr>
                <w:rFonts w:hint="eastAsia" w:ascii="Times New Roman" w:hAnsi="Times New Roman" w:eastAsia="宋体" w:cs="Times New Roman"/>
                <w:color w:val="auto"/>
                <w:kern w:val="0"/>
                <w:szCs w:val="21"/>
                <w:highlight w:val="none"/>
                <w:lang w:bidi="ar"/>
              </w:rPr>
              <w:t>权重为0.5，其余权重为1.0）</w:t>
            </w:r>
            <w:r>
              <w:rPr>
                <w:rFonts w:ascii="Times New Roman" w:hAnsi="Times New Roman" w:eastAsia="宋体" w:cs="Times New Roman"/>
                <w:color w:val="auto"/>
                <w:kern w:val="0"/>
                <w:szCs w:val="21"/>
                <w:highlight w:val="none"/>
                <w:lang w:bidi="ar"/>
              </w:rPr>
              <w:t>，得出</w:t>
            </w:r>
            <w:r>
              <w:rPr>
                <w:rFonts w:hint="eastAsia" w:ascii="Times New Roman" w:hAnsi="Times New Roman" w:eastAsia="宋体" w:cs="Times New Roman"/>
                <w:color w:val="auto"/>
                <w:kern w:val="0"/>
                <w:szCs w:val="21"/>
                <w:highlight w:val="none"/>
                <w:lang w:bidi="ar"/>
              </w:rPr>
              <w:t>评标价平均值（B）</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评标价平均值（B）保留七位小数，小数点后第八位</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四舍五入</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p>
          <w:p w14:paraId="58554F62">
            <w:pPr>
              <w:widowControl w:val="0"/>
              <w:wordWrap w:val="0"/>
              <w:spacing w:line="360" w:lineRule="exact"/>
              <w:ind w:firstLine="420" w:firstLineChars="200"/>
              <w:jc w:val="both"/>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B</w:t>
            </w:r>
            <w:r>
              <w:rPr>
                <w:rFonts w:ascii="Times New Roman" w:hAnsi="Times New Roman" w:eastAsia="宋体" w:cs="Times New Roman"/>
                <w:color w:val="auto"/>
                <w:kern w:val="0"/>
                <w:sz w:val="21"/>
                <w:szCs w:val="21"/>
                <w:highlight w:val="none"/>
                <w:lang w:val="en-US" w:eastAsia="zh-CN" w:bidi="ar"/>
              </w:rPr>
              <w:t>=[0.1*</w:t>
            </w:r>
            <w:r>
              <w:rPr>
                <w:rFonts w:ascii="Times New Roman" w:hAnsi="Times New Roman" w:eastAsia="宋体" w:cs="Times New Roman"/>
                <w:color w:val="auto"/>
                <w:kern w:val="2"/>
                <w:sz w:val="21"/>
                <w:szCs w:val="21"/>
                <w:highlight w:val="none"/>
                <w:lang w:val="en-US" w:eastAsia="zh-CN" w:bidi="ar-SA"/>
              </w:rPr>
              <w:t>B2.1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0.3*</w:t>
            </w:r>
            <w:r>
              <w:rPr>
                <w:rFonts w:ascii="Times New Roman" w:hAnsi="Times New Roman" w:eastAsia="宋体" w:cs="Times New Roman"/>
                <w:color w:val="auto"/>
                <w:kern w:val="2"/>
                <w:sz w:val="21"/>
                <w:szCs w:val="21"/>
                <w:highlight w:val="none"/>
                <w:lang w:val="en-US" w:eastAsia="zh-CN" w:bidi="ar-SA"/>
              </w:rPr>
              <w:t>B2.2</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0.5*</w:t>
            </w:r>
            <w:r>
              <w:rPr>
                <w:rFonts w:ascii="Times New Roman" w:hAnsi="Times New Roman" w:eastAsia="宋体" w:cs="Times New Roman"/>
                <w:color w:val="auto"/>
                <w:kern w:val="2"/>
                <w:sz w:val="21"/>
                <w:szCs w:val="21"/>
                <w:highlight w:val="none"/>
                <w:lang w:val="en-US" w:eastAsia="zh-CN" w:bidi="ar-SA"/>
              </w:rPr>
              <w:t>B2.3</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2"/>
                <w:sz w:val="21"/>
                <w:szCs w:val="21"/>
                <w:highlight w:val="none"/>
                <w:lang w:val="en-US" w:eastAsia="zh-CN" w:bidi="ar-SA"/>
              </w:rPr>
              <w:t>B2.4+B2.5+</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1"/>
                <w:highlight w:val="none"/>
                <w:lang w:val="en-US" w:eastAsia="zh-CN" w:bidi="ar-SA"/>
              </w:rPr>
              <w:t>+B2.12+B2.13</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0.5*</w:t>
            </w:r>
            <w:r>
              <w:rPr>
                <w:rFonts w:ascii="Times New Roman" w:hAnsi="Times New Roman" w:eastAsia="宋体" w:cs="Times New Roman"/>
                <w:color w:val="auto"/>
                <w:kern w:val="2"/>
                <w:sz w:val="21"/>
                <w:szCs w:val="21"/>
                <w:highlight w:val="none"/>
                <w:lang w:val="en-US" w:eastAsia="zh-CN" w:bidi="ar-SA"/>
              </w:rPr>
              <w:t>B2.14+</w:t>
            </w:r>
            <w:r>
              <w:rPr>
                <w:rFonts w:ascii="Times New Roman" w:hAnsi="Times New Roman" w:eastAsia="宋体" w:cs="Times New Roman"/>
                <w:color w:val="auto"/>
                <w:kern w:val="0"/>
                <w:sz w:val="21"/>
                <w:szCs w:val="21"/>
                <w:highlight w:val="none"/>
                <w:lang w:val="en-US" w:eastAsia="zh-CN" w:bidi="ar"/>
              </w:rPr>
              <w:t>0.3*</w:t>
            </w:r>
            <w:r>
              <w:rPr>
                <w:rFonts w:ascii="Times New Roman" w:hAnsi="Times New Roman" w:eastAsia="宋体" w:cs="Times New Roman"/>
                <w:color w:val="auto"/>
                <w:kern w:val="2"/>
                <w:sz w:val="21"/>
                <w:szCs w:val="21"/>
                <w:highlight w:val="none"/>
                <w:lang w:val="en-US" w:eastAsia="zh-CN" w:bidi="ar-SA"/>
              </w:rPr>
              <w:t>B2.15+0.1*</w:t>
            </w:r>
            <w:r>
              <w:rPr>
                <w:rFonts w:hint="eastAsia" w:ascii="Times New Roman" w:hAnsi="Times New Roman" w:eastAsia="宋体" w:cs="Times New Roman"/>
                <w:color w:val="auto"/>
                <w:kern w:val="2"/>
                <w:sz w:val="21"/>
                <w:szCs w:val="21"/>
                <w:highlight w:val="none"/>
                <w:lang w:val="en-US" w:eastAsia="zh-CN" w:bidi="ar-SA"/>
              </w:rPr>
              <w:t>B</w:t>
            </w:r>
            <w:r>
              <w:rPr>
                <w:rFonts w:ascii="Times New Roman" w:hAnsi="Times New Roman" w:eastAsia="宋体" w:cs="Times New Roman"/>
                <w:color w:val="auto"/>
                <w:kern w:val="2"/>
                <w:sz w:val="21"/>
                <w:szCs w:val="21"/>
                <w:highlight w:val="none"/>
                <w:lang w:val="en-US" w:eastAsia="zh-CN" w:bidi="ar-SA"/>
              </w:rPr>
              <w:t>2.16</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[0.1+0.3+0.5+1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+0.5+0.3+0.1]</w:t>
            </w:r>
            <w:r>
              <w:rPr>
                <w:rFonts w:hint="eastAsia" w:ascii="Times New Roman" w:hAnsi="Times New Roman" w:eastAsia="宋体" w:cs="Times New Roman"/>
                <w:color w:val="auto"/>
                <w:kern w:val="0"/>
                <w:sz w:val="21"/>
                <w:szCs w:val="21"/>
                <w:highlight w:val="none"/>
                <w:lang w:val="en-US" w:eastAsia="zh-CN" w:bidi="ar"/>
              </w:rPr>
              <w:t>。</w:t>
            </w:r>
          </w:p>
          <w:p w14:paraId="2CC743B2">
            <w:pPr>
              <w:widowControl w:val="0"/>
              <w:wordWrap w:val="0"/>
              <w:spacing w:line="360" w:lineRule="exact"/>
              <w:ind w:firstLine="420" w:firstLineChars="200"/>
              <w:jc w:val="both"/>
              <w:rPr>
                <w:rFonts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（2）如果某区段无</w:t>
            </w:r>
            <w:r>
              <w:rPr>
                <w:rFonts w:ascii="Times New Roman" w:hAnsi="Times New Roman" w:eastAsia="宋体" w:cs="Times New Roman"/>
                <w:color w:val="auto"/>
                <w:kern w:val="0"/>
                <w:sz w:val="21"/>
                <w:szCs w:val="21"/>
                <w:highlight w:val="none"/>
                <w:lang w:val="en-US" w:eastAsia="zh-CN" w:bidi="ar"/>
              </w:rPr>
              <w:t>区段平均值</w:t>
            </w:r>
            <w:r>
              <w:rPr>
                <w:rFonts w:hint="eastAsia" w:ascii="Times New Roman" w:hAnsi="Times New Roman" w:eastAsia="宋体" w:cs="Times New Roman"/>
                <w:color w:val="auto"/>
                <w:kern w:val="0"/>
                <w:sz w:val="21"/>
                <w:szCs w:val="21"/>
                <w:highlight w:val="none"/>
                <w:lang w:val="en-US" w:eastAsia="zh-CN" w:bidi="ar"/>
              </w:rPr>
              <w:t>，则该区段不计区段平均值。如：无</w:t>
            </w:r>
            <w:r>
              <w:rPr>
                <w:rFonts w:ascii="Times New Roman" w:hAnsi="Times New Roman" w:eastAsia="宋体" w:cs="Times New Roman"/>
                <w:color w:val="auto"/>
                <w:kern w:val="0"/>
                <w:sz w:val="21"/>
                <w:szCs w:val="21"/>
                <w:highlight w:val="none"/>
                <w:lang w:val="en-US" w:eastAsia="zh-CN" w:bidi="ar"/>
              </w:rPr>
              <w:t>B2.1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B2.3</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B2.9</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B2.15</w:t>
            </w:r>
            <w:r>
              <w:rPr>
                <w:rFonts w:hint="eastAsia" w:ascii="Times New Roman" w:hAnsi="Times New Roman" w:eastAsia="宋体" w:cs="Times New Roman"/>
                <w:color w:val="auto"/>
                <w:kern w:val="0"/>
                <w:sz w:val="21"/>
                <w:szCs w:val="21"/>
                <w:highlight w:val="none"/>
                <w:lang w:val="en-US" w:eastAsia="zh-CN" w:bidi="ar"/>
              </w:rPr>
              <w:t>等</w:t>
            </w:r>
            <w:r>
              <w:rPr>
                <w:rFonts w:ascii="Times New Roman" w:hAnsi="Times New Roman" w:eastAsia="宋体" w:cs="Times New Roman"/>
                <w:color w:val="auto"/>
                <w:kern w:val="0"/>
                <w:sz w:val="21"/>
                <w:szCs w:val="21"/>
                <w:highlight w:val="none"/>
                <w:lang w:val="en-US" w:eastAsia="zh-CN" w:bidi="ar"/>
              </w:rPr>
              <w:t>区段平均值</w:t>
            </w:r>
            <w:r>
              <w:rPr>
                <w:rFonts w:hint="eastAsia" w:ascii="Times New Roman" w:hAnsi="Times New Roman" w:eastAsia="宋体" w:cs="Times New Roman"/>
                <w:color w:val="auto"/>
                <w:kern w:val="0"/>
                <w:sz w:val="21"/>
                <w:szCs w:val="21"/>
                <w:highlight w:val="none"/>
                <w:lang w:val="en-US" w:eastAsia="zh-CN" w:bidi="ar"/>
              </w:rPr>
              <w:t>，即</w:t>
            </w:r>
            <w:r>
              <w:rPr>
                <w:rFonts w:ascii="Times New Roman" w:hAnsi="Times New Roman" w:eastAsia="宋体" w:cs="Times New Roman"/>
                <w:color w:val="auto"/>
                <w:kern w:val="0"/>
                <w:sz w:val="21"/>
                <w:szCs w:val="21"/>
                <w:highlight w:val="none"/>
                <w:lang w:val="en-US" w:eastAsia="zh-CN" w:bidi="ar"/>
              </w:rPr>
              <w:t>B2.1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B2.3</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B2.9</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B2.15</w:t>
            </w:r>
            <w:r>
              <w:rPr>
                <w:rFonts w:hint="eastAsia" w:ascii="Times New Roman" w:hAnsi="Times New Roman" w:eastAsia="宋体" w:cs="Times New Roman"/>
                <w:color w:val="auto"/>
                <w:kern w:val="0"/>
                <w:sz w:val="21"/>
                <w:szCs w:val="21"/>
                <w:highlight w:val="none"/>
                <w:lang w:val="en-US" w:eastAsia="zh-CN" w:bidi="ar"/>
              </w:rPr>
              <w:t>以及其权重均等于0，则评标价平均值B</w:t>
            </w:r>
            <w:r>
              <w:rPr>
                <w:rFonts w:ascii="Times New Roman" w:hAnsi="Times New Roman" w:eastAsia="宋体" w:cs="Times New Roman"/>
                <w:color w:val="auto"/>
                <w:kern w:val="0"/>
                <w:sz w:val="21"/>
                <w:szCs w:val="21"/>
                <w:highlight w:val="none"/>
                <w:lang w:val="en-US" w:eastAsia="zh-CN" w:bidi="ar"/>
              </w:rPr>
              <w:t>=[0.0*0.0+0.3*</w:t>
            </w:r>
            <w:r>
              <w:rPr>
                <w:rFonts w:ascii="Times New Roman" w:hAnsi="Times New Roman" w:eastAsia="宋体" w:cs="Times New Roman"/>
                <w:color w:val="auto"/>
                <w:kern w:val="2"/>
                <w:sz w:val="21"/>
                <w:szCs w:val="21"/>
                <w:highlight w:val="none"/>
                <w:lang w:val="en-US" w:eastAsia="zh-CN" w:bidi="ar-SA"/>
              </w:rPr>
              <w:t>B2.2+</w:t>
            </w:r>
            <w:r>
              <w:rPr>
                <w:rFonts w:ascii="Times New Roman" w:hAnsi="Times New Roman" w:eastAsia="宋体" w:cs="Times New Roman"/>
                <w:color w:val="auto"/>
                <w:kern w:val="0"/>
                <w:sz w:val="21"/>
                <w:szCs w:val="21"/>
                <w:highlight w:val="none"/>
                <w:lang w:val="en-US" w:eastAsia="zh-CN" w:bidi="ar"/>
              </w:rPr>
              <w:t>0.0*0.0</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2"/>
                <w:sz w:val="21"/>
                <w:szCs w:val="21"/>
                <w:highlight w:val="none"/>
                <w:lang w:val="en-US" w:eastAsia="zh-CN" w:bidi="ar-SA"/>
              </w:rPr>
              <w:t>B2.4+B2.5+</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1"/>
                <w:highlight w:val="none"/>
                <w:lang w:val="en-US" w:eastAsia="zh-CN" w:bidi="ar-SA"/>
              </w:rPr>
              <w:t>+B2.8+</w:t>
            </w:r>
            <w:r>
              <w:rPr>
                <w:rFonts w:ascii="Times New Roman" w:hAnsi="Times New Roman" w:eastAsia="宋体" w:cs="Times New Roman"/>
                <w:color w:val="auto"/>
                <w:kern w:val="0"/>
                <w:sz w:val="21"/>
                <w:szCs w:val="21"/>
                <w:highlight w:val="none"/>
                <w:lang w:val="en-US" w:eastAsia="zh-CN" w:bidi="ar"/>
              </w:rPr>
              <w:t>0.0+</w:t>
            </w:r>
            <w:r>
              <w:rPr>
                <w:rFonts w:ascii="Times New Roman" w:hAnsi="Times New Roman" w:eastAsia="宋体" w:cs="Times New Roman"/>
                <w:color w:val="auto"/>
                <w:kern w:val="2"/>
                <w:sz w:val="21"/>
                <w:szCs w:val="21"/>
                <w:highlight w:val="none"/>
                <w:lang w:val="en-US" w:eastAsia="zh-CN" w:bidi="ar-SA"/>
              </w:rPr>
              <w:t>B2.10+</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1"/>
                <w:highlight w:val="none"/>
                <w:lang w:val="en-US" w:eastAsia="zh-CN" w:bidi="ar-SA"/>
              </w:rPr>
              <w:t>B2.12+B2.13</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0.5*</w:t>
            </w:r>
            <w:r>
              <w:rPr>
                <w:rFonts w:ascii="Times New Roman" w:hAnsi="Times New Roman" w:eastAsia="宋体" w:cs="Times New Roman"/>
                <w:color w:val="auto"/>
                <w:kern w:val="2"/>
                <w:sz w:val="21"/>
                <w:szCs w:val="21"/>
                <w:highlight w:val="none"/>
                <w:lang w:val="en-US" w:eastAsia="zh-CN" w:bidi="ar-SA"/>
              </w:rPr>
              <w:t>B2.14+</w:t>
            </w:r>
            <w:r>
              <w:rPr>
                <w:rFonts w:ascii="Times New Roman" w:hAnsi="Times New Roman" w:eastAsia="宋体" w:cs="Times New Roman"/>
                <w:color w:val="auto"/>
                <w:kern w:val="0"/>
                <w:sz w:val="21"/>
                <w:szCs w:val="21"/>
                <w:highlight w:val="none"/>
                <w:lang w:val="en-US" w:eastAsia="zh-CN" w:bidi="ar"/>
              </w:rPr>
              <w:t>0.0*0.0</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2"/>
                <w:sz w:val="21"/>
                <w:szCs w:val="21"/>
                <w:highlight w:val="none"/>
                <w:lang w:val="en-US" w:eastAsia="zh-CN" w:bidi="ar-SA"/>
              </w:rPr>
              <w:t>0.1*</w:t>
            </w:r>
            <w:r>
              <w:rPr>
                <w:rFonts w:hint="eastAsia" w:ascii="Times New Roman" w:hAnsi="Times New Roman" w:eastAsia="宋体" w:cs="Times New Roman"/>
                <w:color w:val="auto"/>
                <w:kern w:val="2"/>
                <w:sz w:val="21"/>
                <w:szCs w:val="21"/>
                <w:highlight w:val="none"/>
                <w:lang w:val="en-US" w:eastAsia="zh-CN" w:bidi="ar-SA"/>
              </w:rPr>
              <w:t>B</w:t>
            </w:r>
            <w:r>
              <w:rPr>
                <w:rFonts w:ascii="Times New Roman" w:hAnsi="Times New Roman" w:eastAsia="宋体" w:cs="Times New Roman"/>
                <w:color w:val="auto"/>
                <w:kern w:val="2"/>
                <w:sz w:val="21"/>
                <w:szCs w:val="21"/>
                <w:highlight w:val="none"/>
                <w:lang w:val="en-US" w:eastAsia="zh-CN" w:bidi="ar-SA"/>
              </w:rPr>
              <w:t>2.16</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[0.0+0.3+0.0+1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+0.0+1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+0.5+0.0+0.1]</w:t>
            </w:r>
            <w:r>
              <w:rPr>
                <w:rFonts w:hint="eastAsia" w:ascii="Times New Roman" w:hAnsi="Times New Roman" w:eastAsia="宋体" w:cs="Times New Roman"/>
                <w:color w:val="auto"/>
                <w:kern w:val="0"/>
                <w:sz w:val="21"/>
                <w:szCs w:val="21"/>
                <w:highlight w:val="none"/>
                <w:lang w:val="en-US" w:eastAsia="zh-CN" w:bidi="ar"/>
              </w:rPr>
              <w:t>。</w:t>
            </w:r>
          </w:p>
          <w:p w14:paraId="07BB860E">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三、评标价平均值（B）计算方法2</w:t>
            </w:r>
          </w:p>
          <w:p w14:paraId="6182E19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根据所有参加评标价平均值计算的评标价（个数用P表示）计算评标价平均值（B）。C为招标人设定的最高投标限价。评标价平均值保留七位小数，小数点后第八位</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四舍五入</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p>
          <w:p w14:paraId="59471C3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1、当P</w:t>
            </w:r>
            <w:r>
              <w:rPr>
                <w:rFonts w:ascii="Times New Roman" w:hAnsi="Times New Roman" w:eastAsia="宋体" w:cs="Times New Roman"/>
                <w:color w:val="auto"/>
                <w:kern w:val="0"/>
                <w:szCs w:val="21"/>
                <w:highlight w:val="none"/>
                <w:lang w:bidi="ar"/>
              </w:rPr>
              <w:t>=0</w:t>
            </w:r>
            <w:r>
              <w:rPr>
                <w:rFonts w:hint="eastAsia" w:ascii="Times New Roman" w:hAnsi="Times New Roman" w:eastAsia="宋体" w:cs="Times New Roman"/>
                <w:color w:val="auto"/>
                <w:kern w:val="0"/>
                <w:szCs w:val="21"/>
                <w:highlight w:val="none"/>
                <w:lang w:bidi="ar"/>
              </w:rPr>
              <w:t>时，即所有评标价均低于</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*C值（最高投标限价的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），则评标价平均值（B）直接为</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lang w:bidi="ar"/>
              </w:rPr>
              <w:t>*C值（最高投标限价的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lang w:bidi="ar"/>
              </w:rPr>
              <w:t>）。</w:t>
            </w:r>
          </w:p>
          <w:p w14:paraId="6133997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、当0＜P≤</w:t>
            </w:r>
            <w:r>
              <w:rPr>
                <w:rFonts w:ascii="Times New Roman" w:hAnsi="Times New Roman" w:eastAsia="宋体" w:cs="Times New Roman"/>
                <w:color w:val="auto"/>
                <w:kern w:val="0"/>
                <w:szCs w:val="21"/>
                <w:highlight w:val="none"/>
                <w:lang w:bidi="ar"/>
              </w:rPr>
              <w:t>5</w:t>
            </w:r>
            <w:r>
              <w:rPr>
                <w:rFonts w:hint="eastAsia" w:ascii="Times New Roman" w:hAnsi="Times New Roman" w:eastAsia="宋体" w:cs="Times New Roman"/>
                <w:color w:val="auto"/>
                <w:kern w:val="0"/>
                <w:szCs w:val="21"/>
                <w:highlight w:val="none"/>
                <w:lang w:bidi="ar"/>
              </w:rPr>
              <w:t>时，评标价平均值（B）为P个评标价的算术平均值。</w:t>
            </w:r>
          </w:p>
          <w:p w14:paraId="5933792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3</w:t>
            </w:r>
            <w:r>
              <w:rPr>
                <w:rFonts w:hint="eastAsia" w:ascii="Times New Roman" w:hAnsi="Times New Roman" w:eastAsia="宋体" w:cs="Times New Roman"/>
                <w:color w:val="auto"/>
                <w:kern w:val="0"/>
                <w:szCs w:val="21"/>
                <w:highlight w:val="none"/>
                <w:lang w:bidi="ar"/>
              </w:rPr>
              <w:t>、当</w:t>
            </w:r>
            <w:r>
              <w:rPr>
                <w:rFonts w:ascii="Times New Roman" w:hAnsi="Times New Roman" w:eastAsia="宋体" w:cs="Times New Roman"/>
                <w:color w:val="auto"/>
                <w:kern w:val="0"/>
                <w:szCs w:val="21"/>
                <w:highlight w:val="none"/>
                <w:lang w:bidi="ar"/>
              </w:rPr>
              <w:t>6</w:t>
            </w:r>
            <w:r>
              <w:rPr>
                <w:rFonts w:hint="eastAsia" w:ascii="Times New Roman" w:hAnsi="Times New Roman" w:eastAsia="宋体" w:cs="Times New Roman"/>
                <w:color w:val="auto"/>
                <w:kern w:val="0"/>
                <w:szCs w:val="21"/>
                <w:highlight w:val="none"/>
                <w:lang w:bidi="ar"/>
              </w:rPr>
              <w:t>≤P≤9时，在P个评标价中，去掉</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个最高值和</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个最低值后的其余评标价的算术平均值为评标价平均值（B）。</w:t>
            </w:r>
          </w:p>
          <w:p w14:paraId="06F8BEA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4</w:t>
            </w:r>
            <w:r>
              <w:rPr>
                <w:rFonts w:hint="eastAsia" w:ascii="Times New Roman" w:hAnsi="Times New Roman" w:eastAsia="宋体" w:cs="Times New Roman"/>
                <w:color w:val="auto"/>
                <w:kern w:val="0"/>
                <w:szCs w:val="21"/>
                <w:highlight w:val="none"/>
                <w:lang w:bidi="ar"/>
              </w:rPr>
              <w:t>、当P≥</w:t>
            </w:r>
            <w:r>
              <w:rPr>
                <w:rFonts w:ascii="Times New Roman" w:hAnsi="Times New Roman" w:eastAsia="宋体" w:cs="Times New Roman"/>
                <w:color w:val="auto"/>
                <w:kern w:val="0"/>
                <w:szCs w:val="21"/>
                <w:highlight w:val="none"/>
                <w:lang w:bidi="ar"/>
              </w:rPr>
              <w:t>10</w:t>
            </w:r>
            <w:r>
              <w:rPr>
                <w:rFonts w:hint="eastAsia" w:ascii="Times New Roman" w:hAnsi="Times New Roman" w:eastAsia="宋体" w:cs="Times New Roman"/>
                <w:color w:val="auto"/>
                <w:kern w:val="0"/>
                <w:szCs w:val="21"/>
                <w:highlight w:val="none"/>
                <w:lang w:bidi="ar"/>
              </w:rPr>
              <w:t>时，在P个评标价中，去掉P1个最高值和P2个最低值后的其余评标价的算术平均值为评标价平均值（B）。</w:t>
            </w:r>
          </w:p>
          <w:p w14:paraId="43B801C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P</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，P</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是在取值区间（1～Q）中随机抽取的两个数值，较大的数值为Q</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，较小的数值为Q</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。Q=INT（P/5），即Q为（P</w:t>
            </w:r>
            <w:r>
              <w:rPr>
                <w:rFonts w:ascii="Times New Roman" w:hAnsi="Times New Roman" w:eastAsia="宋体" w:cs="Times New Roman"/>
                <w:color w:val="auto"/>
                <w:kern w:val="0"/>
                <w:szCs w:val="21"/>
                <w:highlight w:val="none"/>
                <w:lang w:bidi="ar"/>
              </w:rPr>
              <w:t>/5</w:t>
            </w:r>
            <w:r>
              <w:rPr>
                <w:rFonts w:hint="eastAsia" w:ascii="Times New Roman" w:hAnsi="Times New Roman" w:eastAsia="宋体" w:cs="Times New Roman"/>
                <w:color w:val="auto"/>
                <w:kern w:val="0"/>
                <w:szCs w:val="21"/>
                <w:highlight w:val="none"/>
                <w:lang w:bidi="ar"/>
              </w:rPr>
              <w:t>）向下取整。</w:t>
            </w:r>
          </w:p>
          <w:p w14:paraId="01C30298">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四、评标价平均值（B）计算方法3</w:t>
            </w:r>
          </w:p>
          <w:p w14:paraId="22D3BEF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根据所有参加评标价平均值计算的评标价（个数用P表示）计算评标价平均值（B）。C为招标人设定的最高投标限价。评标价平均值保留七位小数，小数点后第八位</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四舍五入</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p>
          <w:p w14:paraId="709ED24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1、当P</w:t>
            </w:r>
            <w:r>
              <w:rPr>
                <w:rFonts w:ascii="Times New Roman" w:hAnsi="Times New Roman" w:eastAsia="宋体" w:cs="Times New Roman"/>
                <w:color w:val="auto"/>
                <w:kern w:val="0"/>
                <w:szCs w:val="21"/>
                <w:highlight w:val="none"/>
                <w:lang w:bidi="ar"/>
              </w:rPr>
              <w:t>=0</w:t>
            </w:r>
            <w:r>
              <w:rPr>
                <w:rFonts w:hint="eastAsia" w:ascii="Times New Roman" w:hAnsi="Times New Roman" w:eastAsia="宋体" w:cs="Times New Roman"/>
                <w:color w:val="auto"/>
                <w:kern w:val="0"/>
                <w:szCs w:val="21"/>
                <w:highlight w:val="none"/>
                <w:lang w:bidi="ar"/>
              </w:rPr>
              <w:t>时，即所有评标价均低于</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*C值（最高投标限价的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），则评标价平均值（B）直接为</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lang w:bidi="ar"/>
              </w:rPr>
              <w:t>*C值（最高投标限价的</w:t>
            </w:r>
            <w:r>
              <w:rPr>
                <w:rFonts w:hint="eastAsia" w:ascii="Times New Roman" w:hAnsi="Times New Roman" w:eastAsia="宋体" w:cs="Times New Roman"/>
                <w:color w:val="auto"/>
                <w:kern w:val="0"/>
                <w:szCs w:val="21"/>
                <w:highlight w:val="none"/>
                <w:u w:val="single"/>
                <w:lang w:bidi="ar"/>
              </w:rPr>
              <w:t xml:space="preserve"> </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u w:val="single"/>
                <w:lang w:bidi="ar"/>
              </w:rPr>
              <w:t>G</w:t>
            </w:r>
            <w:r>
              <w:rPr>
                <w:rFonts w:ascii="Times New Roman" w:hAnsi="Times New Roman" w:eastAsia="宋体" w:cs="Times New Roman"/>
                <w:color w:val="auto"/>
                <w:kern w:val="0"/>
                <w:szCs w:val="21"/>
                <w:highlight w:val="none"/>
                <w:u w:val="single"/>
                <w:lang w:bidi="ar"/>
              </w:rPr>
              <w:t xml:space="preserve">%  </w:t>
            </w:r>
            <w:r>
              <w:rPr>
                <w:rFonts w:hint="eastAsia" w:ascii="Times New Roman" w:hAnsi="Times New Roman" w:eastAsia="宋体" w:cs="Times New Roman"/>
                <w:color w:val="auto"/>
                <w:kern w:val="0"/>
                <w:szCs w:val="21"/>
                <w:highlight w:val="none"/>
                <w:lang w:bidi="ar"/>
              </w:rPr>
              <w:t>）。</w:t>
            </w:r>
          </w:p>
          <w:p w14:paraId="2703C57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2、当0＜P≤</w:t>
            </w:r>
            <w:r>
              <w:rPr>
                <w:rFonts w:ascii="Times New Roman" w:hAnsi="Times New Roman" w:eastAsia="宋体" w:cs="Times New Roman"/>
                <w:color w:val="auto"/>
                <w:kern w:val="0"/>
                <w:szCs w:val="21"/>
                <w:highlight w:val="none"/>
                <w:lang w:bidi="ar"/>
              </w:rPr>
              <w:t>5</w:t>
            </w:r>
            <w:r>
              <w:rPr>
                <w:rFonts w:hint="eastAsia" w:ascii="Times New Roman" w:hAnsi="Times New Roman" w:eastAsia="宋体" w:cs="Times New Roman"/>
                <w:color w:val="auto"/>
                <w:kern w:val="0"/>
                <w:szCs w:val="21"/>
                <w:highlight w:val="none"/>
                <w:lang w:bidi="ar"/>
              </w:rPr>
              <w:t>时，评标价平均值（B）为P个评标价的算术平均值。</w:t>
            </w:r>
          </w:p>
          <w:p w14:paraId="209CC55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3、当P=</w:t>
            </w:r>
            <w:r>
              <w:rPr>
                <w:rFonts w:ascii="Times New Roman" w:hAnsi="Times New Roman" w:eastAsia="宋体" w:cs="Times New Roman"/>
                <w:color w:val="auto"/>
                <w:kern w:val="0"/>
                <w:szCs w:val="21"/>
                <w:highlight w:val="none"/>
                <w:lang w:bidi="ar"/>
              </w:rPr>
              <w:t>6</w:t>
            </w:r>
            <w:r>
              <w:rPr>
                <w:rFonts w:hint="eastAsia" w:ascii="Times New Roman" w:hAnsi="Times New Roman" w:eastAsia="宋体" w:cs="Times New Roman"/>
                <w:color w:val="auto"/>
                <w:kern w:val="0"/>
                <w:szCs w:val="21"/>
                <w:highlight w:val="none"/>
                <w:lang w:bidi="ar"/>
              </w:rPr>
              <w:t>或7时，在P个评标价中，去掉</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个最高值和</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个最低值后的其余评标价的算术平均值为评标价平均值（B）。</w:t>
            </w:r>
          </w:p>
          <w:p w14:paraId="2E673A8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4、当P≥</w:t>
            </w:r>
            <w:r>
              <w:rPr>
                <w:rFonts w:ascii="Times New Roman" w:hAnsi="Times New Roman" w:eastAsia="宋体" w:cs="Times New Roman"/>
                <w:color w:val="auto"/>
                <w:kern w:val="0"/>
                <w:szCs w:val="21"/>
                <w:highlight w:val="none"/>
                <w:lang w:bidi="ar"/>
              </w:rPr>
              <w:t>8</w:t>
            </w:r>
            <w:r>
              <w:rPr>
                <w:rFonts w:hint="eastAsia" w:ascii="Times New Roman" w:hAnsi="Times New Roman" w:eastAsia="宋体" w:cs="Times New Roman"/>
                <w:color w:val="auto"/>
                <w:kern w:val="0"/>
                <w:szCs w:val="21"/>
                <w:highlight w:val="none"/>
                <w:lang w:bidi="ar"/>
              </w:rPr>
              <w:t>时</w:t>
            </w:r>
          </w:p>
          <w:p w14:paraId="24F68E7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（1）首先，在P个评标价中，去掉P1个最高值和P2个最低值。</w:t>
            </w:r>
          </w:p>
          <w:p w14:paraId="42402912">
            <w:pPr>
              <w:widowControl/>
              <w:spacing w:line="360" w:lineRule="exact"/>
              <w:ind w:firstLine="420" w:firstLineChars="200"/>
              <w:jc w:val="left"/>
              <w:rPr>
                <w:color w:val="auto"/>
                <w:kern w:val="0"/>
                <w:szCs w:val="21"/>
                <w:highlight w:val="none"/>
                <w:lang w:bidi="ar"/>
              </w:rPr>
            </w:pPr>
            <w:r>
              <w:rPr>
                <w:rFonts w:hint="eastAsia"/>
                <w:color w:val="auto"/>
                <w:kern w:val="0"/>
                <w:szCs w:val="21"/>
                <w:highlight w:val="none"/>
                <w:lang w:bidi="ar"/>
              </w:rPr>
              <w:t>①当P=8或9时，P1=P2=1；</w:t>
            </w:r>
          </w:p>
          <w:p w14:paraId="29DFB902">
            <w:pPr>
              <w:widowControl/>
              <w:spacing w:line="360" w:lineRule="exact"/>
              <w:ind w:firstLine="420" w:firstLineChars="200"/>
              <w:jc w:val="left"/>
              <w:rPr>
                <w:color w:val="auto"/>
                <w:kern w:val="0"/>
                <w:szCs w:val="21"/>
                <w:highlight w:val="none"/>
                <w:lang w:bidi="ar"/>
              </w:rPr>
            </w:pPr>
            <w:r>
              <w:rPr>
                <w:rFonts w:hint="eastAsia"/>
                <w:color w:val="auto"/>
                <w:kern w:val="0"/>
                <w:szCs w:val="21"/>
                <w:highlight w:val="none"/>
                <w:lang w:bidi="ar"/>
              </w:rPr>
              <w:t>②当P=10或11或12或13或14时，P1=2，P2=1；</w:t>
            </w:r>
          </w:p>
          <w:p w14:paraId="1209BC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color w:val="auto"/>
                <w:kern w:val="0"/>
                <w:szCs w:val="21"/>
                <w:highlight w:val="none"/>
                <w:lang w:bidi="ar"/>
              </w:rPr>
              <w:t>③当P≥15时，</w:t>
            </w:r>
            <w:r>
              <w:rPr>
                <w:rFonts w:hint="eastAsia" w:ascii="Times New Roman" w:hAnsi="Times New Roman" w:eastAsia="宋体" w:cs="Times New Roman"/>
                <w:color w:val="auto"/>
                <w:kern w:val="0"/>
                <w:szCs w:val="21"/>
                <w:highlight w:val="none"/>
                <w:lang w:bidi="ar"/>
              </w:rPr>
              <w:t>P</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，P</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、Q</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是在取值区间（1～Q）中随机抽取的两个数值，较大的数值为Q</w:t>
            </w:r>
            <w:r>
              <w:rPr>
                <w:rFonts w:ascii="Times New Roman" w:hAnsi="Times New Roman" w:eastAsia="宋体" w:cs="Times New Roman"/>
                <w:color w:val="auto"/>
                <w:kern w:val="0"/>
                <w:szCs w:val="21"/>
                <w:highlight w:val="none"/>
                <w:lang w:bidi="ar"/>
              </w:rPr>
              <w:t>1</w:t>
            </w:r>
            <w:r>
              <w:rPr>
                <w:rFonts w:hint="eastAsia" w:ascii="Times New Roman" w:hAnsi="Times New Roman" w:eastAsia="宋体" w:cs="Times New Roman"/>
                <w:color w:val="auto"/>
                <w:kern w:val="0"/>
                <w:szCs w:val="21"/>
                <w:highlight w:val="none"/>
                <w:lang w:bidi="ar"/>
              </w:rPr>
              <w:t>，较小的数值为Q</w:t>
            </w: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。Q=INT（P/5），即Q为（P</w:t>
            </w:r>
            <w:r>
              <w:rPr>
                <w:rFonts w:ascii="Times New Roman" w:hAnsi="Times New Roman" w:eastAsia="宋体" w:cs="Times New Roman"/>
                <w:color w:val="auto"/>
                <w:kern w:val="0"/>
                <w:szCs w:val="21"/>
                <w:highlight w:val="none"/>
                <w:lang w:bidi="ar"/>
              </w:rPr>
              <w:t>/5</w:t>
            </w:r>
            <w:r>
              <w:rPr>
                <w:rFonts w:hint="eastAsia" w:ascii="Times New Roman" w:hAnsi="Times New Roman" w:eastAsia="宋体" w:cs="Times New Roman"/>
                <w:color w:val="auto"/>
                <w:kern w:val="0"/>
                <w:szCs w:val="21"/>
                <w:highlight w:val="none"/>
                <w:lang w:bidi="ar"/>
              </w:rPr>
              <w:t>）向下取整且最小为1。</w:t>
            </w:r>
          </w:p>
          <w:p w14:paraId="0BA73CE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（2）然后，将其余评标价由低到高排列，对排列第（1、1+R、1+2R、……、1+SR）</w:t>
            </w:r>
            <w:r>
              <w:rPr>
                <w:rFonts w:ascii="Times New Roman" w:hAnsi="Times New Roman" w:eastAsia="宋体" w:cs="Times New Roman"/>
                <w:color w:val="auto"/>
                <w:highlight w:val="none"/>
              </w:rPr>
              <w:t>的评标价进行</w:t>
            </w:r>
            <w:r>
              <w:rPr>
                <w:rFonts w:hint="eastAsia" w:ascii="Times New Roman" w:hAnsi="Times New Roman" w:eastAsia="宋体" w:cs="Times New Roman"/>
                <w:color w:val="auto"/>
                <w:highlight w:val="none"/>
              </w:rPr>
              <w:t>算术</w:t>
            </w:r>
            <w:r>
              <w:rPr>
                <w:rFonts w:ascii="Times New Roman" w:hAnsi="Times New Roman" w:eastAsia="宋体" w:cs="Times New Roman"/>
                <w:color w:val="auto"/>
                <w:highlight w:val="none"/>
              </w:rPr>
              <w:t>平均</w:t>
            </w:r>
            <w:r>
              <w:rPr>
                <w:rFonts w:hint="eastAsia" w:ascii="Times New Roman" w:hAnsi="Times New Roman" w:eastAsia="宋体" w:cs="Times New Roman"/>
                <w:color w:val="auto"/>
                <w:highlight w:val="none"/>
              </w:rPr>
              <w:t>，该算术平均值为</w:t>
            </w:r>
            <w:r>
              <w:rPr>
                <w:rFonts w:hint="eastAsia" w:ascii="Times New Roman" w:hAnsi="Times New Roman" w:eastAsia="宋体" w:cs="Times New Roman"/>
                <w:color w:val="auto"/>
                <w:kern w:val="0"/>
                <w:szCs w:val="21"/>
                <w:highlight w:val="none"/>
                <w:lang w:bidi="ar"/>
              </w:rPr>
              <w:t>评标价平均值（B）。</w:t>
            </w:r>
          </w:p>
          <w:p w14:paraId="35489A4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R</w:t>
            </w:r>
            <w:r>
              <w:rPr>
                <w:rFonts w:hint="eastAsia" w:ascii="Times New Roman" w:hAnsi="Times New Roman" w:eastAsia="宋体" w:cs="Times New Roman"/>
                <w:color w:val="auto"/>
                <w:kern w:val="0"/>
                <w:szCs w:val="21"/>
                <w:highlight w:val="none"/>
                <w:lang w:bidi="ar"/>
              </w:rPr>
              <w:t>为随机步距，在开标现场随机抽取，取值范围为3、4、5。</w:t>
            </w:r>
          </w:p>
          <w:p w14:paraId="061EC93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S为步距个数，</w:t>
            </w:r>
            <w:r>
              <w:rPr>
                <w:rFonts w:ascii="Times New Roman" w:hAnsi="Times New Roman" w:eastAsia="宋体" w:cs="Times New Roman"/>
                <w:color w:val="auto"/>
                <w:kern w:val="0"/>
                <w:szCs w:val="21"/>
                <w:highlight w:val="none"/>
                <w:lang w:bidi="ar"/>
              </w:rPr>
              <w:t>S</w:t>
            </w:r>
            <w:r>
              <w:rPr>
                <w:rFonts w:hint="eastAsia" w:ascii="Times New Roman" w:hAnsi="Times New Roman" w:eastAsia="宋体" w:cs="Times New Roman"/>
                <w:color w:val="auto"/>
                <w:kern w:val="0"/>
                <w:szCs w:val="21"/>
                <w:highlight w:val="none"/>
                <w:lang w:bidi="ar"/>
              </w:rPr>
              <w:t>=INT</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kern w:val="0"/>
                <w:szCs w:val="21"/>
                <w:highlight w:val="none"/>
                <w:lang w:bidi="ar"/>
              </w:rPr>
              <w:t>P-P1-P2-1</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kern w:val="0"/>
                <w:szCs w:val="21"/>
                <w:highlight w:val="none"/>
                <w:lang w:bidi="ar"/>
              </w:rPr>
              <w:t>R]</w:t>
            </w:r>
            <w:r>
              <w:rPr>
                <w:rFonts w:hint="eastAsia" w:ascii="Times New Roman" w:hAnsi="Times New Roman" w:eastAsia="宋体" w:cs="Times New Roman"/>
                <w:color w:val="auto"/>
                <w:kern w:val="0"/>
                <w:szCs w:val="21"/>
                <w:highlight w:val="none"/>
                <w:lang w:bidi="ar"/>
              </w:rPr>
              <w:t>，即</w:t>
            </w:r>
            <w:r>
              <w:rPr>
                <w:rFonts w:ascii="Times New Roman" w:hAnsi="Times New Roman" w:eastAsia="宋体" w:cs="Times New Roman"/>
                <w:color w:val="auto"/>
                <w:kern w:val="0"/>
                <w:szCs w:val="21"/>
                <w:highlight w:val="none"/>
                <w:lang w:bidi="ar"/>
              </w:rPr>
              <w:t>S</w:t>
            </w:r>
            <w:r>
              <w:rPr>
                <w:rFonts w:hint="eastAsia" w:ascii="Times New Roman" w:hAnsi="Times New Roman" w:eastAsia="宋体" w:cs="Times New Roman"/>
                <w:color w:val="auto"/>
                <w:kern w:val="0"/>
                <w:szCs w:val="21"/>
                <w:highlight w:val="none"/>
                <w:lang w:bidi="ar"/>
              </w:rPr>
              <w:t>为</w:t>
            </w:r>
            <w:r>
              <w:rPr>
                <w:rFonts w:ascii="Times New Roman" w:hAnsi="Times New Roman" w:eastAsia="宋体" w:cs="Times New Roman"/>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kern w:val="0"/>
                <w:szCs w:val="21"/>
                <w:highlight w:val="none"/>
                <w:lang w:bidi="ar"/>
              </w:rPr>
              <w:t>P-P1-P2-1</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kern w:val="0"/>
                <w:szCs w:val="21"/>
                <w:highlight w:val="none"/>
                <w:lang w:bidi="ar"/>
              </w:rPr>
              <w:t>R]</w:t>
            </w:r>
            <w:r>
              <w:rPr>
                <w:rFonts w:hint="eastAsia" w:ascii="Times New Roman" w:hAnsi="Times New Roman" w:eastAsia="宋体" w:cs="Times New Roman"/>
                <w:color w:val="auto"/>
                <w:kern w:val="0"/>
                <w:szCs w:val="21"/>
                <w:highlight w:val="none"/>
                <w:lang w:bidi="ar"/>
              </w:rPr>
              <w:t>向下取整。</w:t>
            </w:r>
          </w:p>
          <w:p w14:paraId="09EB67E0">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五、</w:t>
            </w:r>
            <w:r>
              <w:rPr>
                <w:rFonts w:ascii="Times New Roman" w:hAnsi="Times New Roman" w:eastAsia="宋体" w:cs="Times New Roman"/>
                <w:b/>
                <w:bCs/>
                <w:color w:val="auto"/>
                <w:kern w:val="0"/>
                <w:sz w:val="21"/>
                <w:szCs w:val="21"/>
                <w:highlight w:val="none"/>
                <w:lang w:val="en-US" w:eastAsia="zh-CN" w:bidi="ar"/>
              </w:rPr>
              <w:t>评标基准价</w:t>
            </w:r>
            <w:r>
              <w:rPr>
                <w:rFonts w:hint="eastAsia" w:ascii="Times New Roman" w:hAnsi="Times New Roman" w:eastAsia="宋体" w:cs="Times New Roman"/>
                <w:b/>
                <w:bCs/>
                <w:color w:val="auto"/>
                <w:kern w:val="0"/>
                <w:sz w:val="21"/>
                <w:szCs w:val="21"/>
                <w:highlight w:val="none"/>
                <w:lang w:val="en-US" w:eastAsia="zh-CN" w:bidi="ar"/>
              </w:rPr>
              <w:t>（D）</w:t>
            </w:r>
          </w:p>
          <w:p w14:paraId="40A7D6F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D=D=[C*K+B*（1-K）]*（1-Z），保留七位小数，小数点后第八位</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四舍五入</w:t>
            </w:r>
            <w:r>
              <w:rPr>
                <w:rFonts w:hint="eastAsia" w:ascii="宋体" w:hAnsi="宋体" w:eastAsia="宋体" w:cs="宋体"/>
                <w:color w:val="auto"/>
                <w:kern w:val="0"/>
                <w:szCs w:val="21"/>
                <w:highlight w:val="none"/>
                <w:lang w:bidi="ar"/>
              </w:rPr>
              <w:t>”</w:t>
            </w:r>
            <w:r>
              <w:rPr>
                <w:rFonts w:hint="eastAsia" w:ascii="Times New Roman" w:hAnsi="Times New Roman" w:eastAsia="宋体" w:cs="Times New Roman"/>
                <w:color w:val="auto"/>
                <w:kern w:val="0"/>
                <w:szCs w:val="21"/>
                <w:highlight w:val="none"/>
                <w:lang w:bidi="ar"/>
              </w:rPr>
              <w:t>。</w:t>
            </w:r>
          </w:p>
          <w:p w14:paraId="2EAE666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lang w:bidi="ar"/>
              </w:rPr>
              <w:t>式中：</w:t>
            </w:r>
          </w:p>
          <w:p w14:paraId="594C87F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1、C</w:t>
            </w:r>
            <w:r>
              <w:rPr>
                <w:rFonts w:ascii="Times New Roman" w:hAnsi="Times New Roman" w:eastAsia="宋体" w:cs="Times New Roman"/>
                <w:color w:val="auto"/>
                <w:kern w:val="0"/>
                <w:szCs w:val="21"/>
                <w:highlight w:val="none"/>
                <w:lang w:bidi="ar"/>
              </w:rPr>
              <w:t>为招标人</w:t>
            </w:r>
            <w:r>
              <w:rPr>
                <w:rFonts w:hint="eastAsia" w:ascii="Times New Roman" w:hAnsi="Times New Roman" w:eastAsia="宋体" w:cs="Times New Roman"/>
                <w:color w:val="auto"/>
                <w:kern w:val="0"/>
                <w:szCs w:val="21"/>
                <w:highlight w:val="none"/>
                <w:lang w:bidi="ar"/>
              </w:rPr>
              <w:t>设定的</w:t>
            </w:r>
            <w:r>
              <w:rPr>
                <w:rFonts w:ascii="Times New Roman" w:hAnsi="Times New Roman" w:eastAsia="宋体" w:cs="Times New Roman"/>
                <w:color w:val="auto"/>
                <w:kern w:val="0"/>
                <w:szCs w:val="21"/>
                <w:highlight w:val="none"/>
                <w:lang w:bidi="ar"/>
              </w:rPr>
              <w:t>最高投标限价</w:t>
            </w:r>
            <w:r>
              <w:rPr>
                <w:rFonts w:hint="eastAsia" w:ascii="Times New Roman" w:hAnsi="Times New Roman" w:eastAsia="宋体" w:cs="Times New Roman"/>
                <w:color w:val="auto"/>
                <w:kern w:val="0"/>
                <w:szCs w:val="21"/>
                <w:highlight w:val="none"/>
                <w:lang w:bidi="ar"/>
              </w:rPr>
              <w:t>，B为评标价平均值。</w:t>
            </w:r>
          </w:p>
          <w:p w14:paraId="46E3CA3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2</w:t>
            </w:r>
            <w:r>
              <w:rPr>
                <w:rFonts w:hint="eastAsia" w:ascii="Times New Roman" w:hAnsi="Times New Roman" w:eastAsia="宋体" w:cs="Times New Roman"/>
                <w:color w:val="auto"/>
                <w:kern w:val="0"/>
                <w:szCs w:val="21"/>
                <w:highlight w:val="none"/>
                <w:lang w:bidi="ar"/>
              </w:rPr>
              <w:t>、</w:t>
            </w:r>
            <w:r>
              <w:rPr>
                <w:rFonts w:ascii="Times New Roman" w:hAnsi="Times New Roman" w:eastAsia="宋体" w:cs="Times New Roman"/>
                <w:color w:val="auto"/>
                <w:kern w:val="0"/>
                <w:szCs w:val="21"/>
                <w:highlight w:val="none"/>
                <w:lang w:bidi="ar"/>
              </w:rPr>
              <w:t>K</w:t>
            </w:r>
            <w:r>
              <w:rPr>
                <w:rFonts w:hint="eastAsia" w:ascii="Times New Roman" w:hAnsi="Times New Roman" w:eastAsia="宋体" w:cs="Times New Roman"/>
                <w:color w:val="auto"/>
                <w:kern w:val="0"/>
                <w:szCs w:val="21"/>
                <w:highlight w:val="none"/>
                <w:lang w:bidi="ar"/>
              </w:rPr>
              <w:t>为</w:t>
            </w:r>
            <w:r>
              <w:rPr>
                <w:rFonts w:ascii="Times New Roman" w:hAnsi="Times New Roman" w:eastAsia="宋体" w:cs="Times New Roman"/>
                <w:color w:val="auto"/>
                <w:highlight w:val="none"/>
              </w:rPr>
              <w:t>权重系数</w:t>
            </w:r>
            <w:r>
              <w:rPr>
                <w:rFonts w:hint="eastAsia" w:ascii="Times New Roman" w:hAnsi="Times New Roman" w:eastAsia="宋体" w:cs="Times New Roman"/>
                <w:color w:val="auto"/>
                <w:highlight w:val="none"/>
              </w:rPr>
              <w:t>，K=[（K</w:t>
            </w:r>
            <w:r>
              <w:rPr>
                <w:rFonts w:ascii="Times New Roman" w:hAnsi="Times New Roman" w:eastAsia="宋体" w:cs="Times New Roman"/>
                <w:color w:val="auto"/>
                <w:highlight w:val="none"/>
              </w:rPr>
              <w:t>1/10</w:t>
            </w:r>
            <w:r>
              <w:rPr>
                <w:rFonts w:hint="eastAsia" w:ascii="Times New Roman" w:hAnsi="Times New Roman" w:eastAsia="宋体" w:cs="Times New Roman"/>
                <w:color w:val="auto"/>
                <w:highlight w:val="none"/>
              </w:rPr>
              <w:t>）+K</w:t>
            </w:r>
            <w:r>
              <w:rPr>
                <w:rFonts w:ascii="Times New Roman" w:hAnsi="Times New Roman" w:eastAsia="宋体" w:cs="Times New Roman"/>
                <w:color w:val="auto"/>
                <w:highlight w:val="none"/>
              </w:rPr>
              <w:t>2</w:t>
            </w:r>
            <w:r>
              <w:rPr>
                <w:rFonts w:hint="eastAsia" w:ascii="Times New Roman" w:hAnsi="Times New Roman" w:eastAsia="宋体" w:cs="Times New Roman"/>
                <w:color w:val="auto"/>
                <w:highlight w:val="none"/>
              </w:rPr>
              <w:t>]/10。各标段的</w:t>
            </w:r>
            <w:r>
              <w:rPr>
                <w:rFonts w:ascii="Times New Roman" w:hAnsi="Times New Roman" w:eastAsia="宋体" w:cs="Times New Roman"/>
                <w:color w:val="auto"/>
                <w:highlight w:val="none"/>
              </w:rPr>
              <w:t>K1</w:t>
            </w:r>
            <w:r>
              <w:rPr>
                <w:rFonts w:hint="eastAsia" w:ascii="Times New Roman" w:hAnsi="Times New Roman" w:eastAsia="宋体" w:cs="Times New Roman"/>
                <w:color w:val="auto"/>
                <w:highlight w:val="none"/>
              </w:rPr>
              <w:t>在开标现场从0、1、2、3、4、5、6、7、8、9等1</w:t>
            </w:r>
            <w:r>
              <w:rPr>
                <w:rFonts w:ascii="Times New Roman" w:hAnsi="Times New Roman" w:eastAsia="宋体" w:cs="Times New Roman"/>
                <w:color w:val="auto"/>
                <w:highlight w:val="none"/>
              </w:rPr>
              <w:t>0</w:t>
            </w:r>
            <w:r>
              <w:rPr>
                <w:rFonts w:hint="eastAsia" w:ascii="Times New Roman" w:hAnsi="Times New Roman" w:eastAsia="宋体" w:cs="Times New Roman"/>
                <w:color w:val="auto"/>
                <w:highlight w:val="none"/>
              </w:rPr>
              <w:t>个系数中随机抽取。各标段的</w:t>
            </w:r>
            <w:r>
              <w:rPr>
                <w:rFonts w:ascii="Times New Roman" w:hAnsi="Times New Roman" w:eastAsia="宋体" w:cs="Times New Roman"/>
                <w:color w:val="auto"/>
                <w:highlight w:val="none"/>
              </w:rPr>
              <w:t>K2</w:t>
            </w:r>
            <w:r>
              <w:rPr>
                <w:rFonts w:hint="eastAsia" w:ascii="Times New Roman" w:hAnsi="Times New Roman" w:eastAsia="宋体" w:cs="Times New Roman"/>
                <w:color w:val="auto"/>
                <w:highlight w:val="none"/>
              </w:rPr>
              <w:t>在开标现场从</w:t>
            </w:r>
            <w:r>
              <w:rPr>
                <w:rFonts w:ascii="Times New Roman" w:hAnsi="Times New Roman" w:eastAsia="宋体" w:cs="Times New Roman"/>
                <w:color w:val="auto"/>
                <w:highlight w:val="none"/>
              </w:rPr>
              <w:t>0、0.5、1等3个系数</w:t>
            </w:r>
            <w:r>
              <w:rPr>
                <w:rFonts w:hint="eastAsia" w:ascii="Times New Roman" w:hAnsi="Times New Roman" w:eastAsia="宋体" w:cs="Times New Roman"/>
                <w:color w:val="auto"/>
                <w:highlight w:val="none"/>
              </w:rPr>
              <w:t>中随机抽取。</w:t>
            </w:r>
          </w:p>
          <w:p w14:paraId="60052376">
            <w:pPr>
              <w:pageBreakBefore w:val="0"/>
              <w:kinsoku/>
              <w:wordWrap w:val="0"/>
              <w:bidi w:val="0"/>
              <w:spacing w:line="360" w:lineRule="atLeast"/>
              <w:ind w:firstLine="420" w:firstLineChars="200"/>
              <w:rPr>
                <w:rFonts w:hint="default" w:ascii="Times New Roman" w:hAnsi="Times New Roman" w:cs="Times New Roman"/>
                <w:color w:val="auto"/>
                <w:szCs w:val="21"/>
                <w:highlight w:val="none"/>
              </w:rPr>
            </w:pPr>
            <w:r>
              <w:rPr>
                <w:rFonts w:ascii="Times New Roman" w:hAnsi="Times New Roman" w:eastAsia="宋体"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、Z为下浮系数，各标段的Z</w:t>
            </w:r>
            <w:r>
              <w:rPr>
                <w:rFonts w:ascii="Times New Roman" w:hAnsi="Times New Roman" w:eastAsia="宋体" w:cs="Times New Roman"/>
                <w:color w:val="auto"/>
                <w:kern w:val="2"/>
                <w:sz w:val="21"/>
                <w:szCs w:val="21"/>
                <w:highlight w:val="none"/>
                <w:lang w:val="en-US" w:eastAsia="zh-CN" w:bidi="ar-SA"/>
              </w:rPr>
              <w:t>在开标现场</w:t>
            </w:r>
            <w:r>
              <w:rPr>
                <w:rFonts w:hint="eastAsia" w:ascii="Times New Roman" w:hAnsi="Times New Roman" w:eastAsia="宋体" w:cs="Times New Roman"/>
                <w:color w:val="auto"/>
                <w:kern w:val="0"/>
                <w:sz w:val="21"/>
                <w:szCs w:val="21"/>
                <w:highlight w:val="none"/>
                <w:lang w:val="en-US" w:eastAsia="zh-CN" w:bidi="ar"/>
              </w:rPr>
              <w:t>均从0%、0.</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%、0.</w:t>
            </w:r>
            <w:r>
              <w:rPr>
                <w:rFonts w:ascii="Times New Roman" w:hAnsi="Times New Roman" w:eastAsia="宋体"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0.5</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0.6</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0.7</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0.8</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0.9</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1.0</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1.2</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1.3</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1.4</w:t>
            </w:r>
            <w:r>
              <w:rPr>
                <w:rFonts w:hint="eastAsia" w:ascii="Times New Roman" w:hAnsi="Times New Roman" w:eastAsia="宋体" w:cs="Times New Roman"/>
                <w:color w:val="auto"/>
                <w:kern w:val="0"/>
                <w:sz w:val="21"/>
                <w:szCs w:val="21"/>
                <w:highlight w:val="none"/>
                <w:lang w:val="en-US" w:eastAsia="zh-CN" w:bidi="ar"/>
              </w:rPr>
              <w:t>%、1</w:t>
            </w:r>
            <w:r>
              <w:rPr>
                <w:rFonts w:ascii="Times New Roman" w:hAnsi="Times New Roman" w:eastAsia="宋体" w:cs="Times New Roman"/>
                <w:color w:val="auto"/>
                <w:kern w:val="0"/>
                <w:sz w:val="21"/>
                <w:szCs w:val="21"/>
                <w:highlight w:val="none"/>
                <w:lang w:val="en-US" w:eastAsia="zh-CN" w:bidi="ar"/>
              </w:rPr>
              <w:t>.5</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7</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8</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9</w:t>
            </w:r>
            <w:r>
              <w:rPr>
                <w:rFonts w:hint="eastAsia" w:ascii="Times New Roman" w:hAnsi="Times New Roman" w:eastAsia="宋体" w:cs="Times New Roman"/>
                <w:color w:val="auto"/>
                <w:kern w:val="0"/>
                <w:sz w:val="21"/>
                <w:szCs w:val="21"/>
                <w:highlight w:val="none"/>
                <w:lang w:val="en-US" w:eastAsia="zh-CN" w:bidi="ar"/>
              </w:rPr>
              <w:t>%、</w:t>
            </w:r>
            <w:r>
              <w:rPr>
                <w:rFonts w:ascii="Times New Roman" w:hAnsi="Times New Roman" w:eastAsia="宋体"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%等</w:t>
            </w:r>
            <w:r>
              <w:rPr>
                <w:rFonts w:ascii="Times New Roman" w:hAnsi="Times New Roman" w:eastAsia="宋体" w:cs="Times New Roman"/>
                <w:color w:val="auto"/>
                <w:kern w:val="0"/>
                <w:sz w:val="21"/>
                <w:szCs w:val="21"/>
                <w:highlight w:val="none"/>
                <w:lang w:val="en-US" w:eastAsia="zh-CN" w:bidi="ar"/>
              </w:rPr>
              <w:t>21</w:t>
            </w:r>
            <w:r>
              <w:rPr>
                <w:rFonts w:hint="eastAsia" w:ascii="Times New Roman" w:hAnsi="Times New Roman" w:eastAsia="宋体" w:cs="Times New Roman"/>
                <w:color w:val="auto"/>
                <w:kern w:val="0"/>
                <w:sz w:val="21"/>
                <w:szCs w:val="21"/>
                <w:highlight w:val="none"/>
                <w:lang w:val="en-US" w:eastAsia="zh-CN" w:bidi="ar"/>
              </w:rPr>
              <w:t>个系数中随机抽取。</w:t>
            </w:r>
          </w:p>
        </w:tc>
      </w:tr>
      <w:tr w14:paraId="561BC5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0CEE70E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6DE566A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7D9F6DC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偏差率=100% ×（投标人评标价－评标基准价）/评标基准价</w:t>
            </w:r>
          </w:p>
          <w:p w14:paraId="5A7A313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偏差率保留</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7</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位小数</w:t>
            </w:r>
          </w:p>
        </w:tc>
      </w:tr>
      <w:tr w14:paraId="53F570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05294D3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5351484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46E0F73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评分标准</w:t>
            </w:r>
          </w:p>
        </w:tc>
      </w:tr>
      <w:tr w14:paraId="28407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752CBDD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38D2874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41CFAEB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100分</w:t>
            </w:r>
          </w:p>
          <w:p w14:paraId="2EA0B17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评标价得分计算公式示例：</w:t>
            </w:r>
          </w:p>
          <w:p w14:paraId="4791B86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（1）如果投标人的评标价&gt;评标基准价，则评标价得分＝100－偏差率×100×</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w:t>
            </w:r>
          </w:p>
          <w:p w14:paraId="51010EE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（2）如果投标人的评标价≤评标基准价，则评标价得分＝100＋偏差率×100×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w:t>
            </w:r>
          </w:p>
        </w:tc>
      </w:tr>
      <w:tr w14:paraId="00D02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1947F03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需要补充的其他内容：</w:t>
            </w:r>
          </w:p>
        </w:tc>
      </w:tr>
      <w:tr w14:paraId="6A12F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shd w:val="clear" w:color="auto" w:fill="auto"/>
            <w:noWrap w:val="0"/>
            <w:vAlign w:val="center"/>
          </w:tcPr>
          <w:p w14:paraId="17E54255">
            <w:pPr>
              <w:snapToGrid w:val="0"/>
              <w:spacing w:line="400" w:lineRule="exact"/>
              <w:jc w:val="center"/>
              <w:rPr>
                <w:rFonts w:hint="default" w:ascii="宋体" w:hAnsi="宋体" w:eastAsia="宋体" w:cs="Times New Roman"/>
                <w:b/>
                <w:bCs/>
                <w:kern w:val="2"/>
                <w:sz w:val="21"/>
                <w:szCs w:val="21"/>
                <w:lang w:val="en-US" w:eastAsia="zh-CN" w:bidi="ar-SA"/>
              </w:rPr>
            </w:pPr>
            <w:r>
              <w:rPr>
                <w:rFonts w:ascii="宋体" w:hAnsi="宋体"/>
                <w:b/>
                <w:bCs/>
                <w:szCs w:val="21"/>
              </w:rPr>
              <w:t>条款号</w:t>
            </w:r>
          </w:p>
        </w:tc>
        <w:tc>
          <w:tcPr>
            <w:tcW w:w="6604" w:type="dxa"/>
            <w:gridSpan w:val="2"/>
            <w:tcBorders>
              <w:top w:val="single" w:color="auto" w:sz="4" w:space="0"/>
              <w:bottom w:val="single" w:color="auto" w:sz="4" w:space="0"/>
              <w:right w:val="single" w:color="auto" w:sz="4" w:space="0"/>
            </w:tcBorders>
            <w:shd w:val="clear" w:color="auto" w:fill="auto"/>
            <w:noWrap w:val="0"/>
            <w:vAlign w:val="center"/>
          </w:tcPr>
          <w:p w14:paraId="652EF47B">
            <w:pPr>
              <w:snapToGrid w:val="0"/>
              <w:spacing w:line="400" w:lineRule="exact"/>
              <w:jc w:val="center"/>
              <w:rPr>
                <w:rFonts w:hint="default" w:ascii="宋体" w:hAnsi="宋体" w:eastAsia="宋体" w:cs="Times New Roman"/>
                <w:b/>
                <w:bCs/>
                <w:kern w:val="2"/>
                <w:sz w:val="21"/>
                <w:szCs w:val="21"/>
                <w:lang w:val="en-US" w:eastAsia="zh-CN" w:bidi="ar-SA"/>
              </w:rPr>
            </w:pPr>
            <w:r>
              <w:rPr>
                <w:rFonts w:ascii="宋体" w:hAnsi="宋体"/>
                <w:b/>
                <w:bCs/>
                <w:szCs w:val="21"/>
              </w:rPr>
              <w:t>编列内容</w:t>
            </w:r>
          </w:p>
        </w:tc>
      </w:tr>
      <w:tr w14:paraId="1538B9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gridSpan w:val="3"/>
            <w:shd w:val="clear" w:color="auto" w:fill="auto"/>
            <w:vAlign w:val="center"/>
          </w:tcPr>
          <w:p w14:paraId="6F1DEE7E">
            <w:pPr>
              <w:snapToGrid w:val="0"/>
              <w:spacing w:line="400" w:lineRule="exact"/>
              <w:jc w:val="center"/>
              <w:rPr>
                <w:rFonts w:hint="default" w:ascii="宋体" w:hAnsi="宋体" w:eastAsia="宋体" w:cs="Times New Roman"/>
                <w:b/>
                <w:bCs/>
                <w:kern w:val="2"/>
                <w:sz w:val="21"/>
                <w:szCs w:val="21"/>
                <w:lang w:val="en-US" w:eastAsia="zh-CN" w:bidi="ar-SA"/>
              </w:rPr>
            </w:pPr>
            <w:r>
              <w:rPr>
                <w:rFonts w:ascii="宋体" w:hAnsi="宋体"/>
                <w:szCs w:val="21"/>
              </w:rPr>
              <w:t>1</w:t>
            </w:r>
          </w:p>
        </w:tc>
        <w:tc>
          <w:tcPr>
            <w:tcW w:w="0" w:type="auto"/>
            <w:gridSpan w:val="2"/>
            <w:shd w:val="clear" w:color="auto" w:fill="auto"/>
            <w:vAlign w:val="center"/>
          </w:tcPr>
          <w:p w14:paraId="155F846E">
            <w:pPr>
              <w:spacing w:line="400" w:lineRule="exact"/>
              <w:ind w:left="55" w:leftChars="26" w:right="118" w:rightChars="56" w:firstLine="420" w:firstLineChars="200"/>
              <w:rPr>
                <w:rFonts w:hint="eastAsia"/>
                <w:color w:val="FF0000"/>
                <w:szCs w:val="21"/>
              </w:rPr>
            </w:pPr>
            <w:r>
              <w:rPr>
                <w:rFonts w:hint="eastAsia"/>
                <w:color w:val="FF0000"/>
                <w:szCs w:val="21"/>
              </w:rPr>
              <w:t>在投标报价开标前，随机确定一种标准文件规定的评标基准价计算方案（分区加权法、首尾去值法、随机步距法）</w:t>
            </w:r>
          </w:p>
          <w:p w14:paraId="6EFE85C9">
            <w:pPr>
              <w:spacing w:line="400" w:lineRule="exact"/>
              <w:ind w:left="55" w:leftChars="26" w:right="118" w:rightChars="56" w:firstLine="420" w:firstLineChars="200"/>
              <w:rPr>
                <w:rFonts w:ascii="宋体" w:hAnsi="宋体"/>
                <w:szCs w:val="21"/>
              </w:rPr>
            </w:pPr>
            <w:r>
              <w:rPr>
                <w:rFonts w:ascii="宋体" w:hAnsi="宋体"/>
                <w:szCs w:val="21"/>
              </w:rPr>
              <w:t>1.评标办法</w:t>
            </w:r>
          </w:p>
          <w:p w14:paraId="49280D61">
            <w:pPr>
              <w:spacing w:line="400" w:lineRule="exact"/>
              <w:ind w:firstLine="420" w:firstLineChars="200"/>
              <w:rPr>
                <w:rFonts w:ascii="宋体" w:hAnsi="宋体"/>
                <w:szCs w:val="21"/>
              </w:rPr>
            </w:pPr>
            <w:r>
              <w:rPr>
                <w:rFonts w:ascii="宋体" w:hAnsi="宋体"/>
                <w:szCs w:val="21"/>
              </w:rPr>
              <w:t>本条细化为：</w:t>
            </w:r>
          </w:p>
          <w:p w14:paraId="29EBD8AA">
            <w:pPr>
              <w:spacing w:line="400" w:lineRule="exact"/>
              <w:ind w:firstLine="420" w:firstLineChars="200"/>
              <w:rPr>
                <w:rFonts w:ascii="宋体" w:hAnsi="宋体"/>
                <w:szCs w:val="21"/>
              </w:rPr>
            </w:pPr>
            <w:r>
              <w:rPr>
                <w:rFonts w:hint="eastAsia" w:ascii="宋体" w:hAnsi="宋体"/>
                <w:szCs w:val="21"/>
              </w:rPr>
              <w:t>1.1本次评标采用</w:t>
            </w:r>
            <w:r>
              <w:rPr>
                <w:rFonts w:hint="eastAsia" w:ascii="宋体" w:hAnsi="宋体"/>
                <w:b/>
                <w:bCs/>
                <w:szCs w:val="21"/>
                <w:u w:val="single"/>
              </w:rPr>
              <w:t>双信封合理低价法</w:t>
            </w:r>
            <w:r>
              <w:rPr>
                <w:rFonts w:hint="eastAsia" w:ascii="宋体" w:hAnsi="宋体"/>
                <w:szCs w:val="21"/>
              </w:rPr>
              <w:t>。</w:t>
            </w:r>
          </w:p>
          <w:p w14:paraId="57919BB8">
            <w:pPr>
              <w:adjustRightInd w:val="0"/>
              <w:snapToGrid w:val="0"/>
              <w:spacing w:line="400" w:lineRule="exact"/>
              <w:ind w:firstLine="420" w:firstLineChars="200"/>
              <w:rPr>
                <w:rFonts w:ascii="宋体" w:hAnsi="宋体"/>
                <w:szCs w:val="21"/>
              </w:rPr>
            </w:pPr>
            <w:r>
              <w:rPr>
                <w:rFonts w:hint="eastAsia" w:ascii="宋体" w:hAnsi="宋体"/>
                <w:szCs w:val="21"/>
              </w:rPr>
              <w:t>1.1.1评标委员会首先对第一个信封（商务及技术文件）进行初步评审（形式评审与响应性评审、资格评审），通过第一个信封初步评审的投标人，进入第二个信封（报价文件）开标。第二个信封在监督机关的监督下进行开标，未通过第一个信封初步评审的投标人的投标文件将被否决投标，其第二个信封原封不参与开标。</w:t>
            </w:r>
          </w:p>
          <w:p w14:paraId="589E647A">
            <w:pPr>
              <w:adjustRightInd w:val="0"/>
              <w:snapToGrid w:val="0"/>
              <w:spacing w:line="400" w:lineRule="exact"/>
              <w:ind w:firstLine="420" w:firstLineChars="200"/>
              <w:rPr>
                <w:rFonts w:ascii="宋体" w:hAnsi="宋体"/>
                <w:szCs w:val="21"/>
              </w:rPr>
            </w:pPr>
            <w:r>
              <w:rPr>
                <w:rFonts w:hint="eastAsia" w:ascii="宋体" w:hAnsi="宋体"/>
                <w:szCs w:val="21"/>
              </w:rPr>
              <w:t>1.1.2评标委员会对投标文件第二个信封进行形式和响应性评审，未通过第二个信封形式和响应性评审的投标文件将被否决投标；若所有投标文件均未通过第二个信封的形式和响应性评审，招标人将重新招标。评标委员会对通过第二个信封形式和响应性评审的投标文件，按照本章第2.2款规定的评分标准进行评分，然后按评标价得分由高到低顺序推荐中标候选人，但投标报价低于其成本的除外。</w:t>
            </w:r>
          </w:p>
          <w:p w14:paraId="79833DB6">
            <w:pPr>
              <w:adjustRightInd w:val="0"/>
              <w:snapToGrid w:val="0"/>
              <w:spacing w:line="400" w:lineRule="exact"/>
              <w:ind w:firstLine="420" w:firstLineChars="200"/>
              <w:rPr>
                <w:rFonts w:ascii="宋体" w:hAnsi="宋体"/>
                <w:szCs w:val="21"/>
                <w:highlight w:val="none"/>
              </w:rPr>
            </w:pPr>
            <w:r>
              <w:rPr>
                <w:rFonts w:hint="eastAsia" w:ascii="宋体" w:hAnsi="宋体"/>
                <w:szCs w:val="21"/>
                <w:highlight w:val="none"/>
              </w:rPr>
              <w:t>1.1.3当两家及以上投标人在标段中的评标价得分相等时，评标委员会依次按照以下因素及原则推荐排序（序号在前的因素优先）：</w:t>
            </w:r>
          </w:p>
          <w:p w14:paraId="46DA7F08">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（1）以投标价较低者优先；</w:t>
            </w:r>
          </w:p>
          <w:p w14:paraId="648B47AC">
            <w:pPr>
              <w:adjustRightInd w:val="0"/>
              <w:snapToGrid w:val="0"/>
              <w:spacing w:line="400" w:lineRule="exact"/>
              <w:ind w:firstLine="420" w:firstLineChars="200"/>
              <w:rPr>
                <w:rFonts w:hint="eastAsia" w:ascii="宋体" w:hAnsi="宋体"/>
                <w:color w:val="FF0000"/>
                <w:szCs w:val="21"/>
                <w:highlight w:val="none"/>
              </w:rPr>
            </w:pPr>
            <w:r>
              <w:rPr>
                <w:rFonts w:hint="eastAsia" w:ascii="宋体" w:hAnsi="宋体"/>
                <w:szCs w:val="21"/>
                <w:highlight w:val="none"/>
              </w:rPr>
              <w:t>（2）当两家及以上投标人的最终得分相等且投标价也相等时，则以各投标人公路施工企业信用等级评价较高者优先</w:t>
            </w:r>
            <w:r>
              <w:rPr>
                <w:rFonts w:hint="eastAsia" w:ascii="宋体" w:hAnsi="宋体"/>
                <w:color w:val="FF0000"/>
                <w:szCs w:val="21"/>
                <w:highlight w:val="none"/>
              </w:rPr>
              <w:t>。</w:t>
            </w:r>
          </w:p>
          <w:p w14:paraId="1C881ED0">
            <w:pPr>
              <w:adjustRightInd w:val="0"/>
              <w:snapToGrid w:val="0"/>
              <w:spacing w:line="400" w:lineRule="exact"/>
              <w:ind w:firstLine="420" w:firstLineChars="200"/>
              <w:rPr>
                <w:rFonts w:hint="default" w:ascii="宋体" w:hAnsi="宋体" w:eastAsia="宋体" w:cs="Times New Roman"/>
                <w:b/>
                <w:bCs/>
                <w:kern w:val="2"/>
                <w:sz w:val="21"/>
                <w:szCs w:val="21"/>
                <w:lang w:val="en-US" w:eastAsia="zh-CN" w:bidi="ar-SA"/>
              </w:rPr>
            </w:pPr>
            <w:r>
              <w:rPr>
                <w:rFonts w:hint="eastAsia" w:ascii="宋体" w:hAnsi="宋体"/>
                <w:szCs w:val="21"/>
                <w:highlight w:val="none"/>
              </w:rPr>
              <w:t>（</w:t>
            </w:r>
            <w:r>
              <w:rPr>
                <w:rFonts w:hint="eastAsia" w:ascii="宋体" w:hAnsi="宋体"/>
                <w:color w:val="auto"/>
                <w:szCs w:val="21"/>
                <w:highlight w:val="none"/>
              </w:rPr>
              <w:t>3）优先顺序为为辽宁省公路施工企业信用评价结果、交通运输部公路施工企业信用评价结果、企业注册地公路施工企业信用评价结果，若信用等级相同，则由评标委员会根据</w:t>
            </w:r>
            <w:r>
              <w:rPr>
                <w:rFonts w:ascii="Calibri" w:hAnsi="Calibri" w:cs="Calibri"/>
                <w:color w:val="auto"/>
                <w:szCs w:val="21"/>
                <w:highlight w:val="none"/>
              </w:rPr>
              <w:t>①</w:t>
            </w:r>
            <w:r>
              <w:rPr>
                <w:rFonts w:hint="eastAsia" w:ascii="宋体" w:hAnsi="宋体"/>
                <w:color w:val="auto"/>
                <w:szCs w:val="21"/>
                <w:highlight w:val="none"/>
              </w:rPr>
              <w:t>项目经理资格条件（建造师级别、业绩数量）</w:t>
            </w:r>
            <w:r>
              <w:rPr>
                <w:rFonts w:ascii="Calibri" w:hAnsi="Calibri" w:cs="Calibri"/>
                <w:color w:val="auto"/>
                <w:szCs w:val="21"/>
                <w:highlight w:val="none"/>
              </w:rPr>
              <w:t>②</w:t>
            </w:r>
            <w:r>
              <w:rPr>
                <w:rFonts w:hint="eastAsia" w:ascii="宋体" w:hAnsi="宋体"/>
                <w:color w:val="auto"/>
                <w:szCs w:val="21"/>
                <w:highlight w:val="none"/>
              </w:rPr>
              <w:t>项目总工资格条件（职称证级别、业绩数量）</w:t>
            </w:r>
            <w:r>
              <w:rPr>
                <w:rFonts w:ascii="Calibri" w:hAnsi="Calibri" w:cs="Calibri"/>
                <w:color w:val="auto"/>
                <w:szCs w:val="21"/>
                <w:highlight w:val="none"/>
              </w:rPr>
              <w:t>③</w:t>
            </w:r>
            <w:r>
              <w:rPr>
                <w:rFonts w:hint="eastAsia" w:ascii="宋体" w:hAnsi="宋体"/>
                <w:color w:val="auto"/>
                <w:szCs w:val="21"/>
                <w:highlight w:val="none"/>
              </w:rPr>
              <w:t>施工组织设计的优劣推荐顺序。</w:t>
            </w:r>
          </w:p>
        </w:tc>
      </w:tr>
      <w:tr w14:paraId="1B25A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gridSpan w:val="3"/>
            <w:shd w:val="clear" w:color="auto" w:fill="auto"/>
            <w:vAlign w:val="center"/>
          </w:tcPr>
          <w:p w14:paraId="4B64889F">
            <w:pPr>
              <w:snapToGrid w:val="0"/>
              <w:spacing w:line="400" w:lineRule="exact"/>
              <w:jc w:val="center"/>
              <w:rPr>
                <w:rFonts w:hint="default" w:ascii="宋体" w:hAnsi="宋体" w:eastAsia="宋体" w:cs="Times New Roman"/>
                <w:b/>
                <w:bCs/>
                <w:kern w:val="2"/>
                <w:sz w:val="21"/>
                <w:szCs w:val="21"/>
                <w:lang w:val="en-US" w:eastAsia="zh-CN" w:bidi="ar-SA"/>
              </w:rPr>
            </w:pPr>
            <w:r>
              <w:rPr>
                <w:rFonts w:hint="eastAsia" w:ascii="宋体" w:hAnsi="宋体"/>
                <w:szCs w:val="21"/>
              </w:rPr>
              <w:t>2</w:t>
            </w:r>
          </w:p>
        </w:tc>
        <w:tc>
          <w:tcPr>
            <w:tcW w:w="0" w:type="auto"/>
            <w:gridSpan w:val="2"/>
            <w:shd w:val="clear" w:color="auto" w:fill="auto"/>
            <w:vAlign w:val="center"/>
          </w:tcPr>
          <w:p w14:paraId="7BFF9C41">
            <w:pPr>
              <w:snapToGrid w:val="0"/>
              <w:spacing w:line="400" w:lineRule="exact"/>
              <w:ind w:left="55" w:leftChars="26" w:right="118" w:rightChars="56" w:firstLine="420" w:firstLineChars="200"/>
              <w:rPr>
                <w:rFonts w:ascii="宋体" w:hAnsi="宋体"/>
                <w:szCs w:val="21"/>
              </w:rPr>
            </w:pPr>
            <w:r>
              <w:rPr>
                <w:rFonts w:ascii="宋体" w:hAnsi="宋体"/>
                <w:szCs w:val="21"/>
              </w:rPr>
              <w:t>第</w:t>
            </w:r>
            <w:r>
              <w:rPr>
                <w:rFonts w:hint="eastAsia" w:ascii="宋体" w:hAnsi="宋体"/>
                <w:szCs w:val="21"/>
              </w:rPr>
              <w:t>2</w:t>
            </w:r>
            <w:r>
              <w:rPr>
                <w:rFonts w:ascii="宋体" w:hAnsi="宋体"/>
                <w:szCs w:val="21"/>
              </w:rPr>
              <w:t>.4项细化为：</w:t>
            </w:r>
          </w:p>
          <w:p w14:paraId="25087E01">
            <w:pPr>
              <w:snapToGrid w:val="0"/>
              <w:spacing w:line="400" w:lineRule="exact"/>
              <w:ind w:left="55" w:leftChars="26" w:right="118" w:rightChars="56" w:firstLine="420" w:firstLineChars="200"/>
              <w:rPr>
                <w:rFonts w:ascii="宋体" w:hAnsi="宋体"/>
                <w:szCs w:val="21"/>
              </w:rPr>
            </w:pPr>
            <w:r>
              <w:rPr>
                <w:rFonts w:hint="eastAsia" w:ascii="宋体" w:hAnsi="宋体"/>
                <w:szCs w:val="21"/>
              </w:rPr>
              <w:t>2</w:t>
            </w:r>
            <w:r>
              <w:rPr>
                <w:rFonts w:ascii="宋体" w:hAnsi="宋体"/>
                <w:szCs w:val="21"/>
              </w:rPr>
              <w:t xml:space="preserve">.4评标结果 </w:t>
            </w:r>
          </w:p>
          <w:p w14:paraId="75C30F18">
            <w:pPr>
              <w:snapToGrid w:val="0"/>
              <w:spacing w:line="400" w:lineRule="exact"/>
              <w:ind w:left="55" w:leftChars="26" w:right="118" w:rightChars="56" w:firstLine="420" w:firstLineChars="200"/>
              <w:rPr>
                <w:rFonts w:ascii="宋体" w:hAnsi="宋体"/>
                <w:szCs w:val="21"/>
              </w:rPr>
            </w:pPr>
            <w:r>
              <w:rPr>
                <w:rFonts w:hint="eastAsia" w:ascii="宋体" w:hAnsi="宋体"/>
                <w:szCs w:val="21"/>
              </w:rPr>
              <w:t>2</w:t>
            </w:r>
            <w:r>
              <w:rPr>
                <w:rFonts w:ascii="宋体" w:hAnsi="宋体"/>
                <w:szCs w:val="21"/>
              </w:rPr>
              <w:t>.4.1评标委员会按照本章第1条评标方法的规定推荐中标候选人。</w:t>
            </w:r>
          </w:p>
          <w:p w14:paraId="5828C16A">
            <w:pPr>
              <w:spacing w:line="400" w:lineRule="exact"/>
              <w:ind w:left="55" w:leftChars="26" w:right="118" w:rightChars="56" w:firstLine="420" w:firstLineChars="200"/>
              <w:rPr>
                <w:rFonts w:hint="default" w:ascii="宋体" w:hAnsi="宋体" w:eastAsia="宋体" w:cs="Times New Roman"/>
                <w:b/>
                <w:bCs/>
                <w:kern w:val="2"/>
                <w:sz w:val="21"/>
                <w:szCs w:val="21"/>
                <w:lang w:val="en-US" w:eastAsia="zh-CN" w:bidi="ar-SA"/>
              </w:rPr>
            </w:pPr>
            <w:r>
              <w:rPr>
                <w:rFonts w:hint="eastAsia" w:ascii="宋体" w:hAnsi="宋体"/>
                <w:szCs w:val="21"/>
              </w:rPr>
              <w:t>2</w:t>
            </w:r>
            <w:r>
              <w:rPr>
                <w:rFonts w:ascii="宋体" w:hAnsi="宋体"/>
                <w:szCs w:val="21"/>
              </w:rPr>
              <w:t>.4.2 评标委员会完成评标后，应当向招标人提交书面评标报告。评标报告由评标委员会全体成员签字。对评标结论持有异议的评标委员会成员可以书面方式阐述其不同意见和理由。评标委员会成员拒绝在评标报告上签字且不陈述其不同意见和理由的，视为同意评标结论。</w:t>
            </w:r>
          </w:p>
        </w:tc>
      </w:tr>
    </w:tbl>
    <w:p w14:paraId="35C7202B">
      <w:pPr>
        <w:pStyle w:val="2"/>
        <w:pageBreakBefore w:val="0"/>
        <w:kinsoku/>
        <w:wordWrap w:val="0"/>
        <w:bidi w:val="0"/>
        <w:spacing w:before="240" w:after="240" w:line="24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0"/>
          <w:szCs w:val="20"/>
          <w:highlight w:val="none"/>
        </w:rPr>
        <w:br w:type="page"/>
      </w:r>
      <w:bookmarkStart w:id="379" w:name="_Toc12557"/>
      <w:bookmarkStart w:id="380" w:name="_Toc234832933"/>
      <w:bookmarkStart w:id="381" w:name="_Toc15748"/>
      <w:bookmarkStart w:id="382" w:name="_Toc20703"/>
      <w:r>
        <w:rPr>
          <w:rFonts w:hint="default" w:ascii="Times New Roman" w:hAnsi="Times New Roman" w:eastAsia="黑体" w:cs="Times New Roman"/>
          <w:b w:val="0"/>
          <w:color w:val="auto"/>
          <w:sz w:val="28"/>
          <w:szCs w:val="28"/>
          <w:highlight w:val="none"/>
        </w:rPr>
        <w:t>1. 评标方法</w:t>
      </w:r>
      <w:bookmarkEnd w:id="379"/>
      <w:bookmarkEnd w:id="380"/>
      <w:bookmarkEnd w:id="381"/>
      <w:bookmarkEnd w:id="382"/>
    </w:p>
    <w:p w14:paraId="6F3DEF4A">
      <w:pPr>
        <w:pageBreakBefore w:val="0"/>
        <w:kinsoku/>
        <w:wordWrap w:val="0"/>
        <w:bidi w:val="0"/>
        <w:spacing w:line="400" w:lineRule="atLeast"/>
        <w:ind w:firstLine="480" w:firstLineChars="200"/>
        <w:rPr>
          <w:rFonts w:hint="default" w:ascii="Times New Roman" w:hAnsi="Times New Roman" w:eastAsia="华文隶书" w:cs="Times New Roman"/>
          <w:color w:val="auto"/>
          <w:sz w:val="24"/>
          <w:highlight w:val="none"/>
        </w:rPr>
      </w:pPr>
      <w:r>
        <w:rPr>
          <w:rFonts w:hint="default" w:ascii="Times New Roman" w:hAnsi="Times New Roman" w:eastAsia="宋体" w:cs="Times New Roman"/>
          <w:color w:val="auto"/>
          <w:sz w:val="24"/>
          <w:highlight w:val="none"/>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4030ECEC">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83" w:name="_Toc27850"/>
      <w:bookmarkStart w:id="384" w:name="_Toc234832934"/>
      <w:bookmarkStart w:id="385" w:name="_Toc8070"/>
      <w:bookmarkStart w:id="386" w:name="_Toc31114"/>
      <w:r>
        <w:rPr>
          <w:rFonts w:hint="default" w:ascii="Times New Roman" w:hAnsi="Times New Roman" w:eastAsia="黑体" w:cs="Times New Roman"/>
          <w:b w:val="0"/>
          <w:color w:val="auto"/>
          <w:sz w:val="28"/>
          <w:szCs w:val="28"/>
          <w:highlight w:val="none"/>
        </w:rPr>
        <w:t>2. 评审标准</w:t>
      </w:r>
      <w:bookmarkEnd w:id="383"/>
      <w:bookmarkEnd w:id="384"/>
      <w:bookmarkEnd w:id="385"/>
      <w:bookmarkEnd w:id="386"/>
    </w:p>
    <w:p w14:paraId="176FA0B4">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87" w:name="_Toc29160"/>
      <w:bookmarkStart w:id="388" w:name="_Toc234832935"/>
      <w:bookmarkStart w:id="389" w:name="_Toc12147"/>
      <w:bookmarkStart w:id="390" w:name="_Toc23903"/>
      <w:r>
        <w:rPr>
          <w:rFonts w:hint="default" w:ascii="Times New Roman" w:hAnsi="Times New Roman" w:eastAsia="黑体" w:cs="Times New Roman"/>
          <w:b w:val="0"/>
          <w:color w:val="auto"/>
          <w:sz w:val="24"/>
          <w:szCs w:val="24"/>
          <w:highlight w:val="none"/>
        </w:rPr>
        <w:t>2.1 初步评审标准</w:t>
      </w:r>
      <w:bookmarkEnd w:id="387"/>
      <w:bookmarkEnd w:id="388"/>
      <w:bookmarkEnd w:id="389"/>
      <w:bookmarkEnd w:id="390"/>
    </w:p>
    <w:p w14:paraId="16BFC1D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 形式评审标准：见评标办法前附表。</w:t>
      </w:r>
    </w:p>
    <w:p w14:paraId="18AA5D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 资格评审标准：见评标办法前附表。</w:t>
      </w:r>
    </w:p>
    <w:p w14:paraId="60837C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 响应性评审标准：见评标办法前附表。</w:t>
      </w:r>
    </w:p>
    <w:p w14:paraId="7F62624A">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91" w:name="_Toc24185"/>
      <w:bookmarkStart w:id="392" w:name="_Toc234832936"/>
      <w:bookmarkStart w:id="393" w:name="_Toc28400"/>
      <w:bookmarkStart w:id="394" w:name="_Toc25127"/>
      <w:r>
        <w:rPr>
          <w:rFonts w:hint="default" w:ascii="Times New Roman" w:hAnsi="Times New Roman" w:eastAsia="黑体" w:cs="Times New Roman"/>
          <w:b w:val="0"/>
          <w:color w:val="auto"/>
          <w:sz w:val="24"/>
          <w:szCs w:val="24"/>
          <w:highlight w:val="none"/>
        </w:rPr>
        <w:t>2.2 分值构成与评分标准</w:t>
      </w:r>
      <w:bookmarkEnd w:id="391"/>
      <w:bookmarkEnd w:id="392"/>
      <w:bookmarkEnd w:id="393"/>
      <w:bookmarkEnd w:id="394"/>
    </w:p>
    <w:p w14:paraId="17C6B721">
      <w:pPr>
        <w:pageBreakBefore w:val="0"/>
        <w:tabs>
          <w:tab w:val="left" w:pos="36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分值构成</w:t>
      </w:r>
    </w:p>
    <w:p w14:paraId="260309C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评标价：见评标办法前附表。</w:t>
      </w:r>
    </w:p>
    <w:p w14:paraId="101F91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评标基准价计算</w:t>
      </w:r>
    </w:p>
    <w:p w14:paraId="597F2BF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评标基准价计算方法：见评标办法前附表。</w:t>
      </w:r>
    </w:p>
    <w:p w14:paraId="3ADF5D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 评标价的偏差率计算</w:t>
      </w:r>
    </w:p>
    <w:p w14:paraId="34F17E8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评标价的偏差率计算公式：见评标办法前附表。</w:t>
      </w:r>
    </w:p>
    <w:p w14:paraId="44E5071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评分标准</w:t>
      </w:r>
    </w:p>
    <w:p w14:paraId="06B35AB1">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评标价评分标准：见评标办法前附表。</w:t>
      </w:r>
    </w:p>
    <w:p w14:paraId="300130BC">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95" w:name="_Toc24625"/>
      <w:bookmarkStart w:id="396" w:name="_Toc234832937"/>
      <w:bookmarkStart w:id="397" w:name="_Toc17186"/>
      <w:bookmarkStart w:id="398" w:name="_Toc26597"/>
      <w:r>
        <w:rPr>
          <w:rFonts w:hint="default" w:ascii="Times New Roman" w:hAnsi="Times New Roman" w:eastAsia="黑体" w:cs="Times New Roman"/>
          <w:b w:val="0"/>
          <w:color w:val="auto"/>
          <w:sz w:val="28"/>
          <w:szCs w:val="28"/>
          <w:highlight w:val="none"/>
        </w:rPr>
        <w:t>3. 评标程序</w:t>
      </w:r>
      <w:bookmarkEnd w:id="395"/>
      <w:bookmarkEnd w:id="396"/>
      <w:bookmarkEnd w:id="397"/>
      <w:bookmarkEnd w:id="398"/>
    </w:p>
    <w:p w14:paraId="232687F0">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99" w:name="_Toc21337"/>
      <w:bookmarkStart w:id="400" w:name="_Toc234832938"/>
      <w:bookmarkStart w:id="401" w:name="_Toc12133"/>
      <w:bookmarkStart w:id="402" w:name="_Toc10579"/>
      <w:r>
        <w:rPr>
          <w:rFonts w:hint="default" w:ascii="Times New Roman" w:hAnsi="Times New Roman" w:eastAsia="黑体" w:cs="Times New Roman"/>
          <w:b w:val="0"/>
          <w:color w:val="auto"/>
          <w:sz w:val="24"/>
          <w:szCs w:val="24"/>
          <w:highlight w:val="none"/>
        </w:rPr>
        <w:t>3.1</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第一个信封初步评审</w:t>
      </w:r>
      <w:bookmarkEnd w:id="399"/>
      <w:bookmarkEnd w:id="400"/>
      <w:bookmarkEnd w:id="401"/>
      <w:bookmarkEnd w:id="402"/>
    </w:p>
    <w:p w14:paraId="2EC1E7F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评标委员会依据本章第2.1款规定的评审标准对投标文件第一个信封（商务及技术文件）进行初步评审。有一项不符合评审标准的，评标委员会应否决其投标。</w:t>
      </w:r>
    </w:p>
    <w:p w14:paraId="142A450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 投标文件的标的、质量标准、工期等实质性要求和条件不得出现（存在）不利于招标人的偏差，否则，评标委员会应否决其投标。</w:t>
      </w:r>
    </w:p>
    <w:p w14:paraId="10A531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 如果通过第一信封评审的有效投标不足3个，评标委员会应当对有效投标是否仍具有竞争性进行评审。评标委员会一致认为有效投标仍具有竞争性的，应当按规定的程序进行第二信封报价文件的评审，并在报告中予以说明。评标委员会对有效投标是否仍具备竞争性无法达成一致意见的，应当否决全部投标。</w:t>
      </w:r>
    </w:p>
    <w:p w14:paraId="350D281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p w14:paraId="55E921DE">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3" w:name="_Toc5399"/>
      <w:bookmarkStart w:id="404" w:name="_Toc13086"/>
      <w:bookmarkStart w:id="405" w:name="_Toc20429"/>
      <w:r>
        <w:rPr>
          <w:rFonts w:hint="default" w:ascii="Times New Roman" w:hAnsi="Times New Roman" w:eastAsia="黑体" w:cs="Times New Roman"/>
          <w:b w:val="0"/>
          <w:color w:val="auto"/>
          <w:sz w:val="24"/>
          <w:szCs w:val="24"/>
          <w:highlight w:val="none"/>
        </w:rPr>
        <w:t>3.2</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第二个信封开标</w:t>
      </w:r>
      <w:bookmarkEnd w:id="403"/>
      <w:bookmarkEnd w:id="404"/>
      <w:bookmarkEnd w:id="405"/>
    </w:p>
    <w:p w14:paraId="2A16C45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第一个信封（商务及技术文件）评审结束后，招标人将按照第二章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第5.1款规定的时间和地点对通过投标文件第一个信封（商务及技术文件）评审的投标文件第二个信封（报价文件）进行开标。</w:t>
      </w:r>
    </w:p>
    <w:p w14:paraId="56440F4C">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6" w:name="_Toc25423"/>
      <w:bookmarkStart w:id="407" w:name="_Toc18266"/>
      <w:bookmarkStart w:id="408" w:name="_Toc6484"/>
      <w:r>
        <w:rPr>
          <w:rFonts w:hint="default" w:ascii="Times New Roman" w:hAnsi="Times New Roman" w:eastAsia="黑体" w:cs="Times New Roman"/>
          <w:b w:val="0"/>
          <w:color w:val="auto"/>
          <w:sz w:val="24"/>
          <w:szCs w:val="24"/>
          <w:highlight w:val="none"/>
        </w:rPr>
        <w:t>3.3</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第二个信封初步评审</w:t>
      </w:r>
      <w:bookmarkEnd w:id="406"/>
      <w:bookmarkEnd w:id="407"/>
      <w:bookmarkEnd w:id="408"/>
    </w:p>
    <w:p w14:paraId="106B1F7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评标委员会依据本章第2.1.1项、第2.1.3项规定的评审标准对投标文件第二个信封（报价文件）进行初步评审。有一项不符合评审标准的，评标委员会应否决其投标。</w:t>
      </w:r>
    </w:p>
    <w:p w14:paraId="49F45C8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w:t>
      </w:r>
      <w:r>
        <w:rPr>
          <w:rFonts w:hint="default" w:ascii="Times New Roman" w:hAnsi="Times New Roman" w:eastAsia="宋体" w:cs="Times New Roman"/>
          <w:color w:val="auto"/>
          <w:highlight w:val="none"/>
          <w:vertAlign w:val="superscript"/>
        </w:rPr>
        <w:footnoteReference w:id="31"/>
      </w:r>
      <w:r>
        <w:rPr>
          <w:rFonts w:hint="default" w:ascii="Times New Roman" w:hAnsi="Times New Roman" w:eastAsia="宋体" w:cs="Times New Roman"/>
          <w:color w:val="auto"/>
          <w:sz w:val="24"/>
          <w:highlight w:val="none"/>
        </w:rPr>
        <w:t xml:space="preserve"> 投标报价有算术错误的，评标委员会按以下原则对投标报价进行修正，修正的价格经投标人书面确认后具有约束力。投标人不接受修正价格的，评标委员会应否决其投标。</w:t>
      </w:r>
    </w:p>
    <w:p w14:paraId="6BBCDC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（1）投标文件中的大写金额与小写金额不一致的，以大写金额为准；</w:t>
      </w:r>
    </w:p>
    <w:p w14:paraId="63270ED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（2）总价金额与依据单价计算出的结果不一致的，以单价金额为准修正总价，但单价金额小数点有明显错误的除外；</w:t>
      </w:r>
    </w:p>
    <w:p w14:paraId="5B478B8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（3）当单价与数量相乘不等于合价时，以单价计算为准，如果单价有明显的小数点位置差错，应以标出的合价为准，同时对单价予以修正；</w:t>
      </w:r>
    </w:p>
    <w:p w14:paraId="26742BF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（4）当各子目的合价累计不等于总价时，应以各子目合价累计数为准，修正总价。</w:t>
      </w:r>
    </w:p>
    <w:p w14:paraId="2BB1F8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工程量清单中的投标报价有其他错误的，评标委员会按以下原则对投标报价进行修正，修正的价格经投标人书面确认后具有约束力。投标人不接受修正价格的，评标委员会应否决其投标。</w:t>
      </w:r>
    </w:p>
    <w:p w14:paraId="179CF2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118F5A0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09C5309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（3）当单价与数量的乘积与合价（金额）虽然一致，但投标人修改了该子目的工程数量，则其合价按招标人给定的工程数量乘以投标人所报单价予以修正。</w:t>
      </w:r>
    </w:p>
    <w:p w14:paraId="58986E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3.3.4 修正后的最终投标报价若超过最高投标限价（如有），评标委员会应否决其投标。</w:t>
      </w:r>
    </w:p>
    <w:p w14:paraId="37420DE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3.3.5 修正后的最终投标报价仅作为签订合同的一个依据，不参与评标价得分的计算。</w:t>
      </w:r>
    </w:p>
    <w:p w14:paraId="58788A4F">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9" w:name="_Toc32333"/>
      <w:bookmarkStart w:id="410" w:name="_Toc234832939"/>
      <w:bookmarkStart w:id="411" w:name="_Toc605"/>
      <w:bookmarkStart w:id="412" w:name="_Toc21488"/>
      <w:r>
        <w:rPr>
          <w:rFonts w:hint="default" w:ascii="Times New Roman" w:hAnsi="Times New Roman" w:eastAsia="黑体" w:cs="Times New Roman"/>
          <w:b w:val="0"/>
          <w:color w:val="auto"/>
          <w:sz w:val="24"/>
          <w:szCs w:val="24"/>
          <w:highlight w:val="none"/>
        </w:rPr>
        <w:t>3.4</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第二个信封详细评审</w:t>
      </w:r>
      <w:bookmarkEnd w:id="409"/>
      <w:bookmarkEnd w:id="410"/>
      <w:bookmarkEnd w:id="411"/>
      <w:bookmarkEnd w:id="412"/>
    </w:p>
    <w:p w14:paraId="722FBEF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评标委员会按本章第2.2款规定的量化因素和分值进行打分，并计算出综合评估得分（即评标价得分）。</w:t>
      </w:r>
    </w:p>
    <w:p w14:paraId="3639586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投标人得分分值计算保留小数点后两位，小数点后第三位</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四舍五入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w:t>
      </w:r>
    </w:p>
    <w:p w14:paraId="7D75E7D5">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3.4.3 评标委员会发现投标人的报价明显低于其他投标报价，是有可能影响履约的异常低价，应按本章3.</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款的规定向投标人发出澄清，要求该投标人作出书面说明该报价的合理性并提供相应证明材料。当投标人不能合理说明并证明其报价的合理性的，评标委员会应以少数服从多数的原则否决其投标。</w:t>
      </w:r>
    </w:p>
    <w:p w14:paraId="042F29B0">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13" w:name="_Toc20918"/>
      <w:bookmarkStart w:id="414" w:name="_Toc29441"/>
      <w:bookmarkStart w:id="415" w:name="_Toc16625"/>
      <w:r>
        <w:rPr>
          <w:rFonts w:hint="default" w:ascii="Times New Roman" w:hAnsi="Times New Roman" w:eastAsia="黑体" w:cs="Times New Roman"/>
          <w:b w:val="0"/>
          <w:color w:val="auto"/>
          <w:sz w:val="24"/>
          <w:szCs w:val="24"/>
          <w:highlight w:val="none"/>
        </w:rPr>
        <w:t>3.5</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投标文件相关信息的核查</w:t>
      </w:r>
      <w:bookmarkEnd w:id="413"/>
      <w:bookmarkEnd w:id="414"/>
      <w:bookmarkEnd w:id="415"/>
    </w:p>
    <w:p w14:paraId="66EDDE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 在评标过程中，评标委员会应查询交通运输主管部门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，对投标人的资质、业绩、主要人员资历和目前在岗情况、信用等级等信息进行核实。若投标文件载明的信息与交通运输主管部门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发布的信息不符，使得投标人的资格条件不符合招标文件规定的，评标委员会应否决其投标。</w:t>
      </w:r>
    </w:p>
    <w:p w14:paraId="7D2191B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3.5.2 评标委员会应对在评标过程中发现的投标人与投标人之间、投标人与招标人之间存在的串通投标的情形进行评审和认定。投标人存在串通投标、弄虚作假、行贿等违法行为的，评标委员会应否决其投标。</w:t>
      </w:r>
    </w:p>
    <w:p w14:paraId="0BD6E11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（1）有下列情形之一的，属于投标人相互串通投标：</w:t>
      </w:r>
    </w:p>
    <w:p w14:paraId="6DE882A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a.投标人之间协商投标报价等投标文件的实质性内容；</w:t>
      </w:r>
    </w:p>
    <w:p w14:paraId="66891E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b.投标人之间约定中标人；</w:t>
      </w:r>
    </w:p>
    <w:p w14:paraId="1EFE4F0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c.投标人之间约定部分投标人放弃投标或中标；</w:t>
      </w:r>
    </w:p>
    <w:p w14:paraId="4F2B239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d.属于同一集团、协会、商会等组织成员的投标人按照该组织要求协同投标；</w:t>
      </w:r>
    </w:p>
    <w:p w14:paraId="59F8950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e.投标人之间为谋取中标或排斥特定投标人而采取的其他联合行动。</w:t>
      </w:r>
    </w:p>
    <w:p w14:paraId="5931B84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（2）有下列情形之一的，视为投标人相互串通投标：</w:t>
      </w:r>
    </w:p>
    <w:p w14:paraId="2483A40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a.不同投标人的投标文件由同一单位或个人编制；</w:t>
      </w:r>
    </w:p>
    <w:p w14:paraId="3A9BC4A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b.不同投标人委托同一单位或个人办理投标事宜；</w:t>
      </w:r>
    </w:p>
    <w:p w14:paraId="6CDE8A0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c.不同投标人的投标文件载明的项目管理成员为同一人；</w:t>
      </w:r>
    </w:p>
    <w:p w14:paraId="0AA18B9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d.不同投标人的投标文件异常一致或投标报价呈规律性差异；</w:t>
      </w:r>
    </w:p>
    <w:p w14:paraId="1F382C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e.不同投标人的投标文件相互混装；</w:t>
      </w:r>
    </w:p>
    <w:p w14:paraId="6120D3E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f.不同投标人的投标保证金从同一单位或个人的账户转出。</w:t>
      </w:r>
    </w:p>
    <w:p w14:paraId="6653244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（3）有下列情形之一的，属于招标人与投标人串通投标：</w:t>
      </w:r>
    </w:p>
    <w:p w14:paraId="0AADB975">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a.招标人在开标前开启投标文件并将有关信息泄露给其他投标人</w:t>
      </w:r>
      <w:r>
        <w:rPr>
          <w:rFonts w:hint="eastAsia" w:cs="Times New Roman"/>
          <w:color w:val="auto"/>
          <w:sz w:val="24"/>
          <w:highlight w:val="none"/>
          <w:lang w:eastAsia="zh-CN"/>
        </w:rPr>
        <w:t>；</w:t>
      </w:r>
    </w:p>
    <w:p w14:paraId="444E15F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b.招标人直接或间接向投标人泄露标底、评标委员会成员等信息；</w:t>
      </w:r>
    </w:p>
    <w:p w14:paraId="6F3D98E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c.招标人明示或暗示投标人压低或抬高投标报价；</w:t>
      </w:r>
    </w:p>
    <w:p w14:paraId="4A2BB55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d.招标人授意投标人撤换、修改投标文件；</w:t>
      </w:r>
    </w:p>
    <w:p w14:paraId="249764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e.招标人明示或暗示投标人为特定投标人中标提供方便；</w:t>
      </w:r>
    </w:p>
    <w:p w14:paraId="78B7BDD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f.招标人与投标人为谋求特定投标人中标而采取的其他串通行为。</w:t>
      </w:r>
    </w:p>
    <w:p w14:paraId="614C39F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（4）投标人有下列情形之一的，属于弄虚作假的行为：</w:t>
      </w:r>
    </w:p>
    <w:p w14:paraId="76D27BA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a.使用通过受让或租借等方式获取的资格、资质证书投标；</w:t>
      </w:r>
    </w:p>
    <w:p w14:paraId="1DBCF97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b.使用伪造、变造的许可证件；</w:t>
      </w:r>
    </w:p>
    <w:p w14:paraId="4465BA1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c.提供虚假的财务状况或业绩；</w:t>
      </w:r>
    </w:p>
    <w:p w14:paraId="4176EB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d.提供虚假的项目负责人或主要技术人员简历、劳动关系证明；</w:t>
      </w:r>
    </w:p>
    <w:p w14:paraId="13C2463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e.提供虚假的信用状况；</w:t>
      </w:r>
    </w:p>
    <w:p w14:paraId="08BA6DF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f.其他弄虚作假的行为。</w:t>
      </w:r>
    </w:p>
    <w:p w14:paraId="7FB7D8D5">
      <w:pPr>
        <w:pStyle w:val="2"/>
        <w:pageBreakBefore w:val="0"/>
        <w:kinsoku/>
        <w:wordWrap w:val="0"/>
        <w:bidi w:val="0"/>
        <w:spacing w:before="240" w:after="240" w:line="400" w:lineRule="atLeast"/>
        <w:outlineLvl w:val="2"/>
        <w:rPr>
          <w:rFonts w:hint="default" w:ascii="Times New Roman" w:hAnsi="Times New Roman" w:eastAsia="黑体" w:cs="Times New Roman"/>
          <w:b w:val="0"/>
          <w:color w:val="auto"/>
          <w:sz w:val="24"/>
          <w:szCs w:val="24"/>
          <w:highlight w:val="none"/>
        </w:rPr>
      </w:pPr>
      <w:bookmarkStart w:id="416" w:name="_Toc29213"/>
      <w:bookmarkStart w:id="417" w:name="_Toc15234"/>
      <w:bookmarkStart w:id="418" w:name="_Toc31365"/>
      <w:bookmarkStart w:id="419" w:name="_Toc234832940"/>
      <w:r>
        <w:rPr>
          <w:rFonts w:hint="default" w:ascii="Times New Roman" w:hAnsi="Times New Roman" w:eastAsia="黑体" w:cs="Times New Roman"/>
          <w:b w:val="0"/>
          <w:color w:val="auto"/>
          <w:sz w:val="24"/>
          <w:szCs w:val="24"/>
          <w:highlight w:val="none"/>
        </w:rPr>
        <w:t>3.6 投标文件的澄清和说明</w:t>
      </w:r>
      <w:bookmarkEnd w:id="416"/>
      <w:bookmarkEnd w:id="417"/>
      <w:bookmarkEnd w:id="418"/>
    </w:p>
    <w:p w14:paraId="213D66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737409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澄清和说明不得超出投标文件的范围或改变投标文件的实质性内容（算术性错误的修正除外）。投标人的书面澄清、说明属于投标文件的组成部分。</w:t>
      </w:r>
    </w:p>
    <w:p w14:paraId="7D0D415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评标委员会不得暗示或诱导投标人作出澄清、说明，对投标人提交的澄清、说明有疑问的，可以要求投标人进一步澄清或说明，直至满足评标委员会的要求。</w:t>
      </w:r>
      <w:bookmarkEnd w:id="419"/>
    </w:p>
    <w:p w14:paraId="256AF2B7">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3.6.4 凡超出招标文件规定的或给发包人带来未曾要求的利益的变化、偏差或其他因素在评标时不予考虑。</w:t>
      </w:r>
    </w:p>
    <w:p w14:paraId="6ECFF4D2">
      <w:pPr>
        <w:pStyle w:val="2"/>
        <w:pageBreakBefore w:val="0"/>
        <w:kinsoku/>
        <w:wordWrap w:val="0"/>
        <w:bidi w:val="0"/>
        <w:spacing w:before="240" w:after="240" w:line="400" w:lineRule="atLeast"/>
        <w:outlineLvl w:val="2"/>
        <w:rPr>
          <w:rFonts w:hint="default" w:ascii="Times New Roman" w:hAnsi="Times New Roman" w:eastAsia="黑体" w:cs="Times New Roman"/>
          <w:b w:val="0"/>
          <w:color w:val="auto"/>
          <w:sz w:val="24"/>
          <w:szCs w:val="24"/>
          <w:highlight w:val="none"/>
        </w:rPr>
      </w:pPr>
      <w:bookmarkStart w:id="420" w:name="_Toc18964"/>
      <w:bookmarkStart w:id="421" w:name="_Toc7796"/>
      <w:bookmarkStart w:id="422" w:name="_Toc23618"/>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w:t>
      </w:r>
      <w:r>
        <w:rPr>
          <w:rFonts w:hint="default" w:ascii="Times New Roman" w:hAnsi="Times New Roman" w:eastAsia="黑体" w:cs="Times New Roman"/>
          <w:b w:val="0"/>
          <w:color w:val="auto"/>
          <w:sz w:val="24"/>
          <w:szCs w:val="24"/>
          <w:highlight w:val="none"/>
        </w:rPr>
        <w:t>7 不得否决投标的情形</w:t>
      </w:r>
      <w:bookmarkEnd w:id="420"/>
      <w:bookmarkEnd w:id="421"/>
      <w:bookmarkEnd w:id="422"/>
    </w:p>
    <w:p w14:paraId="65723632">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投标文件存在第二章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第1.12.3项所列情形的，均视为细微偏差，评标委员会不得否决投标人的投标，应按照第二章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第1.12.4项规定的原则处理。</w:t>
      </w:r>
    </w:p>
    <w:p w14:paraId="3C8B2B8E">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23" w:name="_Toc234832941"/>
      <w:bookmarkStart w:id="424" w:name="_Toc28490"/>
      <w:bookmarkStart w:id="425" w:name="_Toc6874"/>
      <w:bookmarkStart w:id="426" w:name="_Toc10539"/>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 xml:space="preserve"> 评标结果</w:t>
      </w:r>
      <w:bookmarkEnd w:id="423"/>
      <w:bookmarkEnd w:id="424"/>
      <w:bookmarkEnd w:id="425"/>
      <w:bookmarkEnd w:id="426"/>
    </w:p>
    <w:p w14:paraId="62BB0B2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3.8.1 除第二章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前附表授权直接确定中标人外，评标委员会按照得分由高到低的顺序推荐中标候选人，并标明排序。</w:t>
      </w:r>
    </w:p>
    <w:p w14:paraId="23A73E5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3.8.2 评标委员会完成评标后，应向招标人提交评标报告。</w:t>
      </w:r>
    </w:p>
    <w:p w14:paraId="66F4B332">
      <w:pPr>
        <w:pStyle w:val="23"/>
        <w:pageBreakBefore w:val="0"/>
        <w:kinsoku/>
        <w:wordWrap w:val="0"/>
        <w:bidi w:val="0"/>
        <w:spacing w:line="360" w:lineRule="atLeast"/>
        <w:ind w:firstLine="480"/>
        <w:rPr>
          <w:rFonts w:hint="default" w:ascii="Times New Roman" w:hAnsi="Times New Roman" w:eastAsia="隶书" w:cs="Times New Roman"/>
          <w:color w:val="auto"/>
          <w:sz w:val="24"/>
          <w:szCs w:val="24"/>
          <w:highlight w:val="none"/>
        </w:rPr>
        <w:sectPr>
          <w:headerReference r:id="rId31" w:type="default"/>
          <w:footerReference r:id="rId32"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63374DA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70292D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57417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613FBA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A7BF88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614E6D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F1F7A8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59D2B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180EE2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C4B70D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333C6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6AD5207">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56"/>
          <w:szCs w:val="56"/>
          <w:highlight w:val="none"/>
        </w:rPr>
      </w:pPr>
      <w:bookmarkStart w:id="427" w:name="_Toc234832964"/>
      <w:bookmarkStart w:id="428" w:name="_Toc11119"/>
      <w:bookmarkStart w:id="429" w:name="_Toc27019"/>
      <w:bookmarkStart w:id="430" w:name="_Toc16169"/>
      <w:r>
        <w:rPr>
          <w:rFonts w:hint="default" w:ascii="Times New Roman" w:hAnsi="Times New Roman" w:eastAsia="黑体" w:cs="Times New Roman"/>
          <w:b w:val="0"/>
          <w:color w:val="auto"/>
          <w:sz w:val="56"/>
          <w:szCs w:val="56"/>
          <w:highlight w:val="none"/>
        </w:rPr>
        <w:t>第四章  合同条款及格式</w:t>
      </w:r>
      <w:bookmarkEnd w:id="427"/>
      <w:bookmarkEnd w:id="428"/>
      <w:bookmarkEnd w:id="429"/>
      <w:r>
        <w:rPr>
          <w:rStyle w:val="47"/>
          <w:rFonts w:hint="default" w:ascii="Times New Roman" w:hAnsi="Times New Roman" w:eastAsia="黑体" w:cs="Times New Roman"/>
          <w:b w:val="0"/>
          <w:color w:val="auto"/>
          <w:sz w:val="56"/>
          <w:szCs w:val="56"/>
          <w:highlight w:val="none"/>
        </w:rPr>
        <w:footnoteReference w:id="32"/>
      </w:r>
      <w:bookmarkEnd w:id="430"/>
    </w:p>
    <w:p w14:paraId="3DD640B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082F01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F32A15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26AD20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cs="Times New Roman"/>
          <w:color w:val="auto"/>
          <w:sz w:val="20"/>
          <w:szCs w:val="20"/>
          <w:highlight w:val="none"/>
        </w:rPr>
        <w:br w:type="page"/>
      </w:r>
      <w:bookmarkStart w:id="431" w:name="_Toc234832965"/>
    </w:p>
    <w:p w14:paraId="37721A5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1B3E5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194CF2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446BCA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E88B7E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EAABD3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B79B59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7982B9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19BC03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40D079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AE0028">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432" w:name="_Toc18651"/>
      <w:bookmarkStart w:id="433" w:name="_Toc22989"/>
      <w:bookmarkStart w:id="434" w:name="_Toc8515"/>
      <w:r>
        <w:rPr>
          <w:rFonts w:hint="default" w:ascii="Times New Roman" w:hAnsi="Times New Roman" w:eastAsia="黑体" w:cs="Times New Roman"/>
          <w:b w:val="0"/>
          <w:color w:val="auto"/>
          <w:sz w:val="42"/>
          <w:szCs w:val="42"/>
          <w:highlight w:val="none"/>
        </w:rPr>
        <w:t>第一节  通用合同条款</w:t>
      </w:r>
      <w:bookmarkEnd w:id="431"/>
      <w:r>
        <w:rPr>
          <w:rStyle w:val="47"/>
          <w:rFonts w:hint="default" w:ascii="Times New Roman" w:hAnsi="Times New Roman" w:eastAsia="黑体" w:cs="Times New Roman"/>
          <w:b w:val="0"/>
          <w:color w:val="auto"/>
          <w:sz w:val="32"/>
          <w:szCs w:val="32"/>
          <w:highlight w:val="none"/>
        </w:rPr>
        <w:footnoteReference w:id="33"/>
      </w:r>
      <w:bookmarkEnd w:id="432"/>
      <w:bookmarkEnd w:id="433"/>
      <w:bookmarkEnd w:id="434"/>
    </w:p>
    <w:p w14:paraId="2ED42983">
      <w:pPr>
        <w:pStyle w:val="2"/>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435" w:name="_Toc3137"/>
      <w:bookmarkStart w:id="436" w:name="_Toc14452"/>
      <w:bookmarkStart w:id="437" w:name="_Toc1065"/>
      <w:bookmarkStart w:id="438" w:name="_Toc32556"/>
      <w:bookmarkStart w:id="439" w:name="_Toc234832966"/>
      <w:r>
        <w:rPr>
          <w:rFonts w:hint="default" w:ascii="Times New Roman" w:hAnsi="Times New Roman" w:eastAsia="黑体" w:cs="Times New Roman"/>
          <w:b w:val="0"/>
          <w:color w:val="auto"/>
          <w:sz w:val="32"/>
          <w:szCs w:val="32"/>
          <w:highlight w:val="none"/>
        </w:rPr>
        <w:t>通用合同条款</w:t>
      </w:r>
      <w:bookmarkEnd w:id="435"/>
      <w:bookmarkEnd w:id="436"/>
      <w:bookmarkEnd w:id="437"/>
      <w:bookmarkEnd w:id="438"/>
      <w:bookmarkEnd w:id="439"/>
    </w:p>
    <w:p w14:paraId="104F17AF">
      <w:pPr>
        <w:pStyle w:val="2"/>
        <w:pageBreakBefore w:val="0"/>
        <w:kinsoku/>
        <w:wordWrap w:val="0"/>
        <w:bidi w:val="0"/>
        <w:spacing w:before="360" w:after="240" w:line="380" w:lineRule="atLeast"/>
        <w:outlineLvl w:val="2"/>
        <w:rPr>
          <w:rFonts w:hint="default" w:ascii="Times New Roman" w:hAnsi="Times New Roman" w:eastAsia="黑体" w:cs="Times New Roman"/>
          <w:b w:val="0"/>
          <w:color w:val="auto"/>
          <w:sz w:val="28"/>
          <w:szCs w:val="28"/>
          <w:highlight w:val="none"/>
        </w:rPr>
      </w:pPr>
      <w:bookmarkStart w:id="440" w:name="_Toc28721"/>
      <w:bookmarkStart w:id="441" w:name="_Toc19605"/>
      <w:bookmarkStart w:id="442" w:name="_Toc24661"/>
      <w:bookmarkStart w:id="443" w:name="_Toc234832967"/>
      <w:bookmarkStart w:id="444" w:name="_Toc30881"/>
      <w:r>
        <w:rPr>
          <w:rFonts w:hint="default" w:ascii="Times New Roman" w:hAnsi="Times New Roman" w:eastAsia="黑体" w:cs="Times New Roman"/>
          <w:b w:val="0"/>
          <w:color w:val="auto"/>
          <w:sz w:val="28"/>
          <w:szCs w:val="28"/>
          <w:highlight w:val="none"/>
        </w:rPr>
        <w:t>1. 一般约定</w:t>
      </w:r>
      <w:bookmarkEnd w:id="440"/>
      <w:bookmarkEnd w:id="441"/>
      <w:bookmarkEnd w:id="442"/>
      <w:bookmarkEnd w:id="443"/>
      <w:bookmarkEnd w:id="444"/>
      <w:r>
        <w:rPr>
          <w:rFonts w:hint="default" w:ascii="Times New Roman" w:hAnsi="Times New Roman" w:eastAsia="黑体" w:cs="Times New Roman"/>
          <w:b w:val="0"/>
          <w:color w:val="auto"/>
          <w:sz w:val="28"/>
          <w:szCs w:val="28"/>
          <w:highlight w:val="none"/>
        </w:rPr>
        <w:tab/>
      </w:r>
    </w:p>
    <w:p w14:paraId="7D97B6B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45" w:name="_Toc10064"/>
      <w:bookmarkStart w:id="446" w:name="_Toc234832968"/>
      <w:bookmarkStart w:id="447" w:name="_Toc10273"/>
      <w:bookmarkStart w:id="448" w:name="_Toc24826"/>
      <w:bookmarkStart w:id="449" w:name="_Toc5421"/>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445"/>
      <w:bookmarkEnd w:id="446"/>
      <w:bookmarkEnd w:id="447"/>
      <w:bookmarkEnd w:id="448"/>
      <w:bookmarkEnd w:id="449"/>
    </w:p>
    <w:p w14:paraId="56AA955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通用合同条款、专用合同条款中的下列词语应具有本款所赋予的含义。</w:t>
      </w:r>
    </w:p>
    <w:p w14:paraId="104D0AF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1.1.1 </w:t>
      </w:r>
      <w:r>
        <w:rPr>
          <w:rFonts w:hint="default" w:ascii="Times New Roman" w:hAnsi="Times New Roman" w:eastAsia="黑体" w:cs="Times New Roman"/>
          <w:color w:val="auto"/>
          <w:sz w:val="24"/>
          <w:highlight w:val="none"/>
        </w:rPr>
        <w:t>合同</w:t>
      </w:r>
    </w:p>
    <w:p w14:paraId="17E0317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合同文件（或称合同）：指合同协议书、中标通知书、投标函及投标函附录、专用合同条款、通用合同条款、技术标准和要求、图纸、已标价工程量清单，以及其他合同文件。</w:t>
      </w:r>
    </w:p>
    <w:p w14:paraId="26E0AB9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合同协议书：指第1.5款所指的合同协议书。</w:t>
      </w:r>
    </w:p>
    <w:p w14:paraId="03CB141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中标通知书：指发包人通知承包人中标的函件。</w:t>
      </w:r>
    </w:p>
    <w:p w14:paraId="7013F74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1.1.1.4 投标函：指构成合同文件组成部分的由承包人填写并签署的投标函。</w:t>
      </w:r>
    </w:p>
    <w:p w14:paraId="03E2FF6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1.1.1.5 投标函附录：指附在投标函后构成合同文件的投标函附录。</w:t>
      </w:r>
    </w:p>
    <w:p w14:paraId="0C9A99E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1.1.1.6 技术标准和要求：指构成合同文件组成部分的名为技术标准和要求的文件，包括合同双方当事人约定对其所作的修改或补充。</w:t>
      </w:r>
    </w:p>
    <w:p w14:paraId="5C8CBF8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1.1.1.7 图纸：指包含在合同中的工程图纸，以及由发包人按合同约定提供的任何补充和修改的图纸，包括配套的说明。</w:t>
      </w:r>
    </w:p>
    <w:p w14:paraId="5EEED93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1.1.1.8 已标价工程量清单：指构成合同文件组成部分的由承包人按照规定的格式和要求填写并标明价格的工程量清单。</w:t>
      </w:r>
    </w:p>
    <w:p w14:paraId="4CB13A2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1.1.1.9 其他合同文件：指经合同双方当事人确认构成合同文件的其他文件。</w:t>
      </w:r>
    </w:p>
    <w:p w14:paraId="5DC23EA2">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5759CC8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合同当事人：指发包人和（或）承包人。</w:t>
      </w:r>
    </w:p>
    <w:p w14:paraId="2E3067B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发包人：指专用合同条款中指明并与承包人在合同协议书中签字的当事人。</w:t>
      </w:r>
    </w:p>
    <w:p w14:paraId="339AA94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1.1.2.3承包人：指与发包人签订合同协议书的当事人。</w:t>
      </w:r>
    </w:p>
    <w:p w14:paraId="57113A8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1.1.2.4承包人项目经理：指承包人派驻施工场地的全权负责人。</w:t>
      </w:r>
    </w:p>
    <w:p w14:paraId="764238C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1.1.2.5分包人：指从承包人处分包合同中某一部分工程，并与其签订分包合同的分包人。</w:t>
      </w:r>
    </w:p>
    <w:p w14:paraId="278417D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1.1.2.6监理人：指在专用合同条款中指明的，受发包人委托对合同履行实施管理的法人或其他组织。</w:t>
      </w:r>
    </w:p>
    <w:p w14:paraId="1898C27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1.1.2.7总监理工程师（总监）：指由监理人委派常驻施工场地对合同履行实施管理的全权负责人。</w:t>
      </w:r>
    </w:p>
    <w:p w14:paraId="5BF606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08DF38F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 工程：指永久工程和（或）临时工程。</w:t>
      </w:r>
    </w:p>
    <w:p w14:paraId="7BCB06D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1.1.3.2 永久工程：指按合同约定建造并移交给发包人的工程，包括工程设备。</w:t>
      </w:r>
    </w:p>
    <w:p w14:paraId="171B077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1.1.3.3 临时工程：指为完成合同约定的永久工程所修建的各类临时性工程，不包括施工设备。</w:t>
      </w:r>
    </w:p>
    <w:p w14:paraId="62AADFE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1.1.3.4 单位工程：指专用合同条款中指明特定范围的永久工程。</w:t>
      </w:r>
    </w:p>
    <w:p w14:paraId="2709CF0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1.1.3.5 工程设备：指构成或计划构成永久工程一部分的机电设备、金属结构设备、仪器装置及其他类似的设备和装置。</w:t>
      </w:r>
    </w:p>
    <w:p w14:paraId="0755555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1.1.3.6 施工设备：指为完成合同约定的各项工作所需的设备、器具和其他物品，不包括临时工程和材料。</w:t>
      </w:r>
    </w:p>
    <w:p w14:paraId="65F2530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1.1.3.7临时设施：指为完成合同约定的各项工作所服务的临时性生产和生活设施。</w:t>
      </w:r>
    </w:p>
    <w:p w14:paraId="73798F9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1.1.3.8 承包人设备：指承包人自带的施工设备。</w:t>
      </w:r>
    </w:p>
    <w:p w14:paraId="2FB7C62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1.1.3.9 施工场地（或称工地、现场）：指用于合同工程施工的场所，以及在合同中指定作为施工场地组成部分的其他场所，包括永久占地和临时占地。</w:t>
      </w:r>
    </w:p>
    <w:p w14:paraId="2019F24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1.1.3.10 永久占地：指专用合同条款中指明为实施合同工程需永久占用的土地。</w:t>
      </w:r>
    </w:p>
    <w:p w14:paraId="4C52917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1.1.3.11 临时占地：指专用合同条款中指明为实施合同工程需临时占用的土地。</w:t>
      </w:r>
    </w:p>
    <w:p w14:paraId="2488DD2D">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1.1.4 </w:t>
      </w:r>
      <w:r>
        <w:rPr>
          <w:rFonts w:hint="default" w:ascii="Times New Roman" w:hAnsi="Times New Roman" w:eastAsia="黑体" w:cs="Times New Roman"/>
          <w:color w:val="auto"/>
          <w:sz w:val="24"/>
          <w:highlight w:val="none"/>
        </w:rPr>
        <w:t>日期</w:t>
      </w:r>
    </w:p>
    <w:p w14:paraId="52D6995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1.1.4.1 开工通知：指监理人按第11.1款通知承包人开工的函件。</w:t>
      </w:r>
    </w:p>
    <w:p w14:paraId="32D5C0E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1.1.4.2 开工日期：指监理人按第11.1款发出的开工通知中写明的开工日期。</w:t>
      </w:r>
    </w:p>
    <w:p w14:paraId="0E3BECB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1.1.4.3 工期：指承包人在投标函中承诺的完成合同工程所需的期限，包括按第11.3款、第11.4款和第11.6款约定所作的变更。</w:t>
      </w:r>
    </w:p>
    <w:p w14:paraId="2C5437D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1.1.4.4 竣工日期：指第1.1.4.3目约定工期届满时的日期。实际竣工日期以工程接收证书中写明的日期为准。</w:t>
      </w:r>
    </w:p>
    <w:p w14:paraId="7CFD081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1.1.4.5 缺陷责任期：指履行第19.2款约定的缺陷责任的期限，具体期限由专用合同条款约定，包括根据第19.3款约定所作的延长。</w:t>
      </w:r>
    </w:p>
    <w:p w14:paraId="43340F6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1.1.4.6 基准日期：指投标截止时间前28天的日期。</w:t>
      </w:r>
    </w:p>
    <w:p w14:paraId="64F450B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1.1.4.7 天：除特别指明外，指日历天。合同中按天计算时间的，开始当天不计入，从次日开始计算。期限最后一天的截止时间为当天24:00。</w:t>
      </w:r>
    </w:p>
    <w:p w14:paraId="71238A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1.1.5 </w:t>
      </w:r>
      <w:r>
        <w:rPr>
          <w:rFonts w:hint="default" w:ascii="Times New Roman" w:hAnsi="Times New Roman" w:eastAsia="黑体" w:cs="Times New Roman"/>
          <w:color w:val="auto"/>
          <w:sz w:val="24"/>
          <w:highlight w:val="none"/>
        </w:rPr>
        <w:t>合同价格和费用</w:t>
      </w:r>
    </w:p>
    <w:p w14:paraId="6092713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1.1.5.1 签约合同价：指签订合同时合同协议书中写明的，包括了暂列金额、暂估价的合同总金额。</w:t>
      </w:r>
    </w:p>
    <w:p w14:paraId="4239849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1.1.5.2 合同价格：指承包人按合同约定完成了包括缺陷责任期内的全部承包工作后，发包人应付给承包人的金额，包括在履行合同过程中按合同约定进行的变更和调整。</w:t>
      </w:r>
    </w:p>
    <w:p w14:paraId="1434516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1.1.5.3 费用：指为履行合同所发生的或将要发生的所有合理开支，包括管理费和应分摊的其他费用，但不包括利润。</w:t>
      </w:r>
    </w:p>
    <w:p w14:paraId="0C33ABF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1.1.5.4 暂列金额：指已标价工程量清单中所列的暂列金额，用于在签订协议书时尚未确定或不可预见变更的施工及其所需材料、工程设备、服务等的金额，包括以计日工方式支付的金额。</w:t>
      </w:r>
    </w:p>
    <w:p w14:paraId="4D35C7E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1.1.5.5暂估价：指发包人在工程量清单中给定的用于支付必然发生但暂时不能确定价格的材料、工程设备以及专业工程的金额。</w:t>
      </w:r>
    </w:p>
    <w:p w14:paraId="3CB7EA2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1.1.5.6 计日工：指对零星工作采取的一种计价方式，按合同中的计日工子目及其单价计价付款。</w:t>
      </w:r>
    </w:p>
    <w:p w14:paraId="7149B10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1.1.5.7 质量保证金（或称保留金）：指按第17.4.1项约定用于保证在缺陷责任期内履行缺陷修复义务的金额。</w:t>
      </w:r>
    </w:p>
    <w:p w14:paraId="601E6BC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146F723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1.1.6.1 书面形式：指合同文件、信函、电报、传真等可以有形地表现所载内容的形式。</w:t>
      </w:r>
    </w:p>
    <w:p w14:paraId="052FB0A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0" w:name="_Toc22350"/>
      <w:bookmarkStart w:id="451" w:name="_Toc7828"/>
      <w:bookmarkStart w:id="452" w:name="_Toc25135"/>
      <w:bookmarkStart w:id="453" w:name="_Toc234832969"/>
      <w:bookmarkStart w:id="454" w:name="_Toc27354"/>
      <w:r>
        <w:rPr>
          <w:rFonts w:hint="default" w:ascii="Times New Roman" w:hAnsi="Times New Roman" w:eastAsia="黑体" w:cs="Times New Roman"/>
          <w:b w:val="0"/>
          <w:color w:val="auto"/>
          <w:sz w:val="24"/>
          <w:szCs w:val="24"/>
          <w:highlight w:val="none"/>
        </w:rPr>
        <w:t>1.2 语言文字</w:t>
      </w:r>
      <w:bookmarkEnd w:id="450"/>
      <w:bookmarkEnd w:id="451"/>
      <w:bookmarkEnd w:id="452"/>
      <w:bookmarkEnd w:id="453"/>
      <w:bookmarkEnd w:id="454"/>
    </w:p>
    <w:p w14:paraId="45B55EB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除专用术语外，合同使用的语言文字为中文。必要时专用术语应附有中文注释。</w:t>
      </w:r>
    </w:p>
    <w:p w14:paraId="3DBA7EB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5" w:name="_Toc8637"/>
      <w:bookmarkStart w:id="456" w:name="_Toc17380"/>
      <w:bookmarkStart w:id="457" w:name="_Toc317"/>
      <w:bookmarkStart w:id="458" w:name="_Toc234832970"/>
      <w:bookmarkStart w:id="459" w:name="_Toc13856"/>
      <w:r>
        <w:rPr>
          <w:rFonts w:hint="default" w:ascii="Times New Roman" w:hAnsi="Times New Roman" w:eastAsia="黑体" w:cs="Times New Roman"/>
          <w:b w:val="0"/>
          <w:color w:val="auto"/>
          <w:sz w:val="24"/>
          <w:szCs w:val="24"/>
          <w:highlight w:val="none"/>
        </w:rPr>
        <w:t>1.3 法律</w:t>
      </w:r>
      <w:bookmarkEnd w:id="455"/>
      <w:bookmarkEnd w:id="456"/>
      <w:bookmarkEnd w:id="457"/>
      <w:bookmarkEnd w:id="458"/>
      <w:bookmarkEnd w:id="459"/>
    </w:p>
    <w:p w14:paraId="7D779A96">
      <w:pPr>
        <w:pageBreakBefore w:val="0"/>
        <w:tabs>
          <w:tab w:val="left" w:pos="7020"/>
        </w:tabs>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适用于合同的法律包括中华人民共和国法律、行政法规、部门规章，以及工程所在地的地方法规、自治条例、单行条例和地方政府规章。</w:t>
      </w:r>
    </w:p>
    <w:p w14:paraId="7EBDAA7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0" w:name="_Toc234832971"/>
      <w:bookmarkStart w:id="461" w:name="_Toc9336"/>
      <w:bookmarkStart w:id="462" w:name="_Toc3631"/>
      <w:bookmarkStart w:id="463" w:name="_Toc8196"/>
      <w:bookmarkStart w:id="464" w:name="_Toc23484"/>
      <w:r>
        <w:rPr>
          <w:rFonts w:hint="default" w:ascii="Times New Roman" w:hAnsi="Times New Roman" w:eastAsia="黑体" w:cs="Times New Roman"/>
          <w:b w:val="0"/>
          <w:color w:val="auto"/>
          <w:sz w:val="24"/>
          <w:szCs w:val="24"/>
          <w:highlight w:val="none"/>
        </w:rPr>
        <w:t>1.4 合同文件的优先顺序</w:t>
      </w:r>
      <w:bookmarkEnd w:id="460"/>
      <w:bookmarkEnd w:id="461"/>
      <w:bookmarkEnd w:id="462"/>
      <w:bookmarkEnd w:id="463"/>
      <w:bookmarkEnd w:id="464"/>
    </w:p>
    <w:p w14:paraId="4E0809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组成合同的各项文件应互相解释，互为说明。除专用合同条款另有约定外，解释合同文件的优先顺序如下：</w:t>
      </w:r>
    </w:p>
    <w:p w14:paraId="5DF2F8B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w:t>
      </w:r>
    </w:p>
    <w:p w14:paraId="16B2526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7B762C3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20E8A28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（4）专用合同条款；</w:t>
      </w:r>
    </w:p>
    <w:p w14:paraId="33F76E6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（5）通用合同条款；</w:t>
      </w:r>
    </w:p>
    <w:p w14:paraId="4404C3A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（6）技术标准和要求；</w:t>
      </w:r>
    </w:p>
    <w:p w14:paraId="55659D0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（7）图纸；</w:t>
      </w:r>
    </w:p>
    <w:p w14:paraId="309F32D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（8）已标价工程量清单；</w:t>
      </w:r>
    </w:p>
    <w:p w14:paraId="6D0CEFB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（9）其他合同文件。     </w:t>
      </w:r>
    </w:p>
    <w:p w14:paraId="156B83C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5" w:name="_Toc7240"/>
      <w:bookmarkStart w:id="466" w:name="_Toc17423"/>
      <w:bookmarkStart w:id="467" w:name="_Toc1591"/>
      <w:bookmarkStart w:id="468" w:name="_Toc234832972"/>
      <w:bookmarkStart w:id="469" w:name="_Toc29563"/>
      <w:r>
        <w:rPr>
          <w:rFonts w:hint="default" w:ascii="Times New Roman" w:hAnsi="Times New Roman" w:eastAsia="黑体" w:cs="Times New Roman"/>
          <w:b w:val="0"/>
          <w:color w:val="auto"/>
          <w:sz w:val="24"/>
          <w:szCs w:val="24"/>
          <w:highlight w:val="none"/>
        </w:rPr>
        <w:t>1.5 合同协议书</w:t>
      </w:r>
      <w:bookmarkEnd w:id="465"/>
      <w:bookmarkEnd w:id="466"/>
      <w:bookmarkEnd w:id="467"/>
      <w:bookmarkEnd w:id="468"/>
      <w:bookmarkEnd w:id="469"/>
    </w:p>
    <w:p w14:paraId="68C66E4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承包人按中标通知书规定的时间与发包人签订合同协议书。除法律另有规定或合同另有约定外，发包人和承包人的法定代表人或其委托代理人在合同协议书上签字并盖单位章后，合同生效。</w:t>
      </w:r>
    </w:p>
    <w:p w14:paraId="5A18CF6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0" w:name="_Toc30819"/>
      <w:bookmarkStart w:id="471" w:name="_Toc18684"/>
      <w:bookmarkStart w:id="472" w:name="_Toc234832973"/>
      <w:bookmarkStart w:id="473" w:name="_Toc24591"/>
      <w:bookmarkStart w:id="474" w:name="_Toc20779"/>
      <w:r>
        <w:rPr>
          <w:rFonts w:hint="default" w:ascii="Times New Roman" w:hAnsi="Times New Roman" w:eastAsia="黑体" w:cs="Times New Roman"/>
          <w:b w:val="0"/>
          <w:color w:val="auto"/>
          <w:sz w:val="24"/>
          <w:szCs w:val="24"/>
          <w:highlight w:val="none"/>
        </w:rPr>
        <w:t>1.6 图纸和承包人文件</w:t>
      </w:r>
      <w:bookmarkEnd w:id="470"/>
      <w:bookmarkEnd w:id="471"/>
      <w:bookmarkEnd w:id="472"/>
      <w:bookmarkEnd w:id="473"/>
      <w:bookmarkEnd w:id="474"/>
    </w:p>
    <w:p w14:paraId="3A0F38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152FE79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除专用合同条款另有约定外，图纸应在合理的期限内按照合同约定的数量提供给承包人。由于发包人未按时提供图纸造成工期延误的，按第11.3款的约定办理。</w:t>
      </w:r>
    </w:p>
    <w:p w14:paraId="2134193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2697A53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按专用合同条款约定由承包人提供的文件，包括部分工程的大样图、加工图等，承包人应按约定的数量和期限报送监理人。监理人应在专用合同条款约定的期限内批复。</w:t>
      </w:r>
    </w:p>
    <w:p w14:paraId="2A7BBE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1.6.3 </w:t>
      </w:r>
      <w:r>
        <w:rPr>
          <w:rFonts w:hint="default" w:ascii="Times New Roman" w:hAnsi="Times New Roman" w:eastAsia="黑体" w:cs="Times New Roman"/>
          <w:color w:val="auto"/>
          <w:sz w:val="24"/>
          <w:highlight w:val="none"/>
        </w:rPr>
        <w:t>图纸的修改</w:t>
      </w:r>
    </w:p>
    <w:p w14:paraId="41F8B96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图纸需要修改和补充的，应由监理人取得发包人同意后，在该工程或工程相应部位施工前的合理期限内签发图纸修改图给承包人，具体签发期限在专用合同条款中约定。承包人应按修改后的图纸施工。</w:t>
      </w:r>
    </w:p>
    <w:p w14:paraId="2545BB0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59AAD57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承包人发现发包人提供的图纸存在明显错误或疏忽，应及时通知监理人。</w:t>
      </w:r>
    </w:p>
    <w:p w14:paraId="696594B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1.6.5</w:t>
      </w:r>
      <w:r>
        <w:rPr>
          <w:rFonts w:hint="default" w:ascii="Times New Roman" w:hAnsi="Times New Roman" w:eastAsia="黑体" w:cs="Times New Roman"/>
          <w:color w:val="auto"/>
          <w:sz w:val="24"/>
          <w:highlight w:val="none"/>
        </w:rPr>
        <w:t xml:space="preserve"> 图纸和承包人文件的保管</w:t>
      </w:r>
    </w:p>
    <w:p w14:paraId="5D08546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监理人和承包人均应在施工场地各保存一套完整的包含第1.6.1项、第1.6.2项、第1.6.3项约定内容的图纸和承包人文件。</w:t>
      </w:r>
    </w:p>
    <w:p w14:paraId="50FC0BB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5" w:name="_Toc234832974"/>
      <w:bookmarkStart w:id="476" w:name="_Toc28959"/>
      <w:bookmarkStart w:id="477" w:name="_Toc3785"/>
      <w:bookmarkStart w:id="478" w:name="_Toc25686"/>
      <w:bookmarkStart w:id="479" w:name="_Toc3784"/>
      <w:r>
        <w:rPr>
          <w:rFonts w:hint="default" w:ascii="Times New Roman" w:hAnsi="Times New Roman" w:eastAsia="黑体" w:cs="Times New Roman"/>
          <w:b w:val="0"/>
          <w:color w:val="auto"/>
          <w:sz w:val="24"/>
          <w:szCs w:val="24"/>
          <w:highlight w:val="none"/>
        </w:rPr>
        <w:t>1.7 联络</w:t>
      </w:r>
      <w:bookmarkEnd w:id="475"/>
      <w:bookmarkEnd w:id="476"/>
      <w:bookmarkEnd w:id="477"/>
      <w:bookmarkEnd w:id="478"/>
      <w:bookmarkEnd w:id="479"/>
    </w:p>
    <w:p w14:paraId="5A079F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 与合同有关的通知、批准、证明、证书、指示、要求、请求、同意、意见、确定和决定等，均应采用书面形式。</w:t>
      </w:r>
    </w:p>
    <w:p w14:paraId="514556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 第1.7.1项中的通知、批准、证明、证书、指示、要求、请求、同意、意见、确定和决定等来往函件，均应在合同约定的期限内送达指定地点和接收人，并办理签收手续。</w:t>
      </w:r>
    </w:p>
    <w:p w14:paraId="033E055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0" w:name="_Toc5598"/>
      <w:bookmarkStart w:id="481" w:name="_Toc234832975"/>
      <w:bookmarkStart w:id="482" w:name="_Toc8917"/>
      <w:bookmarkStart w:id="483" w:name="_Toc162"/>
      <w:bookmarkStart w:id="484" w:name="_Toc13094"/>
      <w:r>
        <w:rPr>
          <w:rFonts w:hint="default" w:ascii="Times New Roman" w:hAnsi="Times New Roman" w:eastAsia="黑体" w:cs="Times New Roman"/>
          <w:b w:val="0"/>
          <w:color w:val="auto"/>
          <w:sz w:val="24"/>
          <w:szCs w:val="24"/>
          <w:highlight w:val="none"/>
        </w:rPr>
        <w:t>1.8 转让</w:t>
      </w:r>
      <w:bookmarkEnd w:id="480"/>
      <w:bookmarkEnd w:id="481"/>
      <w:bookmarkEnd w:id="482"/>
      <w:bookmarkEnd w:id="483"/>
      <w:bookmarkEnd w:id="484"/>
    </w:p>
    <w:p w14:paraId="7151AD3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除合同另有约定外，未经对方当事人同意，一方当事人不得将合同权利全部或部分转让给第三人，也不得全部或部分转移合同义务。</w:t>
      </w:r>
    </w:p>
    <w:p w14:paraId="5EA6F2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5" w:name="_Toc23791"/>
      <w:bookmarkStart w:id="486" w:name="_Toc31967"/>
      <w:bookmarkStart w:id="487" w:name="_Toc24262"/>
      <w:bookmarkStart w:id="488" w:name="_Toc234832976"/>
      <w:bookmarkStart w:id="489" w:name="_Toc6228"/>
      <w:r>
        <w:rPr>
          <w:rFonts w:hint="default" w:ascii="Times New Roman" w:hAnsi="Times New Roman" w:eastAsia="黑体" w:cs="Times New Roman"/>
          <w:b w:val="0"/>
          <w:color w:val="auto"/>
          <w:sz w:val="24"/>
          <w:szCs w:val="24"/>
          <w:highlight w:val="none"/>
        </w:rPr>
        <w:t>1.9 严禁贿赂</w:t>
      </w:r>
      <w:bookmarkEnd w:id="485"/>
      <w:bookmarkEnd w:id="486"/>
      <w:bookmarkEnd w:id="487"/>
      <w:bookmarkEnd w:id="488"/>
      <w:bookmarkEnd w:id="489"/>
    </w:p>
    <w:p w14:paraId="6041C9D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合同双方当事人不得以贿赂或变相贿赂的方式，谋取不当利益或损害对方权益。因贿赂造成对方损失的，行为人应赔偿损失，并承担相应的法律责任。</w:t>
      </w:r>
    </w:p>
    <w:p w14:paraId="318254B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90" w:name="_Toc1823"/>
      <w:bookmarkStart w:id="491" w:name="_Toc28929"/>
      <w:bookmarkStart w:id="492" w:name="_Toc234832977"/>
      <w:bookmarkStart w:id="493" w:name="_Toc24319"/>
      <w:bookmarkStart w:id="494" w:name="_Toc5924"/>
      <w:r>
        <w:rPr>
          <w:rFonts w:hint="default" w:ascii="Times New Roman" w:hAnsi="Times New Roman" w:eastAsia="黑体" w:cs="Times New Roman"/>
          <w:b w:val="0"/>
          <w:color w:val="auto"/>
          <w:sz w:val="24"/>
          <w:szCs w:val="24"/>
          <w:highlight w:val="none"/>
        </w:rPr>
        <w:t>1.10 化石、文物</w:t>
      </w:r>
      <w:bookmarkEnd w:id="490"/>
      <w:bookmarkEnd w:id="491"/>
      <w:bookmarkEnd w:id="492"/>
      <w:bookmarkEnd w:id="493"/>
      <w:bookmarkEnd w:id="494"/>
    </w:p>
    <w:p w14:paraId="5707756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2A2E769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1.10.2 承包人发现文物后不及时报告或隐瞒不报，致使文物丢失或损坏的，应赔偿损失，并承担相应的法律责任。</w:t>
      </w:r>
    </w:p>
    <w:p w14:paraId="59BA3A2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95" w:name="_Toc13641"/>
      <w:bookmarkStart w:id="496" w:name="_Toc234832978"/>
      <w:bookmarkStart w:id="497" w:name="_Toc27784"/>
      <w:bookmarkStart w:id="498" w:name="_Toc7504"/>
      <w:bookmarkStart w:id="499" w:name="_Toc24599"/>
      <w:r>
        <w:rPr>
          <w:rFonts w:hint="default" w:ascii="Times New Roman" w:hAnsi="Times New Roman" w:eastAsia="黑体" w:cs="Times New Roman"/>
          <w:b w:val="0"/>
          <w:color w:val="auto"/>
          <w:sz w:val="24"/>
          <w:szCs w:val="24"/>
          <w:highlight w:val="none"/>
        </w:rPr>
        <w:t>1.11 专利技术</w:t>
      </w:r>
      <w:bookmarkEnd w:id="495"/>
      <w:bookmarkEnd w:id="496"/>
      <w:bookmarkEnd w:id="497"/>
      <w:bookmarkEnd w:id="498"/>
      <w:bookmarkEnd w:id="499"/>
    </w:p>
    <w:p w14:paraId="1742DC5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1.11.1 承包人在使用任何材料、承包人设备、工程设备或采用施工工艺时，因侵犯专利权或其他知识产权所引起的责任，由承包人承担，但由于遵照发包人提供的设计或技术标准和要求引起的除外。</w:t>
      </w:r>
    </w:p>
    <w:p w14:paraId="350AD5A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承包人在投标文件中采用专利技术的，专利技术的使用费包含在投标报价内。</w:t>
      </w:r>
    </w:p>
    <w:p w14:paraId="082F85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承包人的技术秘密和声明需要保密的资料和信息，发包人和监理人不得为合同以外的目的泄露给他人。</w:t>
      </w:r>
    </w:p>
    <w:p w14:paraId="7AEEB24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00" w:name="_Toc234832979"/>
      <w:bookmarkStart w:id="501" w:name="_Toc2063"/>
      <w:bookmarkStart w:id="502" w:name="_Toc16391"/>
      <w:bookmarkStart w:id="503" w:name="_Toc963"/>
      <w:bookmarkStart w:id="504" w:name="_Toc29843"/>
      <w:r>
        <w:rPr>
          <w:rFonts w:hint="default" w:ascii="Times New Roman" w:hAnsi="Times New Roman" w:eastAsia="黑体" w:cs="Times New Roman"/>
          <w:b w:val="0"/>
          <w:color w:val="auto"/>
          <w:sz w:val="24"/>
          <w:szCs w:val="24"/>
          <w:highlight w:val="none"/>
        </w:rPr>
        <w:t>1.12 图纸和文件的保密</w:t>
      </w:r>
      <w:bookmarkEnd w:id="500"/>
      <w:bookmarkEnd w:id="501"/>
      <w:bookmarkEnd w:id="502"/>
      <w:bookmarkEnd w:id="503"/>
      <w:bookmarkEnd w:id="504"/>
    </w:p>
    <w:p w14:paraId="64B902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发包人提供的图纸和文件，未经发包人同意，承包人不得为合同以外的目的泄露给他人或公开发表与引用。</w:t>
      </w:r>
    </w:p>
    <w:p w14:paraId="4367DD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承包人提供的文件，未经承包人同意，发包人和监理人不得为合同以外的目的泄露给他人或公开发表与引用。</w:t>
      </w:r>
    </w:p>
    <w:p w14:paraId="57D4196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05" w:name="_Toc234832980"/>
      <w:bookmarkStart w:id="506" w:name="_Toc28964"/>
      <w:bookmarkStart w:id="507" w:name="_Toc1422"/>
      <w:bookmarkStart w:id="508" w:name="_Toc11044"/>
      <w:bookmarkStart w:id="509" w:name="_Toc2725"/>
      <w:r>
        <w:rPr>
          <w:rFonts w:hint="default" w:ascii="Times New Roman" w:hAnsi="Times New Roman" w:eastAsia="黑体" w:cs="Times New Roman"/>
          <w:b w:val="0"/>
          <w:color w:val="auto"/>
          <w:sz w:val="28"/>
          <w:szCs w:val="28"/>
          <w:highlight w:val="none"/>
        </w:rPr>
        <w:t>2. 发包人义务</w:t>
      </w:r>
      <w:bookmarkEnd w:id="505"/>
      <w:bookmarkEnd w:id="506"/>
      <w:bookmarkEnd w:id="507"/>
      <w:bookmarkEnd w:id="508"/>
      <w:bookmarkEnd w:id="509"/>
    </w:p>
    <w:p w14:paraId="273A2F1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10" w:name="_Toc234832981"/>
      <w:bookmarkStart w:id="511" w:name="_Toc9101"/>
      <w:bookmarkStart w:id="512" w:name="_Toc5651"/>
      <w:bookmarkStart w:id="513" w:name="_Toc21730"/>
      <w:bookmarkStart w:id="514" w:name="_Toc25606"/>
      <w:r>
        <w:rPr>
          <w:rFonts w:hint="default" w:ascii="Times New Roman" w:hAnsi="Times New Roman" w:eastAsia="黑体" w:cs="Times New Roman"/>
          <w:b w:val="0"/>
          <w:color w:val="auto"/>
          <w:sz w:val="24"/>
          <w:szCs w:val="24"/>
          <w:highlight w:val="none"/>
        </w:rPr>
        <w:t>2.1 遵守法律</w:t>
      </w:r>
      <w:bookmarkEnd w:id="510"/>
      <w:bookmarkEnd w:id="511"/>
      <w:bookmarkEnd w:id="512"/>
      <w:bookmarkEnd w:id="513"/>
      <w:bookmarkEnd w:id="514"/>
    </w:p>
    <w:p w14:paraId="706F6A0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发包人在履行合同过程中应遵守法律，并保证承包人免于承担因发包人违反法律而引起的任何责任。</w:t>
      </w:r>
    </w:p>
    <w:p w14:paraId="518DF5A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15" w:name="_Toc31024"/>
      <w:bookmarkStart w:id="516" w:name="_Toc31599"/>
      <w:bookmarkStart w:id="517" w:name="_Toc19902"/>
      <w:bookmarkStart w:id="518" w:name="_Toc21405"/>
      <w:bookmarkStart w:id="519" w:name="_Toc234832982"/>
      <w:r>
        <w:rPr>
          <w:rFonts w:hint="default" w:ascii="Times New Roman" w:hAnsi="Times New Roman" w:eastAsia="黑体" w:cs="Times New Roman"/>
          <w:b w:val="0"/>
          <w:color w:val="auto"/>
          <w:sz w:val="24"/>
          <w:szCs w:val="24"/>
          <w:highlight w:val="none"/>
        </w:rPr>
        <w:t>2.2 发出开工通知</w:t>
      </w:r>
      <w:bookmarkEnd w:id="515"/>
      <w:bookmarkEnd w:id="516"/>
      <w:bookmarkEnd w:id="517"/>
      <w:bookmarkEnd w:id="518"/>
      <w:bookmarkEnd w:id="519"/>
    </w:p>
    <w:p w14:paraId="1F91A6F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发包人应委托监理人按第11.1款的约定向承包人发出开工通知。</w:t>
      </w:r>
    </w:p>
    <w:p w14:paraId="57DA994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0" w:name="_Toc12327"/>
      <w:bookmarkStart w:id="521" w:name="_Toc17104"/>
      <w:bookmarkStart w:id="522" w:name="_Toc27640"/>
      <w:bookmarkStart w:id="523" w:name="_Toc12076"/>
      <w:bookmarkStart w:id="524" w:name="_Toc234832983"/>
      <w:r>
        <w:rPr>
          <w:rFonts w:hint="default" w:ascii="Times New Roman" w:hAnsi="Times New Roman" w:eastAsia="黑体" w:cs="Times New Roman"/>
          <w:b w:val="0"/>
          <w:color w:val="auto"/>
          <w:sz w:val="24"/>
          <w:szCs w:val="24"/>
          <w:highlight w:val="none"/>
        </w:rPr>
        <w:t>2.3 提供施工场地</w:t>
      </w:r>
      <w:bookmarkEnd w:id="520"/>
      <w:bookmarkEnd w:id="521"/>
      <w:bookmarkEnd w:id="522"/>
      <w:bookmarkEnd w:id="523"/>
      <w:bookmarkEnd w:id="524"/>
    </w:p>
    <w:p w14:paraId="623F928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发包人应按专用合同条款约定向承包人提供施工场地，以及施工场地内地下管线和地下设施等有关资料，并保证资料的真实、准确、完整。</w:t>
      </w:r>
    </w:p>
    <w:p w14:paraId="5087438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5" w:name="_Toc5430"/>
      <w:bookmarkStart w:id="526" w:name="_Toc234832984"/>
      <w:bookmarkStart w:id="527" w:name="_Toc15886"/>
      <w:bookmarkStart w:id="528" w:name="_Toc12372"/>
      <w:bookmarkStart w:id="529" w:name="_Toc12536"/>
      <w:r>
        <w:rPr>
          <w:rFonts w:hint="default" w:ascii="Times New Roman" w:hAnsi="Times New Roman" w:eastAsia="黑体" w:cs="Times New Roman"/>
          <w:b w:val="0"/>
          <w:color w:val="auto"/>
          <w:sz w:val="24"/>
          <w:szCs w:val="24"/>
          <w:highlight w:val="none"/>
        </w:rPr>
        <w:t>2.4 协助承包人办理证件和批件</w:t>
      </w:r>
      <w:bookmarkEnd w:id="525"/>
      <w:bookmarkEnd w:id="526"/>
      <w:bookmarkEnd w:id="527"/>
      <w:bookmarkEnd w:id="528"/>
      <w:bookmarkEnd w:id="529"/>
    </w:p>
    <w:p w14:paraId="79385CA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发包人应协助承包人办理法律规定的有关施工证件和批件。</w:t>
      </w:r>
    </w:p>
    <w:p w14:paraId="6ECF330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30" w:name="_Toc22937"/>
      <w:bookmarkStart w:id="531" w:name="_Toc2840"/>
      <w:bookmarkStart w:id="532" w:name="_Toc6781"/>
      <w:bookmarkStart w:id="533" w:name="_Toc29377"/>
      <w:bookmarkStart w:id="534" w:name="_Toc234832985"/>
      <w:r>
        <w:rPr>
          <w:rFonts w:hint="default" w:ascii="Times New Roman" w:hAnsi="Times New Roman" w:eastAsia="黑体" w:cs="Times New Roman"/>
          <w:b w:val="0"/>
          <w:color w:val="auto"/>
          <w:sz w:val="24"/>
          <w:szCs w:val="24"/>
          <w:highlight w:val="none"/>
        </w:rPr>
        <w:t>2.5 组织设计交底</w:t>
      </w:r>
      <w:bookmarkEnd w:id="530"/>
      <w:bookmarkEnd w:id="531"/>
      <w:bookmarkEnd w:id="532"/>
      <w:bookmarkEnd w:id="533"/>
      <w:bookmarkEnd w:id="534"/>
    </w:p>
    <w:p w14:paraId="03A1D96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发包人应根据合同进度计划，组织设计单位向承包人进行设计交底。</w:t>
      </w:r>
    </w:p>
    <w:p w14:paraId="2AAFD71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35" w:name="_Toc18904"/>
      <w:bookmarkStart w:id="536" w:name="_Toc2788"/>
      <w:bookmarkStart w:id="537" w:name="_Toc15709"/>
      <w:bookmarkStart w:id="538" w:name="_Toc234832986"/>
      <w:bookmarkStart w:id="539" w:name="_Toc32192"/>
      <w:r>
        <w:rPr>
          <w:rFonts w:hint="default" w:ascii="Times New Roman" w:hAnsi="Times New Roman" w:eastAsia="黑体" w:cs="Times New Roman"/>
          <w:b w:val="0"/>
          <w:color w:val="auto"/>
          <w:sz w:val="24"/>
          <w:szCs w:val="24"/>
          <w:highlight w:val="none"/>
        </w:rPr>
        <w:t>2.6 支付合同价款</w:t>
      </w:r>
      <w:bookmarkEnd w:id="535"/>
      <w:bookmarkEnd w:id="536"/>
      <w:bookmarkEnd w:id="537"/>
      <w:bookmarkEnd w:id="538"/>
      <w:bookmarkEnd w:id="539"/>
    </w:p>
    <w:p w14:paraId="4AC014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发包人应按合同约定向承包人及时支付合同价款。</w:t>
      </w:r>
    </w:p>
    <w:p w14:paraId="407FA5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40" w:name="_Toc8246"/>
      <w:bookmarkStart w:id="541" w:name="_Toc1813"/>
      <w:bookmarkStart w:id="542" w:name="_Toc234832987"/>
      <w:bookmarkStart w:id="543" w:name="_Toc9105"/>
      <w:bookmarkStart w:id="544" w:name="_Toc12390"/>
      <w:r>
        <w:rPr>
          <w:rFonts w:hint="default" w:ascii="Times New Roman" w:hAnsi="Times New Roman" w:eastAsia="黑体" w:cs="Times New Roman"/>
          <w:b w:val="0"/>
          <w:color w:val="auto"/>
          <w:sz w:val="24"/>
          <w:szCs w:val="24"/>
          <w:highlight w:val="none"/>
        </w:rPr>
        <w:t>2.7 组织竣工验收</w:t>
      </w:r>
      <w:bookmarkEnd w:id="540"/>
      <w:bookmarkEnd w:id="541"/>
      <w:bookmarkEnd w:id="542"/>
      <w:bookmarkEnd w:id="543"/>
      <w:bookmarkEnd w:id="544"/>
    </w:p>
    <w:p w14:paraId="7C0952C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发包人应按合同约定及时组织竣工验收。</w:t>
      </w:r>
    </w:p>
    <w:p w14:paraId="58EA46D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45" w:name="_Toc2212"/>
      <w:bookmarkStart w:id="546" w:name="_Toc13771"/>
      <w:bookmarkStart w:id="547" w:name="_Toc234832988"/>
      <w:bookmarkStart w:id="548" w:name="_Toc4891"/>
      <w:bookmarkStart w:id="549" w:name="_Toc16971"/>
      <w:r>
        <w:rPr>
          <w:rFonts w:hint="default" w:ascii="Times New Roman" w:hAnsi="Times New Roman" w:eastAsia="黑体" w:cs="Times New Roman"/>
          <w:b w:val="0"/>
          <w:color w:val="auto"/>
          <w:sz w:val="24"/>
          <w:szCs w:val="24"/>
          <w:highlight w:val="none"/>
        </w:rPr>
        <w:t>2.8 其他义务</w:t>
      </w:r>
      <w:bookmarkEnd w:id="545"/>
      <w:bookmarkEnd w:id="546"/>
      <w:bookmarkEnd w:id="547"/>
      <w:bookmarkEnd w:id="548"/>
      <w:bookmarkEnd w:id="549"/>
    </w:p>
    <w:p w14:paraId="5D039D5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发包人应履行合同约定的其他义务。</w:t>
      </w:r>
    </w:p>
    <w:p w14:paraId="481A64B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50" w:name="_Toc234832989"/>
      <w:bookmarkStart w:id="551" w:name="_Toc11915"/>
      <w:bookmarkStart w:id="552" w:name="_Toc22971"/>
      <w:bookmarkStart w:id="553" w:name="_Toc7583"/>
      <w:bookmarkStart w:id="554" w:name="_Toc5384"/>
      <w:r>
        <w:rPr>
          <w:rFonts w:hint="default" w:ascii="Times New Roman" w:hAnsi="Times New Roman" w:eastAsia="黑体" w:cs="Times New Roman"/>
          <w:b w:val="0"/>
          <w:color w:val="auto"/>
          <w:sz w:val="28"/>
          <w:szCs w:val="28"/>
          <w:highlight w:val="none"/>
        </w:rPr>
        <w:t>3. 监理人</w:t>
      </w:r>
      <w:bookmarkEnd w:id="550"/>
      <w:bookmarkEnd w:id="551"/>
      <w:bookmarkEnd w:id="552"/>
      <w:bookmarkEnd w:id="553"/>
      <w:bookmarkEnd w:id="554"/>
    </w:p>
    <w:p w14:paraId="754279B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55" w:name="_Toc21643"/>
      <w:bookmarkStart w:id="556" w:name="_Toc16801"/>
      <w:bookmarkStart w:id="557" w:name="_Toc234832990"/>
      <w:bookmarkStart w:id="558" w:name="_Toc16242"/>
      <w:bookmarkStart w:id="559" w:name="_Toc6610"/>
      <w:r>
        <w:rPr>
          <w:rFonts w:hint="default" w:ascii="Times New Roman" w:hAnsi="Times New Roman" w:eastAsia="黑体" w:cs="Times New Roman"/>
          <w:b w:val="0"/>
          <w:color w:val="auto"/>
          <w:sz w:val="24"/>
          <w:szCs w:val="24"/>
          <w:highlight w:val="none"/>
        </w:rPr>
        <w:t>3.1 监理人的职责和权力</w:t>
      </w:r>
      <w:bookmarkEnd w:id="555"/>
      <w:bookmarkEnd w:id="556"/>
      <w:bookmarkEnd w:id="557"/>
      <w:bookmarkEnd w:id="558"/>
      <w:bookmarkEnd w:id="559"/>
      <w:r>
        <w:rPr>
          <w:rFonts w:hint="default" w:ascii="Times New Roman" w:hAnsi="Times New Roman" w:eastAsia="黑体" w:cs="Times New Roman"/>
          <w:b w:val="0"/>
          <w:color w:val="auto"/>
          <w:sz w:val="24"/>
          <w:szCs w:val="24"/>
          <w:highlight w:val="none"/>
        </w:rPr>
        <w:t xml:space="preserve"> </w:t>
      </w:r>
    </w:p>
    <w:p w14:paraId="0980B8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3.1.1 监理人受发包人委托，享有合同约定的权力。监理人在行使某项权力前需要经发包人事先批准而通用合同条款没有指明的，应在专用合同条款中指明。</w:t>
      </w:r>
    </w:p>
    <w:p w14:paraId="18CD8FE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3.1.2 监理人发出的任何指示应视为已得到发包人的批准，但监理人无权免除或变更合同约定的发包人和承包人的权利、义务和责任。</w:t>
      </w:r>
    </w:p>
    <w:p w14:paraId="726EF76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3.1.3 合同约定应由承包人承担的义务和责任，不因监理人对承包人提交文件的审查或批准，对工程、材料和设备的检查和检验，以及为实施监理作出的指示等职务行为而减轻或解除。</w:t>
      </w:r>
    </w:p>
    <w:p w14:paraId="294559F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0" w:name="_Toc234832991"/>
      <w:bookmarkStart w:id="561" w:name="_Toc8960"/>
      <w:bookmarkStart w:id="562" w:name="_Toc8512"/>
      <w:bookmarkStart w:id="563" w:name="_Toc2593"/>
      <w:bookmarkStart w:id="564" w:name="_Toc4457"/>
      <w:r>
        <w:rPr>
          <w:rFonts w:hint="default" w:ascii="Times New Roman" w:hAnsi="Times New Roman" w:eastAsia="黑体" w:cs="Times New Roman"/>
          <w:b w:val="0"/>
          <w:color w:val="auto"/>
          <w:sz w:val="24"/>
          <w:szCs w:val="24"/>
          <w:highlight w:val="none"/>
        </w:rPr>
        <w:t>3.2 总监理工程师</w:t>
      </w:r>
      <w:bookmarkEnd w:id="560"/>
      <w:bookmarkEnd w:id="561"/>
      <w:bookmarkEnd w:id="562"/>
      <w:bookmarkEnd w:id="563"/>
      <w:bookmarkEnd w:id="564"/>
    </w:p>
    <w:p w14:paraId="6A75FF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3EDA4BE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5" w:name="_Toc2208"/>
      <w:bookmarkStart w:id="566" w:name="_Toc26577"/>
      <w:bookmarkStart w:id="567" w:name="_Toc234832992"/>
      <w:bookmarkStart w:id="568" w:name="_Toc28836"/>
      <w:bookmarkStart w:id="569" w:name="_Toc25149"/>
      <w:r>
        <w:rPr>
          <w:rFonts w:hint="default" w:ascii="Times New Roman" w:hAnsi="Times New Roman" w:eastAsia="黑体" w:cs="Times New Roman"/>
          <w:b w:val="0"/>
          <w:color w:val="auto"/>
          <w:sz w:val="24"/>
          <w:szCs w:val="24"/>
          <w:highlight w:val="none"/>
        </w:rPr>
        <w:t>3.3 监理人员</w:t>
      </w:r>
      <w:bookmarkEnd w:id="565"/>
      <w:bookmarkEnd w:id="566"/>
      <w:bookmarkEnd w:id="567"/>
      <w:bookmarkEnd w:id="568"/>
      <w:bookmarkEnd w:id="569"/>
    </w:p>
    <w:p w14:paraId="772A1FD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3A20A9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71BC3B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3.3.3 承包人对总监理工程师授权的监理人员发出的指示有疑问的，可向总监理工程师提出书面异议，总监理工程师应在48小时内对该指示予以确认、更改或撤销。</w:t>
      </w:r>
    </w:p>
    <w:p w14:paraId="2116BDE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3.3.4 除专用合同条款另有约定外，总监理工程师不应将第3.5款约定应由总监理工程师作出确定的权力授权或委托给其他监理人员。</w:t>
      </w:r>
    </w:p>
    <w:p w14:paraId="4A3AA38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70" w:name="_Toc234832993"/>
      <w:bookmarkStart w:id="571" w:name="_Toc12482"/>
      <w:bookmarkStart w:id="572" w:name="_Toc12190"/>
      <w:bookmarkStart w:id="573" w:name="_Toc1056"/>
      <w:bookmarkStart w:id="574" w:name="_Toc31668"/>
      <w:r>
        <w:rPr>
          <w:rFonts w:hint="default" w:ascii="Times New Roman" w:hAnsi="Times New Roman" w:eastAsia="黑体" w:cs="Times New Roman"/>
          <w:b w:val="0"/>
          <w:color w:val="auto"/>
          <w:sz w:val="24"/>
          <w:szCs w:val="24"/>
          <w:highlight w:val="none"/>
        </w:rPr>
        <w:t>3.4 监理人的指示</w:t>
      </w:r>
      <w:bookmarkEnd w:id="570"/>
      <w:bookmarkEnd w:id="571"/>
      <w:bookmarkEnd w:id="572"/>
      <w:bookmarkEnd w:id="573"/>
      <w:bookmarkEnd w:id="574"/>
    </w:p>
    <w:p w14:paraId="0D8649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3.4.1 监理人应按第3.1款的约定向承包人发出指示，监理人的指示应盖有监理人授权的施工场地机构章，并由总监理工程师或总监理工程师按第3.3.1项约定授权的监理人员签字。</w:t>
      </w:r>
    </w:p>
    <w:p w14:paraId="4AB4656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3.4.2 承包人收到监理人按第3.4.1项作出的指示后应遵照执行。指示构成变更的，应按第15条处理。</w:t>
      </w:r>
    </w:p>
    <w:p w14:paraId="29E8E3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1CFE5B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3.4.4 除合同另有约定外，承包人只从总监理工程师或按第3.3.1项被授权的监理人员处取得指示。</w:t>
      </w:r>
    </w:p>
    <w:p w14:paraId="4E91DF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3.4.5 由于监理人未能按合同约定发出指示、指示延误或指示错误而导致承包人费用增加和（或）工期延误的，由发包人承担赔偿责任。 </w:t>
      </w:r>
    </w:p>
    <w:p w14:paraId="1AA87CA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75" w:name="_Toc3027"/>
      <w:bookmarkStart w:id="576" w:name="_Toc7716"/>
      <w:bookmarkStart w:id="577" w:name="_Toc9828"/>
      <w:bookmarkStart w:id="578" w:name="_Toc234832994"/>
      <w:bookmarkStart w:id="579" w:name="_Toc13069"/>
      <w:r>
        <w:rPr>
          <w:rFonts w:hint="default" w:ascii="Times New Roman" w:hAnsi="Times New Roman" w:eastAsia="黑体" w:cs="Times New Roman"/>
          <w:b w:val="0"/>
          <w:color w:val="auto"/>
          <w:sz w:val="24"/>
          <w:szCs w:val="24"/>
          <w:highlight w:val="none"/>
        </w:rPr>
        <w:t>3.5商定或确定</w:t>
      </w:r>
      <w:bookmarkEnd w:id="575"/>
      <w:bookmarkEnd w:id="576"/>
      <w:bookmarkEnd w:id="577"/>
      <w:bookmarkEnd w:id="578"/>
      <w:bookmarkEnd w:id="579"/>
    </w:p>
    <w:p w14:paraId="0CD9BC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3.5.1合同约定总监理工程师应按照本款对任何事项进行商定或确定时，总监理工程师应与合同当事人协商，尽量达成一致。不能达成一致的，总监理工程师应认真研究后审慎确定。</w:t>
      </w:r>
    </w:p>
    <w:p w14:paraId="1441FD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3.5.2 总监理工程师应将商定或确定的事项通知合同当事人，并附详细依据。对总监理工程师的确定有异议的，</w:t>
      </w:r>
      <w:r>
        <w:rPr>
          <w:rFonts w:hint="default" w:ascii="Times New Roman" w:hAnsi="Times New Roman" w:cs="Times New Roman"/>
          <w:iCs/>
          <w:color w:val="auto"/>
          <w:sz w:val="24"/>
          <w:highlight w:val="none"/>
        </w:rPr>
        <w:t>构成争议，</w:t>
      </w:r>
      <w:r>
        <w:rPr>
          <w:rFonts w:hint="default" w:ascii="Times New Roman" w:hAnsi="Times New Roman" w:cs="Times New Roman"/>
          <w:color w:val="auto"/>
          <w:sz w:val="24"/>
          <w:highlight w:val="none"/>
        </w:rPr>
        <w:t>按照第24条的约定处理。在争议解决前，双方应暂按总监理工程师的确定执行，按照第24条的约定对总监理工程师的确定作出修改的，按修改后的结果执行。</w:t>
      </w:r>
    </w:p>
    <w:p w14:paraId="294A4B03">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80" w:name="_Toc234832995"/>
      <w:bookmarkStart w:id="581" w:name="_Toc30028"/>
      <w:bookmarkStart w:id="582" w:name="_Toc1630"/>
      <w:bookmarkStart w:id="583" w:name="_Toc6619"/>
      <w:bookmarkStart w:id="584" w:name="_Toc9721"/>
      <w:r>
        <w:rPr>
          <w:rFonts w:hint="default" w:ascii="Times New Roman" w:hAnsi="Times New Roman" w:eastAsia="黑体" w:cs="Times New Roman"/>
          <w:b w:val="0"/>
          <w:color w:val="auto"/>
          <w:sz w:val="28"/>
          <w:szCs w:val="28"/>
          <w:highlight w:val="none"/>
        </w:rPr>
        <w:t>4. 承包人</w:t>
      </w:r>
      <w:bookmarkEnd w:id="580"/>
      <w:bookmarkEnd w:id="581"/>
      <w:bookmarkEnd w:id="582"/>
      <w:bookmarkEnd w:id="583"/>
      <w:bookmarkEnd w:id="584"/>
    </w:p>
    <w:p w14:paraId="46332B2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85" w:name="_Toc30908"/>
      <w:bookmarkStart w:id="586" w:name="_Toc20434"/>
      <w:bookmarkStart w:id="587" w:name="_Toc21919"/>
      <w:bookmarkStart w:id="588" w:name="_Toc234832996"/>
      <w:bookmarkStart w:id="589" w:name="_Toc25150"/>
      <w:r>
        <w:rPr>
          <w:rFonts w:hint="default" w:ascii="Times New Roman" w:hAnsi="Times New Roman" w:eastAsia="黑体" w:cs="Times New Roman"/>
          <w:b w:val="0"/>
          <w:color w:val="auto"/>
          <w:sz w:val="24"/>
          <w:szCs w:val="24"/>
          <w:highlight w:val="none"/>
        </w:rPr>
        <w:t>4.1 承包人的一般义务</w:t>
      </w:r>
      <w:bookmarkEnd w:id="585"/>
      <w:bookmarkEnd w:id="586"/>
      <w:bookmarkEnd w:id="587"/>
      <w:bookmarkEnd w:id="588"/>
      <w:bookmarkEnd w:id="589"/>
    </w:p>
    <w:p w14:paraId="64908E3A">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4.1.1 </w:t>
      </w:r>
      <w:r>
        <w:rPr>
          <w:rFonts w:hint="default" w:ascii="Times New Roman" w:hAnsi="Times New Roman" w:eastAsia="黑体" w:cs="Times New Roman"/>
          <w:color w:val="auto"/>
          <w:sz w:val="24"/>
          <w:highlight w:val="none"/>
        </w:rPr>
        <w:t>遵守法律</w:t>
      </w:r>
    </w:p>
    <w:p w14:paraId="7124AF0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承包人在履行合同过程中应遵守法律，并保证发包人免于承担因承包人违反法律而引起的任何责任。</w:t>
      </w:r>
    </w:p>
    <w:p w14:paraId="0A8D1B73">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4.1.2 </w:t>
      </w:r>
      <w:r>
        <w:rPr>
          <w:rFonts w:hint="default" w:ascii="Times New Roman" w:hAnsi="Times New Roman" w:eastAsia="黑体" w:cs="Times New Roman"/>
          <w:color w:val="auto"/>
          <w:sz w:val="24"/>
          <w:highlight w:val="none"/>
        </w:rPr>
        <w:t>依法纳税</w:t>
      </w:r>
    </w:p>
    <w:p w14:paraId="0CB443DC">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承包人应按有关法律规定纳税，应缴纳的税金包括在合同价格内。</w:t>
      </w:r>
    </w:p>
    <w:p w14:paraId="583B0EF7">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4.1.3 </w:t>
      </w:r>
      <w:r>
        <w:rPr>
          <w:rFonts w:hint="default" w:ascii="Times New Roman" w:hAnsi="Times New Roman" w:eastAsia="黑体" w:cs="Times New Roman"/>
          <w:color w:val="auto"/>
          <w:sz w:val="24"/>
          <w:highlight w:val="none"/>
        </w:rPr>
        <w:t>完成各项承包工作</w:t>
      </w:r>
    </w:p>
    <w:p w14:paraId="4D2281F7">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1D8EA959">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4.1.4 对施工作业和施工方法的完备性负责</w:t>
      </w:r>
    </w:p>
    <w:p w14:paraId="6CF6F7D9">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承包人应按合同约定的工作内容和施工进度要求，编制施工组织设计和施工措施计划，并对所有施工作业和施工方法的完备性和安全可靠性负责。</w:t>
      </w:r>
    </w:p>
    <w:p w14:paraId="14A814FC">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4.1.5</w:t>
      </w:r>
      <w:r>
        <w:rPr>
          <w:rFonts w:hint="default" w:ascii="Times New Roman" w:hAnsi="Times New Roman" w:eastAsia="黑体" w:cs="Times New Roman"/>
          <w:color w:val="auto"/>
          <w:sz w:val="24"/>
          <w:highlight w:val="none"/>
        </w:rPr>
        <w:t xml:space="preserve"> 保证工程施工和人员的安全</w:t>
      </w:r>
    </w:p>
    <w:p w14:paraId="5B7E3D6A">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承包人应按第9.2款约定采取施工安全措施，确保工程及其人员、材料、设备和设施的安全，防止因工程施工造成的人身伤害和财产损失。</w:t>
      </w:r>
    </w:p>
    <w:p w14:paraId="65C53520">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4.1.6 </w:t>
      </w:r>
      <w:r>
        <w:rPr>
          <w:rFonts w:hint="default" w:ascii="Times New Roman" w:hAnsi="Times New Roman" w:eastAsia="黑体" w:cs="Times New Roman"/>
          <w:color w:val="auto"/>
          <w:sz w:val="24"/>
          <w:highlight w:val="none"/>
        </w:rPr>
        <w:t>负责施工场地及其周边环境与生态的保护工作</w:t>
      </w:r>
    </w:p>
    <w:p w14:paraId="1A0A8F83">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承包人应按照第9.4款约定负责施工场地及其周边环境与生态的保护工作。</w:t>
      </w:r>
    </w:p>
    <w:p w14:paraId="25D8FA38">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4.1.7 </w:t>
      </w:r>
      <w:r>
        <w:rPr>
          <w:rFonts w:hint="default" w:ascii="Times New Roman" w:hAnsi="Times New Roman" w:eastAsia="黑体" w:cs="Times New Roman"/>
          <w:color w:val="auto"/>
          <w:sz w:val="24"/>
          <w:highlight w:val="none"/>
        </w:rPr>
        <w:t>避免施工对公众与他人的利益造成损害</w:t>
      </w:r>
    </w:p>
    <w:p w14:paraId="22217289">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4645942">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4.1.8 </w:t>
      </w:r>
      <w:r>
        <w:rPr>
          <w:rFonts w:hint="default" w:ascii="Times New Roman" w:hAnsi="Times New Roman" w:eastAsia="黑体" w:cs="Times New Roman"/>
          <w:color w:val="auto"/>
          <w:sz w:val="24"/>
          <w:highlight w:val="none"/>
        </w:rPr>
        <w:t>为他人提供方便</w:t>
      </w:r>
    </w:p>
    <w:p w14:paraId="077267F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104AFBAB">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工程的维护和照管</w:t>
      </w:r>
    </w:p>
    <w:p w14:paraId="1B86F42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工程接收证书颁发前，承包人应负责照管和维护工程。工程接收证书颁发时尚有部分未竣工工程的，承包人还应负责该未竣工工程的照管和维护工作，直至竣工后移交给发包人为止。</w:t>
      </w:r>
    </w:p>
    <w:p w14:paraId="4F84CC77">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1D4044A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承包人应履行合同约定的其他义务。</w:t>
      </w:r>
    </w:p>
    <w:p w14:paraId="3C11884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0" w:name="_Toc30774"/>
      <w:bookmarkStart w:id="591" w:name="_Toc234832997"/>
      <w:bookmarkStart w:id="592" w:name="_Toc15934"/>
      <w:bookmarkStart w:id="593" w:name="_Toc3711"/>
      <w:bookmarkStart w:id="594" w:name="_Toc11867"/>
      <w:r>
        <w:rPr>
          <w:rFonts w:hint="default" w:ascii="Times New Roman" w:hAnsi="Times New Roman" w:eastAsia="黑体" w:cs="Times New Roman"/>
          <w:b w:val="0"/>
          <w:color w:val="auto"/>
          <w:sz w:val="24"/>
          <w:szCs w:val="24"/>
          <w:highlight w:val="none"/>
        </w:rPr>
        <w:t>4.2 履约担保</w:t>
      </w:r>
      <w:bookmarkEnd w:id="590"/>
      <w:bookmarkEnd w:id="591"/>
      <w:bookmarkEnd w:id="592"/>
      <w:bookmarkEnd w:id="593"/>
      <w:bookmarkEnd w:id="594"/>
    </w:p>
    <w:p w14:paraId="44BA95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承包人应保证其履约担保在发包人颁发工程接收证书前一直有效。发包人应在工程接收证书颁发后28天内把履约担保退还给承包人。</w:t>
      </w:r>
    </w:p>
    <w:p w14:paraId="3630CE4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5" w:name="_Toc3877"/>
      <w:bookmarkStart w:id="596" w:name="_Toc17914"/>
      <w:bookmarkStart w:id="597" w:name="_Toc1459"/>
      <w:bookmarkStart w:id="598" w:name="_Toc24336"/>
      <w:bookmarkStart w:id="599" w:name="_Toc234832998"/>
      <w:r>
        <w:rPr>
          <w:rFonts w:hint="default" w:ascii="Times New Roman" w:hAnsi="Times New Roman" w:eastAsia="黑体" w:cs="Times New Roman"/>
          <w:b w:val="0"/>
          <w:color w:val="auto"/>
          <w:sz w:val="24"/>
          <w:szCs w:val="24"/>
          <w:highlight w:val="none"/>
        </w:rPr>
        <w:t>4.3 分包</w:t>
      </w:r>
      <w:bookmarkEnd w:id="595"/>
      <w:bookmarkEnd w:id="596"/>
      <w:bookmarkEnd w:id="597"/>
      <w:bookmarkEnd w:id="598"/>
      <w:bookmarkEnd w:id="599"/>
    </w:p>
    <w:p w14:paraId="01EE03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4.3.1 承包人不得将其承包的全部工程转包给第三人，或将其承包的全部工程肢解后以分包的名义转包给第三人。</w:t>
      </w:r>
    </w:p>
    <w:p w14:paraId="6C6B37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承包人不得将工程主体、关键性工作分包给第三人。除专用合同条款另有约定外，未经发包人同意，承包人不得将工程的其他部分或工作分包给第三人。</w:t>
      </w:r>
    </w:p>
    <w:p w14:paraId="1D445AD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4.3.3分包人的资格能力应与其分包工程的标准和规模相适应。</w:t>
      </w:r>
    </w:p>
    <w:p w14:paraId="5041B01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4.3.4按投标函附录约定分包工程的，承包人应向发包人和监理人提交分包合同副本。</w:t>
      </w:r>
    </w:p>
    <w:p w14:paraId="616D98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4.3.5承包人应与分包人就分包工程向发包人承担连带责任。</w:t>
      </w:r>
    </w:p>
    <w:p w14:paraId="3DDC7C2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0" w:name="_Toc4870"/>
      <w:bookmarkStart w:id="601" w:name="_Toc234832999"/>
      <w:bookmarkStart w:id="602" w:name="_Toc32164"/>
      <w:bookmarkStart w:id="603" w:name="_Toc16004"/>
      <w:bookmarkStart w:id="604" w:name="_Toc3204"/>
      <w:r>
        <w:rPr>
          <w:rFonts w:hint="default" w:ascii="Times New Roman" w:hAnsi="Times New Roman" w:eastAsia="黑体" w:cs="Times New Roman"/>
          <w:b w:val="0"/>
          <w:color w:val="auto"/>
          <w:sz w:val="24"/>
          <w:szCs w:val="24"/>
          <w:highlight w:val="none"/>
        </w:rPr>
        <w:t>4.4联合体</w:t>
      </w:r>
      <w:bookmarkEnd w:id="600"/>
      <w:bookmarkEnd w:id="601"/>
      <w:bookmarkEnd w:id="602"/>
      <w:bookmarkEnd w:id="603"/>
      <w:bookmarkEnd w:id="604"/>
    </w:p>
    <w:p w14:paraId="0167C91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4.4.1 联合体各方应共同与发包人签订合同协议书。联合体各方应为履行合同承担连带责任。</w:t>
      </w:r>
    </w:p>
    <w:p w14:paraId="448612D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4.4.2 </w:t>
      </w:r>
      <w:r>
        <w:rPr>
          <w:rFonts w:hint="default" w:ascii="Times New Roman" w:hAnsi="Times New Roman" w:cs="Times New Roman"/>
          <w:iCs/>
          <w:color w:val="auto"/>
          <w:sz w:val="24"/>
          <w:highlight w:val="none"/>
        </w:rPr>
        <w:t>联合体协议经发包人确认后作为合同附件。</w:t>
      </w:r>
      <w:r>
        <w:rPr>
          <w:rFonts w:hint="default" w:ascii="Times New Roman" w:hAnsi="Times New Roman" w:cs="Times New Roman"/>
          <w:color w:val="auto"/>
          <w:sz w:val="24"/>
          <w:highlight w:val="none"/>
        </w:rPr>
        <w:t>在履行合同过程中，未经发包人同意，不得修改联合体协议。</w:t>
      </w:r>
    </w:p>
    <w:p w14:paraId="1AA0BA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4.4.3 联合体牵头人负责与发包人和监理人联系，并接受指示，负责组织联合体各成员全面履行合同。</w:t>
      </w:r>
    </w:p>
    <w:p w14:paraId="7FF2540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5" w:name="_Toc30493"/>
      <w:bookmarkStart w:id="606" w:name="_Toc19688"/>
      <w:bookmarkStart w:id="607" w:name="_Toc29702"/>
      <w:bookmarkStart w:id="608" w:name="_Toc234833000"/>
      <w:bookmarkStart w:id="609" w:name="_Toc25555"/>
      <w:r>
        <w:rPr>
          <w:rFonts w:hint="default" w:ascii="Times New Roman" w:hAnsi="Times New Roman" w:eastAsia="黑体" w:cs="Times New Roman"/>
          <w:b w:val="0"/>
          <w:color w:val="auto"/>
          <w:sz w:val="24"/>
          <w:szCs w:val="24"/>
          <w:highlight w:val="none"/>
        </w:rPr>
        <w:t>4.5 承包人项目经理</w:t>
      </w:r>
      <w:bookmarkEnd w:id="605"/>
      <w:bookmarkEnd w:id="606"/>
      <w:bookmarkEnd w:id="607"/>
      <w:bookmarkEnd w:id="608"/>
      <w:bookmarkEnd w:id="609"/>
    </w:p>
    <w:p w14:paraId="397D73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681D44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48D5F2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4.5.3承包人为履行合同发出的一切函件均应盖有承包人授权的施工场地管理机构章，并由承包人项目经理或其授权代表签字。</w:t>
      </w:r>
    </w:p>
    <w:p w14:paraId="37417E4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4.5.4 承包人项目经理可以授权其下属人员履行其某项职责，但事先应将这些人员的姓名和授权范围通知监理人。</w:t>
      </w:r>
    </w:p>
    <w:p w14:paraId="69FF38A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0" w:name="_Toc23442"/>
      <w:bookmarkStart w:id="611" w:name="_Toc32486"/>
      <w:bookmarkStart w:id="612" w:name="_Toc234833001"/>
      <w:bookmarkStart w:id="613" w:name="_Toc1378"/>
      <w:bookmarkStart w:id="614" w:name="_Toc30705"/>
      <w:r>
        <w:rPr>
          <w:rFonts w:hint="default" w:ascii="Times New Roman" w:hAnsi="Times New Roman" w:eastAsia="黑体" w:cs="Times New Roman"/>
          <w:b w:val="0"/>
          <w:color w:val="auto"/>
          <w:sz w:val="24"/>
          <w:szCs w:val="24"/>
          <w:highlight w:val="none"/>
        </w:rPr>
        <w:t>4.6 承包人人员的管理</w:t>
      </w:r>
      <w:bookmarkEnd w:id="610"/>
      <w:bookmarkEnd w:id="611"/>
      <w:bookmarkEnd w:id="612"/>
      <w:bookmarkEnd w:id="613"/>
      <w:bookmarkEnd w:id="614"/>
    </w:p>
    <w:p w14:paraId="5A9F04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658523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4.6.2 为完成合同约定的各项工作，承包人应向施工场地派遣或雇佣足够数量的下列人员：</w:t>
      </w:r>
    </w:p>
    <w:p w14:paraId="6A691B4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（1）具有相应资格的专业技工和合格的普工；</w:t>
      </w:r>
    </w:p>
    <w:p w14:paraId="3A67929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（2）具有相应施工经验的技术人员；</w:t>
      </w:r>
    </w:p>
    <w:p w14:paraId="2A64019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（3）具有相应岗位资格的各级管理人员。</w:t>
      </w:r>
    </w:p>
    <w:p w14:paraId="2E1BA6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4.6.3 承包人安排在施工场地的主要管理人员和技术骨干应相对稳定。承包人更换主要管理人员和技术骨干时，应取得监理人的同意。</w:t>
      </w:r>
    </w:p>
    <w:p w14:paraId="39E803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4.6.4 特殊岗位的工作人员均应持有相应的资格证明，监理人有权随时检查。监理人认为有必要时，可进行现场考核。</w:t>
      </w:r>
    </w:p>
    <w:p w14:paraId="2872D05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5" w:name="_Toc25941"/>
      <w:bookmarkStart w:id="616" w:name="_Toc19924"/>
      <w:bookmarkStart w:id="617" w:name="_Toc234833002"/>
      <w:bookmarkStart w:id="618" w:name="_Toc16860"/>
      <w:bookmarkStart w:id="619" w:name="_Toc29162"/>
      <w:r>
        <w:rPr>
          <w:rFonts w:hint="default" w:ascii="Times New Roman" w:hAnsi="Times New Roman" w:eastAsia="黑体" w:cs="Times New Roman"/>
          <w:b w:val="0"/>
          <w:color w:val="auto"/>
          <w:sz w:val="24"/>
          <w:szCs w:val="24"/>
          <w:highlight w:val="none"/>
        </w:rPr>
        <w:t>4.7 撤换承包人项目经理和其他人员</w:t>
      </w:r>
      <w:bookmarkEnd w:id="615"/>
      <w:bookmarkEnd w:id="616"/>
      <w:bookmarkEnd w:id="617"/>
      <w:bookmarkEnd w:id="618"/>
      <w:bookmarkEnd w:id="619"/>
    </w:p>
    <w:p w14:paraId="4D4D6D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w:t>
      </w:r>
    </w:p>
    <w:p w14:paraId="79BA11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0" w:name="_Toc514"/>
      <w:bookmarkStart w:id="621" w:name="_Toc234833003"/>
      <w:bookmarkStart w:id="622" w:name="_Toc2159"/>
      <w:bookmarkStart w:id="623" w:name="_Toc5844"/>
      <w:bookmarkStart w:id="624" w:name="_Toc9913"/>
      <w:r>
        <w:rPr>
          <w:rFonts w:hint="default" w:ascii="Times New Roman" w:hAnsi="Times New Roman" w:eastAsia="黑体" w:cs="Times New Roman"/>
          <w:b w:val="0"/>
          <w:color w:val="auto"/>
          <w:sz w:val="24"/>
          <w:szCs w:val="24"/>
          <w:highlight w:val="none"/>
        </w:rPr>
        <w:t>4.8 保障承包人人员的合法权益</w:t>
      </w:r>
      <w:bookmarkEnd w:id="620"/>
      <w:bookmarkEnd w:id="621"/>
      <w:bookmarkEnd w:id="622"/>
      <w:bookmarkEnd w:id="623"/>
      <w:bookmarkEnd w:id="624"/>
    </w:p>
    <w:p w14:paraId="0CAB05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4.8.1 承包人应与其雇佣的人员签订劳动合同，并按时发放工资。</w:t>
      </w:r>
    </w:p>
    <w:p w14:paraId="3C24CDE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4DCAB6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4.8.3 承包人应为其雇佣人员提供必要的食宿条件，以及符合环境保护和卫生要求的生活环境，在远离城镇的施工场地，还应配备必要的伤病防治和急救的医务人员与医疗设施。</w:t>
      </w:r>
    </w:p>
    <w:p w14:paraId="5A7AF6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21E343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4.8.5 承包人应按有关法律规定和合同约定，为其雇佣人员办理保险。</w:t>
      </w:r>
    </w:p>
    <w:p w14:paraId="6A3465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4.8.6 承包人应负责处理其雇佣人员因工伤亡事故的善后事宜。</w:t>
      </w:r>
    </w:p>
    <w:p w14:paraId="30C2120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5" w:name="_Toc234833004"/>
      <w:bookmarkStart w:id="626" w:name="_Toc5051"/>
      <w:bookmarkStart w:id="627" w:name="_Toc27171"/>
      <w:bookmarkStart w:id="628" w:name="_Toc29044"/>
      <w:bookmarkStart w:id="629" w:name="_Toc1107"/>
      <w:r>
        <w:rPr>
          <w:rFonts w:hint="default" w:ascii="Times New Roman" w:hAnsi="Times New Roman" w:eastAsia="黑体" w:cs="Times New Roman"/>
          <w:b w:val="0"/>
          <w:color w:val="auto"/>
          <w:sz w:val="24"/>
          <w:szCs w:val="24"/>
          <w:highlight w:val="none"/>
        </w:rPr>
        <w:t>4.9 工程价款应专款专用</w:t>
      </w:r>
      <w:bookmarkEnd w:id="625"/>
      <w:bookmarkEnd w:id="626"/>
      <w:bookmarkEnd w:id="627"/>
      <w:bookmarkEnd w:id="628"/>
      <w:bookmarkEnd w:id="629"/>
    </w:p>
    <w:p w14:paraId="61EA0D4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发包人按合同约定支付给承包人的各项价款应专用于合同工程。</w:t>
      </w:r>
    </w:p>
    <w:p w14:paraId="2227B53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30" w:name="_Toc28976"/>
      <w:bookmarkStart w:id="631" w:name="_Toc25811"/>
      <w:bookmarkStart w:id="632" w:name="_Toc7089"/>
      <w:bookmarkStart w:id="633" w:name="_Toc234833005"/>
      <w:bookmarkStart w:id="634" w:name="_Toc9152"/>
      <w:r>
        <w:rPr>
          <w:rFonts w:hint="default" w:ascii="Times New Roman" w:hAnsi="Times New Roman" w:eastAsia="黑体" w:cs="Times New Roman"/>
          <w:b w:val="0"/>
          <w:color w:val="auto"/>
          <w:sz w:val="24"/>
          <w:szCs w:val="24"/>
          <w:highlight w:val="none"/>
        </w:rPr>
        <w:t>4.10 承包人现场查勘</w:t>
      </w:r>
      <w:bookmarkEnd w:id="630"/>
      <w:bookmarkEnd w:id="631"/>
      <w:bookmarkEnd w:id="632"/>
      <w:bookmarkEnd w:id="633"/>
      <w:bookmarkEnd w:id="634"/>
      <w:r>
        <w:rPr>
          <w:rFonts w:hint="default" w:ascii="Times New Roman" w:hAnsi="Times New Roman" w:eastAsia="黑体" w:cs="Times New Roman"/>
          <w:b w:val="0"/>
          <w:color w:val="auto"/>
          <w:sz w:val="24"/>
          <w:szCs w:val="24"/>
          <w:highlight w:val="none"/>
        </w:rPr>
        <w:t xml:space="preserve">    </w:t>
      </w:r>
    </w:p>
    <w:p w14:paraId="1AD747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4.10.1 发包人应将其持有的现场地质勘探资料、水文气象资料提供给承包人，并对其准确性负责。但承包人应对其阅读上述有关资料后所作出的解释和推断负责。</w:t>
      </w:r>
    </w:p>
    <w:p w14:paraId="1C8814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9860B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35" w:name="_Toc9021"/>
      <w:bookmarkStart w:id="636" w:name="_Toc17320"/>
      <w:bookmarkStart w:id="637" w:name="_Toc234833006"/>
      <w:bookmarkStart w:id="638" w:name="_Toc13491"/>
      <w:bookmarkStart w:id="639" w:name="_Toc22483"/>
      <w:r>
        <w:rPr>
          <w:rFonts w:hint="default" w:ascii="Times New Roman" w:hAnsi="Times New Roman" w:eastAsia="黑体" w:cs="Times New Roman"/>
          <w:b w:val="0"/>
          <w:color w:val="auto"/>
          <w:sz w:val="24"/>
          <w:szCs w:val="24"/>
          <w:highlight w:val="none"/>
        </w:rPr>
        <w:t>4.11 不利物质条件</w:t>
      </w:r>
      <w:bookmarkEnd w:id="635"/>
      <w:bookmarkEnd w:id="636"/>
      <w:bookmarkEnd w:id="637"/>
      <w:bookmarkEnd w:id="638"/>
      <w:bookmarkEnd w:id="639"/>
    </w:p>
    <w:p w14:paraId="2BB235D9">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4.11.1不利物质条件，除专用合同条款另有约定外，是指承包人在施工场地遇到的不可预见的自然物质条件、非自然的物质障碍和污染物，包括地下和水文条件，但不包括气候条件。</w:t>
      </w:r>
    </w:p>
    <w:p w14:paraId="352B6CB6">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0376E8E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40" w:name="_Toc4965"/>
      <w:bookmarkStart w:id="641" w:name="_Toc234833007"/>
      <w:bookmarkStart w:id="642" w:name="_Toc17106"/>
      <w:bookmarkStart w:id="643" w:name="_Toc25496"/>
      <w:bookmarkStart w:id="644" w:name="_Toc2987"/>
      <w:r>
        <w:rPr>
          <w:rFonts w:hint="default" w:ascii="Times New Roman" w:hAnsi="Times New Roman" w:eastAsia="黑体" w:cs="Times New Roman"/>
          <w:b w:val="0"/>
          <w:color w:val="auto"/>
          <w:sz w:val="28"/>
          <w:szCs w:val="28"/>
          <w:highlight w:val="none"/>
        </w:rPr>
        <w:t>5. 材料和工程设备</w:t>
      </w:r>
      <w:bookmarkEnd w:id="640"/>
      <w:bookmarkEnd w:id="641"/>
      <w:bookmarkEnd w:id="642"/>
      <w:bookmarkEnd w:id="643"/>
      <w:bookmarkEnd w:id="644"/>
    </w:p>
    <w:p w14:paraId="7CD8C1A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45" w:name="_Toc234833008"/>
      <w:bookmarkStart w:id="646" w:name="_Toc4914"/>
      <w:bookmarkStart w:id="647" w:name="_Toc20835"/>
      <w:bookmarkStart w:id="648" w:name="_Toc17077"/>
      <w:bookmarkStart w:id="649" w:name="_Toc28474"/>
      <w:r>
        <w:rPr>
          <w:rFonts w:hint="default" w:ascii="Times New Roman" w:hAnsi="Times New Roman" w:eastAsia="黑体" w:cs="Times New Roman"/>
          <w:b w:val="0"/>
          <w:color w:val="auto"/>
          <w:sz w:val="24"/>
          <w:szCs w:val="24"/>
          <w:highlight w:val="none"/>
        </w:rPr>
        <w:t>5.1 承包人提供的材料和工程设备</w:t>
      </w:r>
      <w:bookmarkEnd w:id="645"/>
      <w:bookmarkEnd w:id="646"/>
      <w:bookmarkEnd w:id="647"/>
      <w:bookmarkEnd w:id="648"/>
      <w:bookmarkEnd w:id="649"/>
    </w:p>
    <w:p w14:paraId="023EC79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5.1.1 除专用合同条款另有约定外，承包人提供的材料和工程设备均由承包人负责采购、运输和保管。承包人应对其采购的材料和工程设备负责。</w:t>
      </w:r>
    </w:p>
    <w:p w14:paraId="636488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5.1.2 承包人应按专用合同条款的约定，将各项材料和工程设备的供货人及品种、规格、数量和供货时间等报送监理人审批。承包人应向监理</w:t>
      </w:r>
      <w:r>
        <w:rPr>
          <w:rFonts w:hint="default" w:ascii="Times New Roman" w:hAnsi="Times New Roman" w:cs="Times New Roman"/>
          <w:iCs/>
          <w:color w:val="auto"/>
          <w:sz w:val="24"/>
          <w:highlight w:val="none"/>
        </w:rPr>
        <w:t>人</w:t>
      </w:r>
      <w:r>
        <w:rPr>
          <w:rFonts w:hint="default" w:ascii="Times New Roman" w:hAnsi="Times New Roman" w:cs="Times New Roman"/>
          <w:color w:val="auto"/>
          <w:sz w:val="24"/>
          <w:highlight w:val="none"/>
        </w:rPr>
        <w:t>提交其负责提供的材料和工程设备的质量证明文件，并满足合同约定的质量标准。</w:t>
      </w:r>
    </w:p>
    <w:p w14:paraId="5F1B00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422347A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0" w:name="_Toc1587"/>
      <w:bookmarkStart w:id="651" w:name="_Toc234833009"/>
      <w:bookmarkStart w:id="652" w:name="_Toc17398"/>
      <w:bookmarkStart w:id="653" w:name="_Toc5584"/>
      <w:bookmarkStart w:id="654" w:name="_Toc11854"/>
      <w:r>
        <w:rPr>
          <w:rFonts w:hint="default" w:ascii="Times New Roman" w:hAnsi="Times New Roman" w:eastAsia="黑体" w:cs="Times New Roman"/>
          <w:b w:val="0"/>
          <w:color w:val="auto"/>
          <w:sz w:val="24"/>
          <w:szCs w:val="24"/>
          <w:highlight w:val="none"/>
        </w:rPr>
        <w:t>5.2 发包人提供的材料和工程设备</w:t>
      </w:r>
      <w:bookmarkEnd w:id="650"/>
      <w:bookmarkEnd w:id="651"/>
      <w:bookmarkEnd w:id="652"/>
      <w:bookmarkEnd w:id="653"/>
      <w:bookmarkEnd w:id="654"/>
    </w:p>
    <w:p w14:paraId="4AA8AF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 发包人提供的材料和工程设备，应在专用合同条款中写明材料和工程设备的名称、规格、数量、价格、交货方式、交货地点和计划交货日期等。</w:t>
      </w:r>
    </w:p>
    <w:p w14:paraId="46496F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 承包人应根据合同进度计划的安排，向监理人报送要求发包人交货的日期计划。发包人应按照监理人与合同双方当事人</w:t>
      </w:r>
      <w:r>
        <w:rPr>
          <w:rFonts w:hint="default" w:ascii="Times New Roman" w:hAnsi="Times New Roman" w:cs="Times New Roman"/>
          <w:iCs/>
          <w:color w:val="auto"/>
          <w:sz w:val="24"/>
          <w:highlight w:val="none"/>
        </w:rPr>
        <w:t>商定</w:t>
      </w:r>
      <w:r>
        <w:rPr>
          <w:rFonts w:hint="default" w:ascii="Times New Roman" w:hAnsi="Times New Roman" w:cs="Times New Roman"/>
          <w:color w:val="auto"/>
          <w:sz w:val="24"/>
          <w:highlight w:val="none"/>
        </w:rPr>
        <w:t>的交货日期，向承包人提交材料和工程设备。</w:t>
      </w:r>
    </w:p>
    <w:p w14:paraId="57AF02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1E19E8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5.2.4 发包人要求向承包人提前交货的，承包人不得拒绝，但发包人应承担承包人由此增加的费用。 </w:t>
      </w:r>
    </w:p>
    <w:p w14:paraId="418071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5.2.5 承包人要求更改交货日期或地点的，应事先报请监理人批准。由于承包人要求更改交货时间或地点所增加的费用和（或）工期延误由承包人承担。 </w:t>
      </w:r>
    </w:p>
    <w:p w14:paraId="156D5AE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142A3EE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5" w:name="_Toc16074"/>
      <w:bookmarkStart w:id="656" w:name="_Toc3308"/>
      <w:bookmarkStart w:id="657" w:name="_Toc23205"/>
      <w:bookmarkStart w:id="658" w:name="_Toc234833010"/>
      <w:bookmarkStart w:id="659" w:name="_Toc32393"/>
      <w:r>
        <w:rPr>
          <w:rFonts w:hint="default" w:ascii="Times New Roman" w:hAnsi="Times New Roman" w:eastAsia="黑体" w:cs="Times New Roman"/>
          <w:b w:val="0"/>
          <w:color w:val="auto"/>
          <w:sz w:val="24"/>
          <w:szCs w:val="24"/>
          <w:highlight w:val="none"/>
        </w:rPr>
        <w:t>5.3 材料和工程设备专用于合同工程</w:t>
      </w:r>
      <w:bookmarkEnd w:id="655"/>
      <w:bookmarkEnd w:id="656"/>
      <w:bookmarkEnd w:id="657"/>
      <w:bookmarkEnd w:id="658"/>
      <w:bookmarkEnd w:id="659"/>
    </w:p>
    <w:p w14:paraId="3916FA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5.3.1运入施工场地的材料、工程设备，包括备品备件、安装专用工器具与随机资料，必须专用于合同工程，未经监理人同意，承包人不得运出施工场地或挪作他用。</w:t>
      </w:r>
    </w:p>
    <w:p w14:paraId="141C6C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7C5A422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60" w:name="_Toc16251"/>
      <w:bookmarkStart w:id="661" w:name="_Toc234833011"/>
      <w:bookmarkStart w:id="662" w:name="_Toc25420"/>
      <w:bookmarkStart w:id="663" w:name="_Toc5084"/>
      <w:bookmarkStart w:id="664" w:name="_Toc30003"/>
      <w:r>
        <w:rPr>
          <w:rFonts w:hint="default" w:ascii="Times New Roman" w:hAnsi="Times New Roman" w:eastAsia="黑体" w:cs="Times New Roman"/>
          <w:b w:val="0"/>
          <w:color w:val="auto"/>
          <w:sz w:val="24"/>
          <w:szCs w:val="24"/>
          <w:highlight w:val="none"/>
        </w:rPr>
        <w:t>5.4 禁止使用不合格的材料和工程设备</w:t>
      </w:r>
      <w:bookmarkEnd w:id="660"/>
      <w:bookmarkEnd w:id="661"/>
      <w:bookmarkEnd w:id="662"/>
      <w:bookmarkEnd w:id="663"/>
      <w:bookmarkEnd w:id="664"/>
      <w:r>
        <w:rPr>
          <w:rFonts w:hint="default" w:ascii="Times New Roman" w:hAnsi="Times New Roman" w:eastAsia="黑体" w:cs="Times New Roman"/>
          <w:b w:val="0"/>
          <w:color w:val="auto"/>
          <w:sz w:val="24"/>
          <w:szCs w:val="24"/>
          <w:highlight w:val="none"/>
        </w:rPr>
        <w:t xml:space="preserve"> </w:t>
      </w:r>
    </w:p>
    <w:p w14:paraId="6C6C10E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5.4.1 监理人有权拒绝承包人提供的不合格材料或工程设备，并要求承包人立即进行更换。监理人应在更换后再次进行检查和检验，由此增加的费用和（或）工期延误由承包人承担。</w:t>
      </w:r>
    </w:p>
    <w:p w14:paraId="670BBBB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5.4.2 监理人发现承包人使用了不合格的材料和工程设备，应即时发出指示要求承包人立即改正，并禁止在工程中继续使用不合格的材料和工程设备。</w:t>
      </w:r>
    </w:p>
    <w:p w14:paraId="45505F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5.4.3 发包人提供的材料或工程设备不符合合同要求的，承包人有权拒绝，并可要求发包人更换，由此增加的费用和（或）工期延误由发包人承担。</w:t>
      </w:r>
    </w:p>
    <w:p w14:paraId="439A63E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65" w:name="_Toc29185"/>
      <w:bookmarkStart w:id="666" w:name="_Toc17211"/>
      <w:bookmarkStart w:id="667" w:name="_Toc234833012"/>
      <w:bookmarkStart w:id="668" w:name="_Toc26517"/>
      <w:bookmarkStart w:id="669" w:name="_Toc19538"/>
      <w:r>
        <w:rPr>
          <w:rFonts w:hint="default" w:ascii="Times New Roman" w:hAnsi="Times New Roman" w:eastAsia="黑体" w:cs="Times New Roman"/>
          <w:b w:val="0"/>
          <w:color w:val="auto"/>
          <w:sz w:val="28"/>
          <w:szCs w:val="28"/>
          <w:highlight w:val="none"/>
        </w:rPr>
        <w:t>6. 施工设备和临时设施</w:t>
      </w:r>
      <w:bookmarkEnd w:id="665"/>
      <w:bookmarkEnd w:id="666"/>
      <w:bookmarkEnd w:id="667"/>
      <w:bookmarkEnd w:id="668"/>
      <w:bookmarkEnd w:id="669"/>
      <w:r>
        <w:rPr>
          <w:rFonts w:hint="default" w:ascii="Times New Roman" w:hAnsi="Times New Roman" w:eastAsia="黑体" w:cs="Times New Roman"/>
          <w:b w:val="0"/>
          <w:color w:val="auto"/>
          <w:sz w:val="28"/>
          <w:szCs w:val="28"/>
          <w:highlight w:val="none"/>
        </w:rPr>
        <w:t xml:space="preserve"> </w:t>
      </w:r>
    </w:p>
    <w:p w14:paraId="04B0455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70" w:name="_Toc11446"/>
      <w:bookmarkStart w:id="671" w:name="_Toc4093"/>
      <w:bookmarkStart w:id="672" w:name="_Toc12035"/>
      <w:bookmarkStart w:id="673" w:name="_Toc234833013"/>
      <w:bookmarkStart w:id="674" w:name="_Toc14244"/>
      <w:r>
        <w:rPr>
          <w:rFonts w:hint="default" w:ascii="Times New Roman" w:hAnsi="Times New Roman" w:eastAsia="黑体" w:cs="Times New Roman"/>
          <w:b w:val="0"/>
          <w:color w:val="auto"/>
          <w:sz w:val="24"/>
          <w:szCs w:val="24"/>
          <w:highlight w:val="none"/>
        </w:rPr>
        <w:t>6.1 承包人提供的施工设备和临时设施</w:t>
      </w:r>
      <w:bookmarkEnd w:id="670"/>
      <w:bookmarkEnd w:id="671"/>
      <w:bookmarkEnd w:id="672"/>
      <w:bookmarkEnd w:id="673"/>
      <w:bookmarkEnd w:id="674"/>
    </w:p>
    <w:p w14:paraId="065CDB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0AE085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6.1.2 除专用合同条款另有约定外，承包人应自行承担修建临时设施的费用，需要临时占地的，应由发包人办理申请手续并承担相应费用。</w:t>
      </w:r>
    </w:p>
    <w:p w14:paraId="7C1E3B7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75" w:name="_Toc234833014"/>
      <w:bookmarkStart w:id="676" w:name="_Toc25302"/>
      <w:bookmarkStart w:id="677" w:name="_Toc4812"/>
      <w:bookmarkStart w:id="678" w:name="_Toc30109"/>
      <w:bookmarkStart w:id="679" w:name="_Toc31129"/>
      <w:r>
        <w:rPr>
          <w:rFonts w:hint="default" w:ascii="Times New Roman" w:hAnsi="Times New Roman" w:eastAsia="黑体" w:cs="Times New Roman"/>
          <w:b w:val="0"/>
          <w:color w:val="auto"/>
          <w:sz w:val="24"/>
          <w:szCs w:val="24"/>
          <w:highlight w:val="none"/>
        </w:rPr>
        <w:t>6.2 发包人提供的施工设备和临时设施</w:t>
      </w:r>
      <w:bookmarkEnd w:id="675"/>
      <w:bookmarkEnd w:id="676"/>
      <w:bookmarkEnd w:id="677"/>
      <w:bookmarkEnd w:id="678"/>
      <w:bookmarkEnd w:id="679"/>
    </w:p>
    <w:p w14:paraId="6047B07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发包人提供的施工设备或临时设施在专用合同条款中约定。</w:t>
      </w:r>
    </w:p>
    <w:p w14:paraId="09705FC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80" w:name="_Toc7691"/>
      <w:bookmarkStart w:id="681" w:name="_Toc29190"/>
      <w:bookmarkStart w:id="682" w:name="_Toc1669"/>
      <w:bookmarkStart w:id="683" w:name="_Toc26083"/>
      <w:bookmarkStart w:id="684" w:name="_Toc234833015"/>
      <w:r>
        <w:rPr>
          <w:rFonts w:hint="default" w:ascii="Times New Roman" w:hAnsi="Times New Roman" w:eastAsia="黑体" w:cs="Times New Roman"/>
          <w:b w:val="0"/>
          <w:color w:val="auto"/>
          <w:sz w:val="24"/>
          <w:szCs w:val="24"/>
          <w:highlight w:val="none"/>
        </w:rPr>
        <w:t>6.3 要求承包人增加或更换施工设备</w:t>
      </w:r>
      <w:bookmarkEnd w:id="680"/>
      <w:bookmarkEnd w:id="681"/>
      <w:bookmarkEnd w:id="682"/>
      <w:bookmarkEnd w:id="683"/>
      <w:bookmarkEnd w:id="684"/>
    </w:p>
    <w:p w14:paraId="34EA058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4D1357A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85" w:name="_Toc13599"/>
      <w:bookmarkStart w:id="686" w:name="_Toc19683"/>
      <w:bookmarkStart w:id="687" w:name="_Toc20359"/>
      <w:bookmarkStart w:id="688" w:name="_Toc234833016"/>
      <w:bookmarkStart w:id="689" w:name="_Toc18996"/>
      <w:r>
        <w:rPr>
          <w:rFonts w:hint="default" w:ascii="Times New Roman" w:hAnsi="Times New Roman" w:eastAsia="黑体" w:cs="Times New Roman"/>
          <w:b w:val="0"/>
          <w:color w:val="auto"/>
          <w:sz w:val="24"/>
          <w:szCs w:val="24"/>
          <w:highlight w:val="none"/>
        </w:rPr>
        <w:t>6.4 施工设备和临时设施专用于合同工程</w:t>
      </w:r>
      <w:bookmarkEnd w:id="685"/>
      <w:bookmarkEnd w:id="686"/>
      <w:bookmarkEnd w:id="687"/>
      <w:bookmarkEnd w:id="688"/>
      <w:bookmarkEnd w:id="689"/>
    </w:p>
    <w:p w14:paraId="2E8F8F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34EBAD6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6.4.2 经监理人同意，承包人可根据合同进度计划撤走闲置的施工设备。</w:t>
      </w:r>
    </w:p>
    <w:p w14:paraId="14AD3BBA">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90" w:name="_Toc234833017"/>
      <w:bookmarkStart w:id="691" w:name="_Toc7239"/>
      <w:bookmarkStart w:id="692" w:name="_Toc16465"/>
      <w:bookmarkStart w:id="693" w:name="_Toc18503"/>
      <w:bookmarkStart w:id="694" w:name="_Toc7342"/>
      <w:r>
        <w:rPr>
          <w:rFonts w:hint="default" w:ascii="Times New Roman" w:hAnsi="Times New Roman" w:eastAsia="黑体" w:cs="Times New Roman"/>
          <w:b w:val="0"/>
          <w:color w:val="auto"/>
          <w:sz w:val="28"/>
          <w:szCs w:val="28"/>
          <w:highlight w:val="none"/>
        </w:rPr>
        <w:t>7. 交通运输</w:t>
      </w:r>
      <w:bookmarkEnd w:id="690"/>
      <w:bookmarkEnd w:id="691"/>
      <w:bookmarkEnd w:id="692"/>
      <w:bookmarkEnd w:id="693"/>
      <w:bookmarkEnd w:id="694"/>
      <w:r>
        <w:rPr>
          <w:rFonts w:hint="default" w:ascii="Times New Roman" w:hAnsi="Times New Roman" w:eastAsia="黑体" w:cs="Times New Roman"/>
          <w:b w:val="0"/>
          <w:color w:val="auto"/>
          <w:sz w:val="28"/>
          <w:szCs w:val="28"/>
          <w:highlight w:val="none"/>
        </w:rPr>
        <w:t xml:space="preserve"> </w:t>
      </w:r>
    </w:p>
    <w:p w14:paraId="42F432A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95" w:name="_Toc2798"/>
      <w:bookmarkStart w:id="696" w:name="_Toc16812"/>
      <w:bookmarkStart w:id="697" w:name="_Toc26715"/>
      <w:bookmarkStart w:id="698" w:name="_Toc234833018"/>
      <w:bookmarkStart w:id="699" w:name="_Toc6489"/>
      <w:r>
        <w:rPr>
          <w:rFonts w:hint="default" w:ascii="Times New Roman" w:hAnsi="Times New Roman" w:eastAsia="黑体" w:cs="Times New Roman"/>
          <w:b w:val="0"/>
          <w:color w:val="auto"/>
          <w:sz w:val="24"/>
          <w:szCs w:val="24"/>
          <w:highlight w:val="none"/>
        </w:rPr>
        <w:t>7.1 道路通行权和场外设施</w:t>
      </w:r>
      <w:bookmarkEnd w:id="695"/>
      <w:bookmarkEnd w:id="696"/>
      <w:bookmarkEnd w:id="697"/>
      <w:bookmarkEnd w:id="698"/>
      <w:bookmarkEnd w:id="699"/>
    </w:p>
    <w:p w14:paraId="115D84EF">
      <w:pPr>
        <w:pageBreakBefore w:val="0"/>
        <w:kinsoku/>
        <w:wordWrap w:val="0"/>
        <w:bidi w:val="0"/>
        <w:spacing w:line="400" w:lineRule="atLeast"/>
        <w:ind w:firstLine="420"/>
        <w:rPr>
          <w:rFonts w:hint="default" w:ascii="Times New Roman" w:hAnsi="Times New Roman" w:cs="Times New Roman"/>
          <w:i/>
          <w:color w:val="auto"/>
          <w:sz w:val="24"/>
          <w:highlight w:val="none"/>
        </w:rPr>
      </w:pPr>
      <w:r>
        <w:rPr>
          <w:rFonts w:hint="default" w:ascii="Times New Roman" w:hAnsi="Times New Roman" w:cs="Times New Roman"/>
          <w:color w:val="auto"/>
          <w:sz w:val="24"/>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00BA1B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0" w:name="_Toc18679"/>
      <w:bookmarkStart w:id="701" w:name="_Toc9049"/>
      <w:bookmarkStart w:id="702" w:name="_Toc9056"/>
      <w:bookmarkStart w:id="703" w:name="_Toc234833019"/>
      <w:bookmarkStart w:id="704" w:name="_Toc9296"/>
      <w:r>
        <w:rPr>
          <w:rFonts w:hint="default" w:ascii="Times New Roman" w:hAnsi="Times New Roman" w:eastAsia="黑体" w:cs="Times New Roman"/>
          <w:b w:val="0"/>
          <w:color w:val="auto"/>
          <w:sz w:val="24"/>
          <w:szCs w:val="24"/>
          <w:highlight w:val="none"/>
        </w:rPr>
        <w:t>7.2 场内施工道路</w:t>
      </w:r>
      <w:bookmarkEnd w:id="700"/>
      <w:bookmarkEnd w:id="701"/>
      <w:bookmarkEnd w:id="702"/>
      <w:bookmarkEnd w:id="703"/>
      <w:bookmarkEnd w:id="704"/>
    </w:p>
    <w:p w14:paraId="3276FC9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7.2.1 除专用合同条款另有约定外，承包人应负责修建、维修、养护和管理施工所需的临时道路和交通设施，包括维修、养护和管理发包人提供的道路和交通设施，并承担相应费用。</w:t>
      </w:r>
    </w:p>
    <w:p w14:paraId="5F5CD1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7.2.2 除专用合同条款另有约定外，承包人修建的临时道路和交通设施应免费提供发包人和监理人使用。</w:t>
      </w:r>
    </w:p>
    <w:p w14:paraId="610E8F5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5" w:name="_Toc31425"/>
      <w:bookmarkStart w:id="706" w:name="_Toc234833020"/>
      <w:bookmarkStart w:id="707" w:name="_Toc19305"/>
      <w:bookmarkStart w:id="708" w:name="_Toc21208"/>
      <w:bookmarkStart w:id="709" w:name="_Toc16389"/>
      <w:r>
        <w:rPr>
          <w:rFonts w:hint="default" w:ascii="Times New Roman" w:hAnsi="Times New Roman" w:eastAsia="黑体" w:cs="Times New Roman"/>
          <w:b w:val="0"/>
          <w:color w:val="auto"/>
          <w:sz w:val="24"/>
          <w:szCs w:val="24"/>
          <w:highlight w:val="none"/>
        </w:rPr>
        <w:t>7.3 场外交通</w:t>
      </w:r>
      <w:bookmarkEnd w:id="705"/>
      <w:bookmarkEnd w:id="706"/>
      <w:bookmarkEnd w:id="707"/>
      <w:bookmarkEnd w:id="708"/>
      <w:bookmarkEnd w:id="709"/>
    </w:p>
    <w:p w14:paraId="33BB13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7.3.1 承包人车辆外出行驶所需的场外公共道路的通行费、养路费和税款等由承包人承担。</w:t>
      </w:r>
    </w:p>
    <w:p w14:paraId="4C3883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7.3.2 承包人应遵守有关交通法规，严格按照道路和桥梁的限制荷重安全行驶，并服从交通管理部门的检查和监督。</w:t>
      </w:r>
    </w:p>
    <w:p w14:paraId="3396B6C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10" w:name="_Toc16025"/>
      <w:bookmarkStart w:id="711" w:name="_Toc29695"/>
      <w:bookmarkStart w:id="712" w:name="_Toc15125"/>
      <w:bookmarkStart w:id="713" w:name="_Toc3057"/>
      <w:bookmarkStart w:id="714" w:name="_Toc234833021"/>
      <w:r>
        <w:rPr>
          <w:rFonts w:hint="default" w:ascii="Times New Roman" w:hAnsi="Times New Roman" w:eastAsia="黑体" w:cs="Times New Roman"/>
          <w:b w:val="0"/>
          <w:color w:val="auto"/>
          <w:sz w:val="24"/>
          <w:szCs w:val="24"/>
          <w:highlight w:val="none"/>
        </w:rPr>
        <w:t>7.4 超大件和超重件的运输</w:t>
      </w:r>
      <w:bookmarkEnd w:id="710"/>
      <w:bookmarkEnd w:id="711"/>
      <w:bookmarkEnd w:id="712"/>
      <w:bookmarkEnd w:id="713"/>
      <w:bookmarkEnd w:id="714"/>
    </w:p>
    <w:p w14:paraId="6F422D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CD712BD">
      <w:pPr>
        <w:pageBreakBefore w:val="0"/>
        <w:kinsoku/>
        <w:wordWrap w:val="0"/>
        <w:bidi w:val="0"/>
        <w:spacing w:line="400" w:lineRule="atLeast"/>
        <w:rPr>
          <w:rFonts w:hint="default" w:ascii="Times New Roman" w:hAnsi="Times New Roman" w:cs="Times New Roman"/>
          <w:color w:val="auto"/>
          <w:sz w:val="24"/>
          <w:highlight w:val="none"/>
        </w:rPr>
      </w:pPr>
    </w:p>
    <w:p w14:paraId="066B8B2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15" w:name="_Toc30531"/>
      <w:bookmarkStart w:id="716" w:name="_Toc5290"/>
      <w:bookmarkStart w:id="717" w:name="_Toc9627"/>
      <w:bookmarkStart w:id="718" w:name="_Toc340"/>
      <w:bookmarkStart w:id="719" w:name="_Toc234833022"/>
      <w:r>
        <w:rPr>
          <w:rFonts w:hint="default" w:ascii="Times New Roman" w:hAnsi="Times New Roman" w:eastAsia="黑体" w:cs="Times New Roman"/>
          <w:b w:val="0"/>
          <w:color w:val="auto"/>
          <w:sz w:val="24"/>
          <w:szCs w:val="24"/>
          <w:highlight w:val="none"/>
        </w:rPr>
        <w:t>7.5 道路和桥梁的损坏责任</w:t>
      </w:r>
      <w:bookmarkEnd w:id="715"/>
      <w:bookmarkEnd w:id="716"/>
      <w:bookmarkEnd w:id="717"/>
      <w:bookmarkEnd w:id="718"/>
      <w:bookmarkEnd w:id="719"/>
    </w:p>
    <w:p w14:paraId="649C12C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因承包人运输造成施工场地内外公共道路和桥梁损坏的，由承包人承担修复损坏的全部费用和可能引起的赔偿。</w:t>
      </w:r>
    </w:p>
    <w:p w14:paraId="0FA1618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20" w:name="_Toc9650"/>
      <w:bookmarkStart w:id="721" w:name="_Toc30141"/>
      <w:bookmarkStart w:id="722" w:name="_Toc25193"/>
      <w:bookmarkStart w:id="723" w:name="_Toc234833023"/>
      <w:bookmarkStart w:id="724" w:name="_Toc23109"/>
      <w:r>
        <w:rPr>
          <w:rFonts w:hint="default" w:ascii="Times New Roman" w:hAnsi="Times New Roman" w:eastAsia="黑体" w:cs="Times New Roman"/>
          <w:b w:val="0"/>
          <w:color w:val="auto"/>
          <w:sz w:val="24"/>
          <w:szCs w:val="24"/>
          <w:highlight w:val="none"/>
        </w:rPr>
        <w:t>7.6 水路和航空运输</w:t>
      </w:r>
      <w:bookmarkEnd w:id="720"/>
      <w:bookmarkEnd w:id="721"/>
      <w:bookmarkEnd w:id="722"/>
      <w:bookmarkEnd w:id="723"/>
      <w:bookmarkEnd w:id="724"/>
    </w:p>
    <w:p w14:paraId="2AFDABC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本条上述各款的内容适用于水路运输和航空运输，其中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道路</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一词的涵义包括河道、航线、船闸、机场、码头、堤防以及水路或航空运输中其他相似结构物；</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车辆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一词的涵义包括船舶和飞机等。 </w:t>
      </w:r>
    </w:p>
    <w:p w14:paraId="5269287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25" w:name="_Toc19372"/>
      <w:bookmarkStart w:id="726" w:name="_Toc24534"/>
      <w:bookmarkStart w:id="727" w:name="_Toc20896"/>
      <w:bookmarkStart w:id="728" w:name="_Toc234833024"/>
      <w:bookmarkStart w:id="729" w:name="_Toc4669"/>
      <w:r>
        <w:rPr>
          <w:rFonts w:hint="default" w:ascii="Times New Roman" w:hAnsi="Times New Roman" w:eastAsia="黑体" w:cs="Times New Roman"/>
          <w:b w:val="0"/>
          <w:color w:val="auto"/>
          <w:sz w:val="28"/>
          <w:szCs w:val="28"/>
          <w:highlight w:val="none"/>
        </w:rPr>
        <w:t>8. 测量放线</w:t>
      </w:r>
      <w:bookmarkEnd w:id="725"/>
      <w:bookmarkEnd w:id="726"/>
      <w:bookmarkEnd w:id="727"/>
      <w:bookmarkEnd w:id="728"/>
      <w:bookmarkEnd w:id="729"/>
    </w:p>
    <w:p w14:paraId="33AECE3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0" w:name="_Toc22172"/>
      <w:bookmarkStart w:id="731" w:name="_Toc234833025"/>
      <w:bookmarkStart w:id="732" w:name="_Toc709"/>
      <w:bookmarkStart w:id="733" w:name="_Toc9189"/>
      <w:bookmarkStart w:id="734" w:name="_Toc10567"/>
      <w:r>
        <w:rPr>
          <w:rFonts w:hint="default" w:ascii="Times New Roman" w:hAnsi="Times New Roman" w:eastAsia="黑体" w:cs="Times New Roman"/>
          <w:b w:val="0"/>
          <w:color w:val="auto"/>
          <w:sz w:val="24"/>
          <w:szCs w:val="24"/>
          <w:highlight w:val="none"/>
        </w:rPr>
        <w:t>8.1 施工控制网</w:t>
      </w:r>
      <w:bookmarkEnd w:id="730"/>
      <w:bookmarkEnd w:id="731"/>
      <w:bookmarkEnd w:id="732"/>
      <w:bookmarkEnd w:id="733"/>
      <w:bookmarkEnd w:id="734"/>
    </w:p>
    <w:p w14:paraId="21DD54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422D1AE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8.1.2承包人应负责管理施工控制网点。施工控制网点丢失或损坏的，承包人应及时修复。承包人应承担施工控制网点的管理与修复费用，并在工程竣工后将施工控制网点移交发包人。</w:t>
      </w:r>
    </w:p>
    <w:p w14:paraId="21C3CB0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5" w:name="_Toc234833026"/>
      <w:bookmarkStart w:id="736" w:name="_Toc23418"/>
      <w:bookmarkStart w:id="737" w:name="_Toc17769"/>
      <w:bookmarkStart w:id="738" w:name="_Toc25309"/>
      <w:bookmarkStart w:id="739" w:name="_Toc4204"/>
      <w:r>
        <w:rPr>
          <w:rFonts w:hint="default" w:ascii="Times New Roman" w:hAnsi="Times New Roman" w:eastAsia="黑体" w:cs="Times New Roman"/>
          <w:b w:val="0"/>
          <w:color w:val="auto"/>
          <w:sz w:val="24"/>
          <w:szCs w:val="24"/>
          <w:highlight w:val="none"/>
        </w:rPr>
        <w:t>8.2 施工测量</w:t>
      </w:r>
      <w:bookmarkEnd w:id="735"/>
      <w:bookmarkEnd w:id="736"/>
      <w:bookmarkEnd w:id="737"/>
      <w:bookmarkEnd w:id="738"/>
      <w:bookmarkEnd w:id="739"/>
    </w:p>
    <w:p w14:paraId="10F2B8A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8.2.1承包人应负责施工过程中的全部施工测量放线工作，并配置合格的人员、仪器、设备和其他物品。</w:t>
      </w:r>
    </w:p>
    <w:p w14:paraId="6995EA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8.2.2监理人可以指示承包人进行抽样复测，当复测中发现错误或出现超过合同约定的误差时，承包人应按监理人指示进行修正或补测，并承担相应的复测费用。</w:t>
      </w:r>
    </w:p>
    <w:p w14:paraId="1737729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40" w:name="_Toc26654"/>
      <w:bookmarkStart w:id="741" w:name="_Toc27621"/>
      <w:bookmarkStart w:id="742" w:name="_Toc10297"/>
      <w:bookmarkStart w:id="743" w:name="_Toc30617"/>
      <w:bookmarkStart w:id="744" w:name="_Toc234833027"/>
      <w:r>
        <w:rPr>
          <w:rFonts w:hint="default" w:ascii="Times New Roman" w:hAnsi="Times New Roman" w:eastAsia="黑体" w:cs="Times New Roman"/>
          <w:b w:val="0"/>
          <w:color w:val="auto"/>
          <w:sz w:val="24"/>
          <w:szCs w:val="24"/>
          <w:highlight w:val="none"/>
        </w:rPr>
        <w:t>8.3 基准资料错误的责任</w:t>
      </w:r>
      <w:bookmarkEnd w:id="740"/>
      <w:bookmarkEnd w:id="741"/>
      <w:bookmarkEnd w:id="742"/>
      <w:bookmarkEnd w:id="743"/>
      <w:bookmarkEnd w:id="744"/>
    </w:p>
    <w:p w14:paraId="15F0EE2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E1783D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45" w:name="_Toc234833028"/>
      <w:bookmarkStart w:id="746" w:name="_Toc31976"/>
      <w:bookmarkStart w:id="747" w:name="_Toc21794"/>
      <w:bookmarkStart w:id="748" w:name="_Toc1487"/>
      <w:bookmarkStart w:id="749" w:name="_Toc15727"/>
      <w:r>
        <w:rPr>
          <w:rFonts w:hint="default" w:ascii="Times New Roman" w:hAnsi="Times New Roman" w:eastAsia="黑体" w:cs="Times New Roman"/>
          <w:b w:val="0"/>
          <w:color w:val="auto"/>
          <w:sz w:val="24"/>
          <w:szCs w:val="24"/>
          <w:highlight w:val="none"/>
        </w:rPr>
        <w:t>8.4 监理人使用施工控制网</w:t>
      </w:r>
      <w:bookmarkEnd w:id="745"/>
      <w:bookmarkEnd w:id="746"/>
      <w:bookmarkEnd w:id="747"/>
      <w:bookmarkEnd w:id="748"/>
      <w:bookmarkEnd w:id="749"/>
    </w:p>
    <w:p w14:paraId="63369B1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监理人需要使用施工控制网的，承包人应提供必要的协助，发包人不再为此支付费用。</w:t>
      </w:r>
    </w:p>
    <w:p w14:paraId="4FEB303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50" w:name="_Toc234833029"/>
      <w:bookmarkStart w:id="751" w:name="_Toc1730"/>
      <w:bookmarkStart w:id="752" w:name="_Toc3624"/>
      <w:bookmarkStart w:id="753" w:name="_Toc24858"/>
      <w:bookmarkStart w:id="754" w:name="_Toc19364"/>
      <w:r>
        <w:rPr>
          <w:rFonts w:hint="default" w:ascii="Times New Roman" w:hAnsi="Times New Roman" w:eastAsia="黑体" w:cs="Times New Roman"/>
          <w:b w:val="0"/>
          <w:color w:val="auto"/>
          <w:sz w:val="28"/>
          <w:szCs w:val="28"/>
          <w:highlight w:val="none"/>
        </w:rPr>
        <w:t>9. 施工安全、治安保卫和环境保护</w:t>
      </w:r>
      <w:bookmarkEnd w:id="750"/>
      <w:bookmarkEnd w:id="751"/>
      <w:bookmarkEnd w:id="752"/>
      <w:bookmarkEnd w:id="753"/>
      <w:bookmarkEnd w:id="754"/>
    </w:p>
    <w:p w14:paraId="5AB2265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55" w:name="_Toc5314"/>
      <w:bookmarkStart w:id="756" w:name="_Toc3769"/>
      <w:bookmarkStart w:id="757" w:name="_Toc8674"/>
      <w:bookmarkStart w:id="758" w:name="_Toc234833030"/>
      <w:bookmarkStart w:id="759" w:name="_Toc20223"/>
      <w:r>
        <w:rPr>
          <w:rFonts w:hint="default" w:ascii="Times New Roman" w:hAnsi="Times New Roman" w:eastAsia="黑体" w:cs="Times New Roman"/>
          <w:b w:val="0"/>
          <w:color w:val="auto"/>
          <w:sz w:val="24"/>
          <w:szCs w:val="24"/>
          <w:highlight w:val="none"/>
        </w:rPr>
        <w:t>9.1 发包人的施工安全责任</w:t>
      </w:r>
      <w:bookmarkEnd w:id="755"/>
      <w:bookmarkEnd w:id="756"/>
      <w:bookmarkEnd w:id="757"/>
      <w:bookmarkEnd w:id="758"/>
      <w:bookmarkEnd w:id="759"/>
    </w:p>
    <w:p w14:paraId="716AB2A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9.1.1发包人应按合同约定履行安全职责，授权监理人按合同约定的安全工作内容监督、检查承包人安全工作的实施，组织承包人和有关单位进行安全检查。</w:t>
      </w:r>
    </w:p>
    <w:p w14:paraId="7F6BE86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9.1.2发包人应对其现场机构雇佣的全部人员的工伤事故承担责任，但由于承包人原因造成发包人人员工伤的，应由承包人承担责任。</w:t>
      </w:r>
    </w:p>
    <w:p w14:paraId="27F5FBE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9.1.3发包人应负责赔偿以下各种情况造成的第三者人身伤亡和财产损失：</w:t>
      </w:r>
    </w:p>
    <w:p w14:paraId="7F13CBA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（1）工程或工程的任何部分对土地的占用所造成的第三者财产损失；</w:t>
      </w:r>
    </w:p>
    <w:p w14:paraId="586F192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（2）由于发包人原因在施工场地及其毗邻地带造成的第三者人身伤亡和财产损失。</w:t>
      </w:r>
    </w:p>
    <w:p w14:paraId="12344F8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0" w:name="_Toc16523"/>
      <w:bookmarkStart w:id="761" w:name="_Toc234833031"/>
      <w:bookmarkStart w:id="762" w:name="_Toc16709"/>
      <w:bookmarkStart w:id="763" w:name="_Toc3730"/>
      <w:bookmarkStart w:id="764" w:name="_Toc26218"/>
      <w:r>
        <w:rPr>
          <w:rFonts w:hint="default" w:ascii="Times New Roman" w:hAnsi="Times New Roman" w:eastAsia="黑体" w:cs="Times New Roman"/>
          <w:b w:val="0"/>
          <w:color w:val="auto"/>
          <w:sz w:val="24"/>
          <w:szCs w:val="24"/>
          <w:highlight w:val="none"/>
        </w:rPr>
        <w:t>9.2 承包人的施工安全责任</w:t>
      </w:r>
      <w:bookmarkEnd w:id="760"/>
      <w:bookmarkEnd w:id="761"/>
      <w:bookmarkEnd w:id="762"/>
      <w:bookmarkEnd w:id="763"/>
      <w:bookmarkEnd w:id="764"/>
    </w:p>
    <w:p w14:paraId="3C91A4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 承包人应按合同约定履行安全职责,执行监理人有关安全工作的指示,并在专用合同条款约定的期限内，按合同约定的安全工作内容，编制施工安全措施计划报送监理人审批。</w:t>
      </w:r>
    </w:p>
    <w:p w14:paraId="65F6AF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9.2.2 承包人应加强施工作业安全管理，特别应加强易燃、易爆材料、火工器材、有毒与腐蚀性材料和其他危险品的管理，以及对爆破作业和地下工程施工等危险作业的管理。</w:t>
      </w:r>
    </w:p>
    <w:p w14:paraId="22473A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9.2.3 承包人应严格按照国家安全标准制定施工安全操作规程，配备必要的安全生产和劳动保护设施，加强对承包人人员的安全教育，并发放安全工作手册和劳动保护用具。</w:t>
      </w:r>
    </w:p>
    <w:p w14:paraId="2FEFE3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9.2.4 承包人应按监理人的指示制定应对灾害的紧急预案，报送监理人审批。承包人还应按预案做好安全检查，配置必要的救助物资和器材，切实保护好有关人员的人身和财产安全。</w:t>
      </w:r>
    </w:p>
    <w:p w14:paraId="22D5DA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6089D3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9.2.6 承包人应对其履行合同所雇佣的全部人员，包括分包人人员的工伤事故承担责任，但由于发包人原因造成承包人人员工伤事故的，应由发包人承担责任。</w:t>
      </w:r>
    </w:p>
    <w:p w14:paraId="07DA579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9.2.7 由于承包人原因在施工场地内及其毗邻地带造成的第三者人员伤亡和财产损失，由承包人负责赔偿。</w:t>
      </w:r>
    </w:p>
    <w:p w14:paraId="2341280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5" w:name="_Toc234833032"/>
      <w:bookmarkStart w:id="766" w:name="_Toc31111"/>
      <w:bookmarkStart w:id="767" w:name="_Toc27835"/>
      <w:bookmarkStart w:id="768" w:name="_Toc21586"/>
      <w:bookmarkStart w:id="769" w:name="_Toc24377"/>
      <w:r>
        <w:rPr>
          <w:rFonts w:hint="default" w:ascii="Times New Roman" w:hAnsi="Times New Roman" w:eastAsia="黑体" w:cs="Times New Roman"/>
          <w:b w:val="0"/>
          <w:color w:val="auto"/>
          <w:sz w:val="24"/>
          <w:szCs w:val="24"/>
          <w:highlight w:val="none"/>
        </w:rPr>
        <w:t>9.3 治安保卫</w:t>
      </w:r>
      <w:bookmarkEnd w:id="765"/>
      <w:bookmarkEnd w:id="766"/>
      <w:bookmarkEnd w:id="767"/>
      <w:bookmarkEnd w:id="768"/>
      <w:bookmarkEnd w:id="769"/>
    </w:p>
    <w:p w14:paraId="1C806A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9.3.1 除合同另有约定外，发包人应与当地公安部门协商，在现场建立治安管理机构或联防组织，统一管理施工场地的治安保卫事项，履行合同工程的治安保卫职责。</w:t>
      </w:r>
    </w:p>
    <w:p w14:paraId="2EB9F3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9.3.2 发包人和承包人除应协助现场治安管理机构或联防组织维护施工场地的社会治安外，还应做好包括生活区在内的各自管辖区的治安保卫工作。</w:t>
      </w:r>
    </w:p>
    <w:p w14:paraId="3D5DF12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616FBAE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70" w:name="_Toc30186"/>
      <w:bookmarkStart w:id="771" w:name="_Toc269"/>
      <w:bookmarkStart w:id="772" w:name="_Toc234833033"/>
      <w:bookmarkStart w:id="773" w:name="_Toc16001"/>
      <w:bookmarkStart w:id="774" w:name="_Toc30300"/>
      <w:r>
        <w:rPr>
          <w:rFonts w:hint="default" w:ascii="Times New Roman" w:hAnsi="Times New Roman" w:eastAsia="黑体" w:cs="Times New Roman"/>
          <w:b w:val="0"/>
          <w:color w:val="auto"/>
          <w:sz w:val="24"/>
          <w:szCs w:val="24"/>
          <w:highlight w:val="none"/>
        </w:rPr>
        <w:t>9.4 环境保护</w:t>
      </w:r>
      <w:bookmarkEnd w:id="770"/>
      <w:bookmarkEnd w:id="771"/>
      <w:bookmarkEnd w:id="772"/>
      <w:bookmarkEnd w:id="773"/>
      <w:bookmarkEnd w:id="774"/>
    </w:p>
    <w:p w14:paraId="0D50F1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 承包人在施工过程中，应遵守有关环境保护的法律，履行合同约定的环境保护义务，并对违反法律和合同约定义务所造成的环境破坏、人身伤害和财产损失负责。</w:t>
      </w:r>
    </w:p>
    <w:p w14:paraId="6EDECC8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9.4.2 承包人应按合同约定的环保工作内容，编制施工环保措施计划，报送监理人审批。</w:t>
      </w:r>
    </w:p>
    <w:p w14:paraId="7D23F7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6EA566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9.4.4 承包人应按合同约定采取有效措施，对施工开挖的边坡及时进行支护,维护排水设施，并进行水土保护，避免因施工造成的地质灾害。</w:t>
      </w:r>
    </w:p>
    <w:p w14:paraId="3A0DF1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9.4.5 承包人应按国家饮用水管理标准定期对饮用水源进行监测，防止施工活动污染饮用水源。</w:t>
      </w:r>
    </w:p>
    <w:p w14:paraId="156A43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9.4.6 承包人应按合同约定，加强对噪声、粉尘、废气、废水和废油的控制，努力降低噪声，控制粉尘和废气浓度，做好废水和废油的治理和排放。</w:t>
      </w:r>
    </w:p>
    <w:p w14:paraId="5AE5FE1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75" w:name="_Toc234833034"/>
      <w:bookmarkStart w:id="776" w:name="_Toc17129"/>
      <w:bookmarkStart w:id="777" w:name="_Toc26780"/>
      <w:bookmarkStart w:id="778" w:name="_Toc5457"/>
      <w:bookmarkStart w:id="779" w:name="_Toc25938"/>
      <w:r>
        <w:rPr>
          <w:rFonts w:hint="default" w:ascii="Times New Roman" w:hAnsi="Times New Roman" w:eastAsia="黑体" w:cs="Times New Roman"/>
          <w:b w:val="0"/>
          <w:color w:val="auto"/>
          <w:sz w:val="24"/>
          <w:szCs w:val="24"/>
          <w:highlight w:val="none"/>
        </w:rPr>
        <w:t>9.5 事故处理</w:t>
      </w:r>
      <w:bookmarkEnd w:id="775"/>
      <w:bookmarkEnd w:id="776"/>
      <w:bookmarkEnd w:id="777"/>
      <w:bookmarkEnd w:id="778"/>
      <w:bookmarkEnd w:id="779"/>
    </w:p>
    <w:p w14:paraId="7B9750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359C45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80" w:name="_Toc32151"/>
      <w:bookmarkStart w:id="781" w:name="_Toc234833035"/>
      <w:bookmarkStart w:id="782" w:name="_Toc12821"/>
      <w:bookmarkStart w:id="783" w:name="_Toc12198"/>
      <w:bookmarkStart w:id="784" w:name="_Toc30729"/>
      <w:r>
        <w:rPr>
          <w:rFonts w:hint="default" w:ascii="Times New Roman" w:hAnsi="Times New Roman" w:eastAsia="黑体" w:cs="Times New Roman"/>
          <w:b w:val="0"/>
          <w:color w:val="auto"/>
          <w:sz w:val="28"/>
          <w:szCs w:val="28"/>
          <w:highlight w:val="none"/>
        </w:rPr>
        <w:t>10. 进度计划</w:t>
      </w:r>
      <w:bookmarkEnd w:id="780"/>
      <w:bookmarkEnd w:id="781"/>
      <w:bookmarkEnd w:id="782"/>
      <w:bookmarkEnd w:id="783"/>
      <w:bookmarkEnd w:id="784"/>
    </w:p>
    <w:p w14:paraId="4AE2F7F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5" w:name="_Toc24434"/>
      <w:bookmarkStart w:id="786" w:name="_Toc234833036"/>
      <w:bookmarkStart w:id="787" w:name="_Toc17150"/>
      <w:bookmarkStart w:id="788" w:name="_Toc6712"/>
      <w:bookmarkStart w:id="789" w:name="_Toc9432"/>
      <w:r>
        <w:rPr>
          <w:rFonts w:hint="default" w:ascii="Times New Roman" w:hAnsi="Times New Roman" w:eastAsia="黑体" w:cs="Times New Roman"/>
          <w:b w:val="0"/>
          <w:color w:val="auto"/>
          <w:sz w:val="24"/>
          <w:szCs w:val="24"/>
          <w:highlight w:val="none"/>
        </w:rPr>
        <w:t>10.1 合同进度计划</w:t>
      </w:r>
      <w:bookmarkEnd w:id="785"/>
      <w:bookmarkEnd w:id="786"/>
      <w:bookmarkEnd w:id="787"/>
      <w:bookmarkEnd w:id="788"/>
      <w:bookmarkEnd w:id="789"/>
    </w:p>
    <w:p w14:paraId="42F18C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6147661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90" w:name="_Toc21458"/>
      <w:bookmarkStart w:id="791" w:name="_Toc1091"/>
      <w:bookmarkStart w:id="792" w:name="_Toc234833037"/>
      <w:bookmarkStart w:id="793" w:name="_Toc15025"/>
      <w:bookmarkStart w:id="794" w:name="_Toc23622"/>
      <w:r>
        <w:rPr>
          <w:rFonts w:hint="default" w:ascii="Times New Roman" w:hAnsi="Times New Roman" w:eastAsia="黑体" w:cs="Times New Roman"/>
          <w:b w:val="0"/>
          <w:color w:val="auto"/>
          <w:sz w:val="24"/>
          <w:szCs w:val="24"/>
          <w:highlight w:val="none"/>
        </w:rPr>
        <w:t>10.2 合同进度计划的修订</w:t>
      </w:r>
      <w:bookmarkEnd w:id="790"/>
      <w:bookmarkEnd w:id="791"/>
      <w:bookmarkEnd w:id="792"/>
      <w:bookmarkEnd w:id="793"/>
      <w:bookmarkEnd w:id="794"/>
    </w:p>
    <w:p w14:paraId="608311E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185F0293">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95" w:name="_Toc31278"/>
      <w:bookmarkStart w:id="796" w:name="_Toc1558"/>
      <w:bookmarkStart w:id="797" w:name="_Toc234833038"/>
      <w:bookmarkStart w:id="798" w:name="_Toc15582"/>
      <w:bookmarkStart w:id="799" w:name="_Toc30089"/>
      <w:r>
        <w:rPr>
          <w:rFonts w:hint="default" w:ascii="Times New Roman" w:hAnsi="Times New Roman" w:eastAsia="黑体" w:cs="Times New Roman"/>
          <w:b w:val="0"/>
          <w:color w:val="auto"/>
          <w:sz w:val="28"/>
          <w:szCs w:val="28"/>
          <w:highlight w:val="none"/>
        </w:rPr>
        <w:t>11. 开工和竣工</w:t>
      </w:r>
      <w:bookmarkEnd w:id="795"/>
      <w:bookmarkEnd w:id="796"/>
      <w:bookmarkEnd w:id="797"/>
      <w:bookmarkEnd w:id="798"/>
      <w:bookmarkEnd w:id="799"/>
    </w:p>
    <w:p w14:paraId="6DE2C1A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0" w:name="_Toc12994"/>
      <w:bookmarkStart w:id="801" w:name="_Toc196"/>
      <w:bookmarkStart w:id="802" w:name="_Toc20810"/>
      <w:bookmarkStart w:id="803" w:name="_Toc234833039"/>
      <w:bookmarkStart w:id="804" w:name="_Toc19831"/>
      <w:r>
        <w:rPr>
          <w:rFonts w:hint="default" w:ascii="Times New Roman" w:hAnsi="Times New Roman" w:eastAsia="黑体" w:cs="Times New Roman"/>
          <w:b w:val="0"/>
          <w:color w:val="auto"/>
          <w:sz w:val="24"/>
          <w:szCs w:val="24"/>
          <w:highlight w:val="none"/>
        </w:rPr>
        <w:t>11.1 开工</w:t>
      </w:r>
      <w:bookmarkEnd w:id="800"/>
      <w:bookmarkEnd w:id="801"/>
      <w:bookmarkEnd w:id="802"/>
      <w:bookmarkEnd w:id="803"/>
      <w:bookmarkEnd w:id="804"/>
    </w:p>
    <w:p w14:paraId="0E2D82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67D805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29FAABF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5" w:name="_Toc21663"/>
      <w:bookmarkStart w:id="806" w:name="_Toc234833040"/>
      <w:bookmarkStart w:id="807" w:name="_Toc9084"/>
      <w:bookmarkStart w:id="808" w:name="_Toc830"/>
      <w:bookmarkStart w:id="809" w:name="_Toc10996"/>
      <w:r>
        <w:rPr>
          <w:rFonts w:hint="default" w:ascii="Times New Roman" w:hAnsi="Times New Roman" w:eastAsia="黑体" w:cs="Times New Roman"/>
          <w:b w:val="0"/>
          <w:color w:val="auto"/>
          <w:sz w:val="24"/>
          <w:szCs w:val="24"/>
          <w:highlight w:val="none"/>
        </w:rPr>
        <w:t>11.2竣工</w:t>
      </w:r>
      <w:bookmarkEnd w:id="805"/>
      <w:bookmarkEnd w:id="806"/>
      <w:bookmarkEnd w:id="807"/>
      <w:bookmarkEnd w:id="808"/>
      <w:bookmarkEnd w:id="809"/>
    </w:p>
    <w:p w14:paraId="1BBC04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承包人应在第1.1.4.3目约定的期限内完成合同工程。实际竣工日期在接收证书中写明。</w:t>
      </w:r>
    </w:p>
    <w:p w14:paraId="6507789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0" w:name="_Toc7100"/>
      <w:bookmarkStart w:id="811" w:name="_Toc234833041"/>
      <w:bookmarkStart w:id="812" w:name="_Toc27035"/>
      <w:bookmarkStart w:id="813" w:name="_Toc27799"/>
      <w:bookmarkStart w:id="814" w:name="_Toc18689"/>
      <w:r>
        <w:rPr>
          <w:rFonts w:hint="default" w:ascii="Times New Roman" w:hAnsi="Times New Roman" w:eastAsia="黑体" w:cs="Times New Roman"/>
          <w:b w:val="0"/>
          <w:color w:val="auto"/>
          <w:sz w:val="24"/>
          <w:szCs w:val="24"/>
          <w:highlight w:val="none"/>
        </w:rPr>
        <w:t>11.3 发包人的工期延误</w:t>
      </w:r>
      <w:bookmarkEnd w:id="810"/>
      <w:bookmarkEnd w:id="811"/>
      <w:bookmarkEnd w:id="812"/>
      <w:bookmarkEnd w:id="813"/>
      <w:bookmarkEnd w:id="814"/>
    </w:p>
    <w:p w14:paraId="567DA8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在履行合同过程中，由于发包人的下列原因造成工期延误的，承包人有权要求发包人延长工期和（或）增加费用，并支付合理利润。需要修订合同进度计划的，按照第10.2款的约定办理。</w:t>
      </w:r>
    </w:p>
    <w:p w14:paraId="6E6383E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（1）增加合同工作内容;</w:t>
      </w:r>
    </w:p>
    <w:p w14:paraId="3C319A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（2）改变合同中任何一项工作的质量要求或其他特性；</w:t>
      </w:r>
    </w:p>
    <w:p w14:paraId="0F5F3D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（3）发包人迟延提供材料、工程设备或变更交货地点的；</w:t>
      </w:r>
    </w:p>
    <w:p w14:paraId="3EF176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（4）因发包人原因导致的暂停施工；</w:t>
      </w:r>
    </w:p>
    <w:p w14:paraId="0B1F20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（5）提供图纸延误；</w:t>
      </w:r>
    </w:p>
    <w:p w14:paraId="791B13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（6）未按合同约定及时支付预付款、进度款；</w:t>
      </w:r>
    </w:p>
    <w:p w14:paraId="69324A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（7）发包人造成工期延误的其他原因。</w:t>
      </w:r>
    </w:p>
    <w:p w14:paraId="5E02930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5" w:name="_Toc234833042"/>
      <w:bookmarkStart w:id="816" w:name="_Toc31357"/>
      <w:bookmarkStart w:id="817" w:name="_Toc22343"/>
      <w:bookmarkStart w:id="818" w:name="_Toc10516"/>
      <w:bookmarkStart w:id="819" w:name="_Toc21589"/>
      <w:r>
        <w:rPr>
          <w:rFonts w:hint="default" w:ascii="Times New Roman" w:hAnsi="Times New Roman" w:eastAsia="黑体" w:cs="Times New Roman"/>
          <w:b w:val="0"/>
          <w:color w:val="auto"/>
          <w:sz w:val="24"/>
          <w:szCs w:val="24"/>
          <w:highlight w:val="none"/>
        </w:rPr>
        <w:t>11.4异常恶劣的气候条件</w:t>
      </w:r>
      <w:bookmarkEnd w:id="815"/>
      <w:bookmarkEnd w:id="816"/>
      <w:bookmarkEnd w:id="817"/>
      <w:bookmarkEnd w:id="818"/>
      <w:bookmarkEnd w:id="819"/>
    </w:p>
    <w:p w14:paraId="7844B8D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由于出现专用合同条款约定的异常恶劣气候的条件导致工期延误的，承包人有权要求发包人延长工期。</w:t>
      </w:r>
    </w:p>
    <w:p w14:paraId="1EAF9F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20" w:name="_Toc21931"/>
      <w:bookmarkStart w:id="821" w:name="_Toc234833043"/>
      <w:bookmarkStart w:id="822" w:name="_Toc27127"/>
      <w:bookmarkStart w:id="823" w:name="_Toc29531"/>
      <w:bookmarkStart w:id="824" w:name="_Toc23628"/>
      <w:r>
        <w:rPr>
          <w:rFonts w:hint="default" w:ascii="Times New Roman" w:hAnsi="Times New Roman" w:eastAsia="黑体" w:cs="Times New Roman"/>
          <w:b w:val="0"/>
          <w:color w:val="auto"/>
          <w:sz w:val="24"/>
          <w:szCs w:val="24"/>
          <w:highlight w:val="none"/>
        </w:rPr>
        <w:t>11.5 承包人的工期延误</w:t>
      </w:r>
      <w:bookmarkEnd w:id="820"/>
      <w:bookmarkEnd w:id="821"/>
      <w:bookmarkEnd w:id="822"/>
      <w:bookmarkEnd w:id="823"/>
      <w:bookmarkEnd w:id="824"/>
    </w:p>
    <w:p w14:paraId="672A731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547E526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25" w:name="_Toc16451"/>
      <w:bookmarkStart w:id="826" w:name="_Toc4477"/>
      <w:bookmarkStart w:id="827" w:name="_Toc25703"/>
      <w:bookmarkStart w:id="828" w:name="_Toc234833044"/>
      <w:bookmarkStart w:id="829" w:name="_Toc18576"/>
      <w:r>
        <w:rPr>
          <w:rFonts w:hint="default" w:ascii="Times New Roman" w:hAnsi="Times New Roman" w:eastAsia="黑体" w:cs="Times New Roman"/>
          <w:b w:val="0"/>
          <w:color w:val="auto"/>
          <w:sz w:val="24"/>
          <w:szCs w:val="24"/>
          <w:highlight w:val="none"/>
        </w:rPr>
        <w:t>11.6 工期提前</w:t>
      </w:r>
      <w:bookmarkEnd w:id="825"/>
      <w:bookmarkEnd w:id="826"/>
      <w:bookmarkEnd w:id="827"/>
      <w:bookmarkEnd w:id="828"/>
      <w:bookmarkEnd w:id="829"/>
    </w:p>
    <w:p w14:paraId="4A54BA5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0E46174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30" w:name="_Toc17617"/>
      <w:bookmarkStart w:id="831" w:name="_Toc6904"/>
      <w:bookmarkStart w:id="832" w:name="_Toc29212"/>
      <w:bookmarkStart w:id="833" w:name="_Toc23679"/>
      <w:bookmarkStart w:id="834" w:name="_Toc234833045"/>
      <w:r>
        <w:rPr>
          <w:rFonts w:hint="default" w:ascii="Times New Roman" w:hAnsi="Times New Roman" w:eastAsia="黑体" w:cs="Times New Roman"/>
          <w:b w:val="0"/>
          <w:color w:val="auto"/>
          <w:sz w:val="28"/>
          <w:szCs w:val="28"/>
          <w:highlight w:val="none"/>
        </w:rPr>
        <w:t>12. 暂停施工</w:t>
      </w:r>
      <w:bookmarkEnd w:id="830"/>
      <w:bookmarkEnd w:id="831"/>
      <w:bookmarkEnd w:id="832"/>
      <w:bookmarkEnd w:id="833"/>
      <w:bookmarkEnd w:id="834"/>
    </w:p>
    <w:p w14:paraId="6DEE422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35" w:name="_Toc18760"/>
      <w:bookmarkStart w:id="836" w:name="_Toc27"/>
      <w:bookmarkStart w:id="837" w:name="_Toc234833046"/>
      <w:bookmarkStart w:id="838" w:name="_Toc8685"/>
      <w:bookmarkStart w:id="839" w:name="_Toc4704"/>
      <w:r>
        <w:rPr>
          <w:rFonts w:hint="default" w:ascii="Times New Roman" w:hAnsi="Times New Roman" w:eastAsia="黑体" w:cs="Times New Roman"/>
          <w:b w:val="0"/>
          <w:color w:val="auto"/>
          <w:sz w:val="24"/>
          <w:szCs w:val="24"/>
          <w:highlight w:val="none"/>
        </w:rPr>
        <w:t>12.1 承包人暂停施工的责任</w:t>
      </w:r>
      <w:bookmarkEnd w:id="835"/>
      <w:bookmarkEnd w:id="836"/>
      <w:bookmarkEnd w:id="837"/>
      <w:bookmarkEnd w:id="838"/>
      <w:bookmarkEnd w:id="839"/>
    </w:p>
    <w:p w14:paraId="67D48E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因下列暂停施工增加的费用和（或）工期延误由承包人承担：</w:t>
      </w:r>
    </w:p>
    <w:p w14:paraId="45DB31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（1）承包人违约引起的暂停施工；</w:t>
      </w:r>
    </w:p>
    <w:p w14:paraId="42573D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（2）由于承包人原因为工程合理施工和安全保障所必需的暂停施工；</w:t>
      </w:r>
    </w:p>
    <w:p w14:paraId="641127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（3）承包人擅自暂停施工；</w:t>
      </w:r>
    </w:p>
    <w:p w14:paraId="0232FB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（4）承包人其他原因引起的暂停施工；</w:t>
      </w:r>
    </w:p>
    <w:p w14:paraId="2E0E2F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（5）专用合同条款约定由承包人承担的其他暂停施工。</w:t>
      </w:r>
    </w:p>
    <w:p w14:paraId="31E72F1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0" w:name="_Toc18857"/>
      <w:bookmarkStart w:id="841" w:name="_Toc29989"/>
      <w:bookmarkStart w:id="842" w:name="_Toc234833047"/>
      <w:bookmarkStart w:id="843" w:name="_Toc20625"/>
      <w:bookmarkStart w:id="844" w:name="_Toc23726"/>
      <w:r>
        <w:rPr>
          <w:rFonts w:hint="default" w:ascii="Times New Roman" w:hAnsi="Times New Roman" w:eastAsia="黑体" w:cs="Times New Roman"/>
          <w:b w:val="0"/>
          <w:color w:val="auto"/>
          <w:sz w:val="24"/>
          <w:szCs w:val="24"/>
          <w:highlight w:val="none"/>
        </w:rPr>
        <w:t>12.2 发包人暂停施工的责任</w:t>
      </w:r>
      <w:bookmarkEnd w:id="840"/>
      <w:bookmarkEnd w:id="841"/>
      <w:bookmarkEnd w:id="842"/>
      <w:bookmarkEnd w:id="843"/>
      <w:bookmarkEnd w:id="844"/>
    </w:p>
    <w:p w14:paraId="2DB432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由于发包人原因引起的暂停施工造成工期延误的，承包人有权要求发包人延长工期和（或）增加费用，并支付合理利润。</w:t>
      </w:r>
    </w:p>
    <w:p w14:paraId="0E428D0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5" w:name="_Toc234833048"/>
      <w:bookmarkStart w:id="846" w:name="_Toc4773"/>
      <w:bookmarkStart w:id="847" w:name="_Toc3772"/>
      <w:bookmarkStart w:id="848" w:name="_Toc15395"/>
      <w:bookmarkStart w:id="849" w:name="_Toc18672"/>
      <w:r>
        <w:rPr>
          <w:rFonts w:hint="default" w:ascii="Times New Roman" w:hAnsi="Times New Roman" w:eastAsia="黑体" w:cs="Times New Roman"/>
          <w:b w:val="0"/>
          <w:color w:val="auto"/>
          <w:sz w:val="24"/>
          <w:szCs w:val="24"/>
          <w:highlight w:val="none"/>
        </w:rPr>
        <w:t>12.3 监理人暂停施工指示</w:t>
      </w:r>
      <w:bookmarkEnd w:id="845"/>
      <w:bookmarkEnd w:id="846"/>
      <w:bookmarkEnd w:id="847"/>
      <w:bookmarkEnd w:id="848"/>
      <w:bookmarkEnd w:id="849"/>
    </w:p>
    <w:p w14:paraId="32492C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299B37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26FF69F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50" w:name="_Toc1869"/>
      <w:bookmarkStart w:id="851" w:name="_Toc9838"/>
      <w:bookmarkStart w:id="852" w:name="_Toc11081"/>
      <w:bookmarkStart w:id="853" w:name="_Toc16137"/>
      <w:bookmarkStart w:id="854" w:name="_Toc234833049"/>
      <w:r>
        <w:rPr>
          <w:rFonts w:hint="default" w:ascii="Times New Roman" w:hAnsi="Times New Roman" w:eastAsia="黑体" w:cs="Times New Roman"/>
          <w:b w:val="0"/>
          <w:color w:val="auto"/>
          <w:sz w:val="24"/>
          <w:szCs w:val="24"/>
          <w:highlight w:val="none"/>
        </w:rPr>
        <w:t>12.4 暂停施工后的复工</w:t>
      </w:r>
      <w:bookmarkEnd w:id="850"/>
      <w:bookmarkEnd w:id="851"/>
      <w:bookmarkEnd w:id="852"/>
      <w:bookmarkEnd w:id="853"/>
      <w:bookmarkEnd w:id="854"/>
    </w:p>
    <w:p w14:paraId="12E1B8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0F6E21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12.4.2承包人无故拖延和拒绝复工的，由此增加的费用和工期延误由承包人承担；因发包人原因无法按时复工的，承包人有权要求发包人延长工期和（或）增加费用，并支付合理利润。</w:t>
      </w:r>
    </w:p>
    <w:p w14:paraId="71DCDE8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55" w:name="_Toc12999"/>
      <w:bookmarkStart w:id="856" w:name="_Toc11816"/>
      <w:bookmarkStart w:id="857" w:name="_Toc4186"/>
      <w:bookmarkStart w:id="858" w:name="_Toc234833050"/>
      <w:bookmarkStart w:id="859" w:name="_Toc23504"/>
      <w:r>
        <w:rPr>
          <w:rFonts w:hint="default" w:ascii="Times New Roman" w:hAnsi="Times New Roman" w:eastAsia="黑体" w:cs="Times New Roman"/>
          <w:b w:val="0"/>
          <w:color w:val="auto"/>
          <w:sz w:val="24"/>
          <w:szCs w:val="24"/>
          <w:highlight w:val="none"/>
        </w:rPr>
        <w:t>12.5 暂停施工持续56天以上</w:t>
      </w:r>
      <w:bookmarkEnd w:id="855"/>
      <w:bookmarkEnd w:id="856"/>
      <w:bookmarkEnd w:id="857"/>
      <w:bookmarkEnd w:id="858"/>
      <w:bookmarkEnd w:id="859"/>
    </w:p>
    <w:p w14:paraId="54EF35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716437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12.5.2由于承包人责任引起的暂停施工，如承包人在收到监理人暂停施工指示后56天内不认真采取有效的复工措施，造成工期延误，可视为承包人违约，应按第22.1款的约定办理。</w:t>
      </w:r>
    </w:p>
    <w:p w14:paraId="56A9CA4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60" w:name="_Toc32763"/>
      <w:bookmarkStart w:id="861" w:name="_Toc7813"/>
      <w:bookmarkStart w:id="862" w:name="_Toc234833051"/>
      <w:bookmarkStart w:id="863" w:name="_Toc11532"/>
      <w:bookmarkStart w:id="864" w:name="_Toc38"/>
      <w:r>
        <w:rPr>
          <w:rFonts w:hint="default" w:ascii="Times New Roman" w:hAnsi="Times New Roman" w:eastAsia="黑体" w:cs="Times New Roman"/>
          <w:b w:val="0"/>
          <w:color w:val="auto"/>
          <w:sz w:val="28"/>
          <w:szCs w:val="28"/>
          <w:highlight w:val="none"/>
        </w:rPr>
        <w:t>13. 工程质量</w:t>
      </w:r>
      <w:bookmarkEnd w:id="860"/>
      <w:bookmarkEnd w:id="861"/>
      <w:bookmarkEnd w:id="862"/>
      <w:bookmarkEnd w:id="863"/>
      <w:bookmarkEnd w:id="864"/>
    </w:p>
    <w:p w14:paraId="3F0EB59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65" w:name="_Toc9818"/>
      <w:bookmarkStart w:id="866" w:name="_Toc25776"/>
      <w:bookmarkStart w:id="867" w:name="_Toc9602"/>
      <w:bookmarkStart w:id="868" w:name="_Toc234833052"/>
      <w:bookmarkStart w:id="869" w:name="_Toc5217"/>
      <w:r>
        <w:rPr>
          <w:rFonts w:hint="default" w:ascii="Times New Roman" w:hAnsi="Times New Roman" w:eastAsia="黑体" w:cs="Times New Roman"/>
          <w:b w:val="0"/>
          <w:color w:val="auto"/>
          <w:sz w:val="24"/>
          <w:szCs w:val="24"/>
          <w:highlight w:val="none"/>
        </w:rPr>
        <w:t>13.1 工程质量要求</w:t>
      </w:r>
      <w:bookmarkEnd w:id="865"/>
      <w:bookmarkEnd w:id="866"/>
      <w:bookmarkEnd w:id="867"/>
      <w:bookmarkEnd w:id="868"/>
      <w:bookmarkEnd w:id="869"/>
    </w:p>
    <w:p w14:paraId="6296A3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13.1.1 工程质量验收按合同约定验收标准执行。</w:t>
      </w:r>
    </w:p>
    <w:p w14:paraId="0F9B36A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13.1.2 因承包人原因造成工程质量达不到合同约定验收标准的，监理人有权要求承包人返工直至符合合同要求为止，由此造成的费用增加和（或）工期延误由承包人承担。</w:t>
      </w:r>
    </w:p>
    <w:p w14:paraId="4E00B3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13.1.3 因发包人原因造成工程质量达不到合同约定验收标准的，发包人应承担由于承包人返工造成的费用增加和（或）工期延误，并支付承包人合理利润。</w:t>
      </w:r>
    </w:p>
    <w:p w14:paraId="1071D1F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0" w:name="_Toc234833053"/>
      <w:bookmarkStart w:id="871" w:name="_Toc32691"/>
      <w:bookmarkStart w:id="872" w:name="_Toc14900"/>
      <w:bookmarkStart w:id="873" w:name="_Toc20391"/>
      <w:bookmarkStart w:id="874" w:name="_Toc1504"/>
      <w:r>
        <w:rPr>
          <w:rFonts w:hint="default" w:ascii="Times New Roman" w:hAnsi="Times New Roman" w:eastAsia="黑体" w:cs="Times New Roman"/>
          <w:b w:val="0"/>
          <w:color w:val="auto"/>
          <w:sz w:val="24"/>
          <w:szCs w:val="24"/>
          <w:highlight w:val="none"/>
        </w:rPr>
        <w:t>13.2 承包人的质量管理</w:t>
      </w:r>
      <w:bookmarkEnd w:id="870"/>
      <w:bookmarkEnd w:id="871"/>
      <w:bookmarkEnd w:id="872"/>
      <w:bookmarkEnd w:id="873"/>
      <w:bookmarkEnd w:id="874"/>
    </w:p>
    <w:p w14:paraId="1979C3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4FE32F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13.2.2 承包人应加强对施工人员的质量教育和技术培训，定期考核施工人员的劳动技能，严格执行规范和操作规程。</w:t>
      </w:r>
    </w:p>
    <w:p w14:paraId="35D74DA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5" w:name="_Toc23276"/>
      <w:bookmarkStart w:id="876" w:name="_Toc630"/>
      <w:bookmarkStart w:id="877" w:name="_Toc18930"/>
      <w:bookmarkStart w:id="878" w:name="_Toc9790"/>
      <w:bookmarkStart w:id="879" w:name="_Toc234833054"/>
      <w:r>
        <w:rPr>
          <w:rFonts w:hint="default" w:ascii="Times New Roman" w:hAnsi="Times New Roman" w:eastAsia="黑体" w:cs="Times New Roman"/>
          <w:b w:val="0"/>
          <w:color w:val="auto"/>
          <w:sz w:val="24"/>
          <w:szCs w:val="24"/>
          <w:highlight w:val="none"/>
        </w:rPr>
        <w:t>13.3 承包人的质量检查</w:t>
      </w:r>
      <w:bookmarkEnd w:id="875"/>
      <w:bookmarkEnd w:id="876"/>
      <w:bookmarkEnd w:id="877"/>
      <w:bookmarkEnd w:id="878"/>
      <w:bookmarkEnd w:id="879"/>
    </w:p>
    <w:p w14:paraId="01C9D33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承包人应按合同约定对材料、工程设备以及工程的所有部位及其施工工艺进行全过程的质量检查和检验，并作详细记录，编制工程质量报表，报送监理人审查。</w:t>
      </w:r>
    </w:p>
    <w:p w14:paraId="670D699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0" w:name="_Toc30195"/>
      <w:bookmarkStart w:id="881" w:name="_Toc14050"/>
      <w:bookmarkStart w:id="882" w:name="_Toc29172"/>
      <w:bookmarkStart w:id="883" w:name="_Toc234833055"/>
      <w:bookmarkStart w:id="884" w:name="_Toc23210"/>
      <w:r>
        <w:rPr>
          <w:rFonts w:hint="default" w:ascii="Times New Roman" w:hAnsi="Times New Roman" w:eastAsia="黑体" w:cs="Times New Roman"/>
          <w:b w:val="0"/>
          <w:color w:val="auto"/>
          <w:sz w:val="24"/>
          <w:szCs w:val="24"/>
          <w:highlight w:val="none"/>
        </w:rPr>
        <w:t>13.4 监理人的质量检查</w:t>
      </w:r>
      <w:bookmarkEnd w:id="880"/>
      <w:bookmarkEnd w:id="881"/>
      <w:bookmarkEnd w:id="882"/>
      <w:bookmarkEnd w:id="883"/>
      <w:bookmarkEnd w:id="884"/>
    </w:p>
    <w:p w14:paraId="1C9FA1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33703F1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5" w:name="_Toc234833056"/>
      <w:bookmarkStart w:id="886" w:name="_Toc25084"/>
      <w:bookmarkStart w:id="887" w:name="_Toc17119"/>
      <w:bookmarkStart w:id="888" w:name="_Toc17194"/>
      <w:bookmarkStart w:id="889" w:name="_Toc21706"/>
      <w:r>
        <w:rPr>
          <w:rFonts w:hint="default" w:ascii="Times New Roman" w:hAnsi="Times New Roman" w:eastAsia="黑体" w:cs="Times New Roman"/>
          <w:b w:val="0"/>
          <w:color w:val="auto"/>
          <w:sz w:val="24"/>
          <w:szCs w:val="24"/>
          <w:highlight w:val="none"/>
        </w:rPr>
        <w:t>13.5 工程隐蔽部位覆盖前的检查</w:t>
      </w:r>
      <w:bookmarkEnd w:id="885"/>
      <w:bookmarkEnd w:id="886"/>
      <w:bookmarkEnd w:id="887"/>
      <w:bookmarkEnd w:id="888"/>
      <w:bookmarkEnd w:id="889"/>
    </w:p>
    <w:p w14:paraId="4941F48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13.5.1 </w:t>
      </w:r>
      <w:r>
        <w:rPr>
          <w:rFonts w:hint="default" w:ascii="Times New Roman" w:hAnsi="Times New Roman" w:eastAsia="黑体" w:cs="Times New Roman"/>
          <w:color w:val="auto"/>
          <w:sz w:val="24"/>
          <w:highlight w:val="none"/>
        </w:rPr>
        <w:t xml:space="preserve">通知监理人检查 </w:t>
      </w:r>
    </w:p>
    <w:p w14:paraId="2FB980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3020B61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13.5.2</w:t>
      </w:r>
      <w:r>
        <w:rPr>
          <w:rFonts w:hint="default" w:ascii="Times New Roman" w:hAnsi="Times New Roman" w:eastAsia="黑体" w:cs="Times New Roman"/>
          <w:color w:val="auto"/>
          <w:sz w:val="24"/>
          <w:highlight w:val="none"/>
        </w:rPr>
        <w:t xml:space="preserve"> 监理人未到场检查</w:t>
      </w:r>
    </w:p>
    <w:p w14:paraId="266B15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73611B3F">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13.5.3</w:t>
      </w:r>
      <w:r>
        <w:rPr>
          <w:rFonts w:hint="default" w:ascii="Times New Roman" w:hAnsi="Times New Roman" w:eastAsia="黑体" w:cs="Times New Roman"/>
          <w:color w:val="auto"/>
          <w:sz w:val="24"/>
          <w:highlight w:val="none"/>
        </w:rPr>
        <w:t xml:space="preserve"> 监理人重新检查</w:t>
      </w:r>
    </w:p>
    <w:p w14:paraId="441C817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596521D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13.5.4 </w:t>
      </w:r>
      <w:r>
        <w:rPr>
          <w:rFonts w:hint="default" w:ascii="Times New Roman" w:hAnsi="Times New Roman" w:eastAsia="黑体" w:cs="Times New Roman"/>
          <w:color w:val="auto"/>
          <w:sz w:val="24"/>
          <w:highlight w:val="none"/>
        </w:rPr>
        <w:t>承包人私自覆盖</w:t>
      </w:r>
    </w:p>
    <w:p w14:paraId="464FDB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承包人未通知监理人到场检查，私自将工程隐蔽部位覆盖的，监理人有权指示承包人钻孔探测或揭开检查，由此增加的费用和（或）工期延误由承包人承担。</w:t>
      </w:r>
    </w:p>
    <w:p w14:paraId="65C5AF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90" w:name="_Toc30792"/>
      <w:bookmarkStart w:id="891" w:name="_Toc29205"/>
      <w:bookmarkStart w:id="892" w:name="_Toc234833057"/>
      <w:bookmarkStart w:id="893" w:name="_Toc11615"/>
      <w:bookmarkStart w:id="894" w:name="_Toc27575"/>
      <w:r>
        <w:rPr>
          <w:rFonts w:hint="default" w:ascii="Times New Roman" w:hAnsi="Times New Roman" w:eastAsia="黑体" w:cs="Times New Roman"/>
          <w:b w:val="0"/>
          <w:color w:val="auto"/>
          <w:sz w:val="24"/>
          <w:szCs w:val="24"/>
          <w:highlight w:val="none"/>
        </w:rPr>
        <w:t>13.6 清除不合格工程</w:t>
      </w:r>
      <w:bookmarkEnd w:id="890"/>
      <w:bookmarkEnd w:id="891"/>
      <w:bookmarkEnd w:id="892"/>
      <w:bookmarkEnd w:id="893"/>
      <w:bookmarkEnd w:id="894"/>
    </w:p>
    <w:p w14:paraId="7911E5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24E61B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13.6.2由于发包人提供的材料或工程设备不合格造成的工程不合格，需要承包人采取措施补救的，发包人应承担由此增加的费用和（或）工期延误，并支付承包人合理利润。</w:t>
      </w:r>
    </w:p>
    <w:p w14:paraId="5089ED30">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95" w:name="_Toc16816"/>
      <w:bookmarkStart w:id="896" w:name="_Toc17780"/>
      <w:bookmarkStart w:id="897" w:name="_Toc234833058"/>
      <w:bookmarkStart w:id="898" w:name="_Toc7865"/>
      <w:bookmarkStart w:id="899" w:name="_Toc26772"/>
      <w:r>
        <w:rPr>
          <w:rFonts w:hint="default" w:ascii="Times New Roman" w:hAnsi="Times New Roman" w:eastAsia="黑体" w:cs="Times New Roman"/>
          <w:b w:val="0"/>
          <w:color w:val="auto"/>
          <w:sz w:val="28"/>
          <w:szCs w:val="28"/>
          <w:highlight w:val="none"/>
        </w:rPr>
        <w:t>14. 试验和检验</w:t>
      </w:r>
      <w:bookmarkEnd w:id="895"/>
      <w:bookmarkEnd w:id="896"/>
      <w:bookmarkEnd w:id="897"/>
      <w:bookmarkEnd w:id="898"/>
      <w:bookmarkEnd w:id="899"/>
    </w:p>
    <w:p w14:paraId="0C23A8B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0" w:name="_Toc19607"/>
      <w:bookmarkStart w:id="901" w:name="_Toc19299"/>
      <w:bookmarkStart w:id="902" w:name="_Toc7572"/>
      <w:bookmarkStart w:id="903" w:name="_Toc23212"/>
      <w:bookmarkStart w:id="904" w:name="_Toc234833059"/>
      <w:r>
        <w:rPr>
          <w:rFonts w:hint="default" w:ascii="Times New Roman" w:hAnsi="Times New Roman" w:eastAsia="黑体" w:cs="Times New Roman"/>
          <w:b w:val="0"/>
          <w:color w:val="auto"/>
          <w:sz w:val="24"/>
          <w:szCs w:val="24"/>
          <w:highlight w:val="none"/>
        </w:rPr>
        <w:t>14.1 材料、工程设备和工程的试验和检验</w:t>
      </w:r>
      <w:bookmarkEnd w:id="900"/>
      <w:bookmarkEnd w:id="901"/>
      <w:bookmarkEnd w:id="902"/>
      <w:bookmarkEnd w:id="903"/>
      <w:bookmarkEnd w:id="904"/>
    </w:p>
    <w:p w14:paraId="7DF95A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48347D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14.1.2 监理人未按合同约定派员参加试验和检验的，除监理人另有指示外，承包人可自行试验和检验，并应立即将试验和检验结果报送监理人，监理人应签字确认。</w:t>
      </w:r>
    </w:p>
    <w:p w14:paraId="6BF2CE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A3AD9B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5" w:name="_Toc9643"/>
      <w:bookmarkStart w:id="906" w:name="_Toc4179"/>
      <w:bookmarkStart w:id="907" w:name="_Toc2015"/>
      <w:bookmarkStart w:id="908" w:name="_Toc234833060"/>
      <w:bookmarkStart w:id="909" w:name="_Toc9789"/>
      <w:r>
        <w:rPr>
          <w:rFonts w:hint="default" w:ascii="Times New Roman" w:hAnsi="Times New Roman" w:eastAsia="黑体" w:cs="Times New Roman"/>
          <w:b w:val="0"/>
          <w:color w:val="auto"/>
          <w:sz w:val="24"/>
          <w:szCs w:val="24"/>
          <w:highlight w:val="none"/>
        </w:rPr>
        <w:t>14.2 现场材料试验</w:t>
      </w:r>
      <w:bookmarkEnd w:id="905"/>
      <w:bookmarkEnd w:id="906"/>
      <w:bookmarkEnd w:id="907"/>
      <w:bookmarkEnd w:id="908"/>
      <w:bookmarkEnd w:id="909"/>
    </w:p>
    <w:p w14:paraId="160A87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14.2.1 承包人根据合同约定或监理人指示进行的现场材料试验，应由承包人提供试验场所、试验人员、试验设备器材以及其他必要的试验条件。</w:t>
      </w:r>
    </w:p>
    <w:p w14:paraId="7A0F913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14.2.2 监理人在必要时可以使用承包人的试验场所、试验设备器材以及其他试验条件，进行以工程质量检查为目的的复核性材料试验，承包人应予以协助。</w:t>
      </w:r>
    </w:p>
    <w:p w14:paraId="3B94659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10" w:name="_Toc31625"/>
      <w:bookmarkStart w:id="911" w:name="_Toc19986"/>
      <w:bookmarkStart w:id="912" w:name="_Toc19643"/>
      <w:bookmarkStart w:id="913" w:name="_Toc234833061"/>
      <w:bookmarkStart w:id="914" w:name="_Toc505"/>
      <w:r>
        <w:rPr>
          <w:rFonts w:hint="default" w:ascii="Times New Roman" w:hAnsi="Times New Roman" w:eastAsia="黑体" w:cs="Times New Roman"/>
          <w:b w:val="0"/>
          <w:color w:val="auto"/>
          <w:sz w:val="24"/>
          <w:szCs w:val="24"/>
          <w:highlight w:val="none"/>
        </w:rPr>
        <w:t>14.3 现场工艺试验</w:t>
      </w:r>
      <w:bookmarkEnd w:id="910"/>
      <w:bookmarkEnd w:id="911"/>
      <w:bookmarkEnd w:id="912"/>
      <w:bookmarkEnd w:id="913"/>
      <w:bookmarkEnd w:id="914"/>
    </w:p>
    <w:p w14:paraId="29A2E7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26A60E5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15" w:name="_Toc28048"/>
      <w:bookmarkStart w:id="916" w:name="_Toc17742"/>
      <w:bookmarkStart w:id="917" w:name="_Toc1929"/>
      <w:bookmarkStart w:id="918" w:name="_Toc32585"/>
      <w:bookmarkStart w:id="919" w:name="_Toc234833062"/>
      <w:r>
        <w:rPr>
          <w:rFonts w:hint="default" w:ascii="Times New Roman" w:hAnsi="Times New Roman" w:eastAsia="黑体" w:cs="Times New Roman"/>
          <w:b w:val="0"/>
          <w:color w:val="auto"/>
          <w:sz w:val="28"/>
          <w:szCs w:val="28"/>
          <w:highlight w:val="none"/>
        </w:rPr>
        <w:t>15. 变更</w:t>
      </w:r>
      <w:bookmarkEnd w:id="915"/>
      <w:bookmarkEnd w:id="916"/>
      <w:bookmarkEnd w:id="917"/>
      <w:bookmarkEnd w:id="918"/>
      <w:bookmarkEnd w:id="919"/>
    </w:p>
    <w:p w14:paraId="2992945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0" w:name="_Toc234833063"/>
      <w:bookmarkStart w:id="921" w:name="_Toc4605"/>
      <w:bookmarkStart w:id="922" w:name="_Toc20123"/>
      <w:bookmarkStart w:id="923" w:name="_Toc23647"/>
      <w:bookmarkStart w:id="924" w:name="_Toc30228"/>
      <w:r>
        <w:rPr>
          <w:rFonts w:hint="default" w:ascii="Times New Roman" w:hAnsi="Times New Roman" w:eastAsia="黑体" w:cs="Times New Roman"/>
          <w:b w:val="0"/>
          <w:color w:val="auto"/>
          <w:sz w:val="24"/>
          <w:szCs w:val="24"/>
          <w:highlight w:val="none"/>
        </w:rPr>
        <w:t>15.1 变更的范围和内容</w:t>
      </w:r>
      <w:bookmarkEnd w:id="920"/>
      <w:bookmarkEnd w:id="921"/>
      <w:bookmarkEnd w:id="922"/>
      <w:bookmarkEnd w:id="923"/>
      <w:bookmarkEnd w:id="924"/>
    </w:p>
    <w:p w14:paraId="54C0467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除专用合同条款另有约定外，在履行合同中发生以下情形之一，应按照本条规定进行变更。</w:t>
      </w:r>
    </w:p>
    <w:p w14:paraId="31FF78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w:t>
      </w:r>
    </w:p>
    <w:p w14:paraId="252233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（2）改变合同中任何一项工作的质量或其他特性；</w:t>
      </w:r>
    </w:p>
    <w:p w14:paraId="7E5EF1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（3）改变合同工程的基线、标高、位置或尺寸；</w:t>
      </w:r>
    </w:p>
    <w:p w14:paraId="10388B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（4）改变合同中任何一项工作的施工时间或改变已批准的施工工艺或顺序；</w:t>
      </w:r>
    </w:p>
    <w:p w14:paraId="193B0FF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（5）为完成工程需要追加的额外工作。</w:t>
      </w:r>
    </w:p>
    <w:p w14:paraId="098A6CA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5" w:name="_Toc10482"/>
      <w:bookmarkStart w:id="926" w:name="_Toc234833064"/>
      <w:bookmarkStart w:id="927" w:name="_Toc8053"/>
      <w:bookmarkStart w:id="928" w:name="_Toc24888"/>
      <w:bookmarkStart w:id="929" w:name="_Toc15961"/>
      <w:r>
        <w:rPr>
          <w:rFonts w:hint="default" w:ascii="Times New Roman" w:hAnsi="Times New Roman" w:eastAsia="黑体" w:cs="Times New Roman"/>
          <w:b w:val="0"/>
          <w:color w:val="auto"/>
          <w:sz w:val="24"/>
          <w:szCs w:val="24"/>
          <w:highlight w:val="none"/>
        </w:rPr>
        <w:t>15.2 变更权</w:t>
      </w:r>
      <w:bookmarkEnd w:id="925"/>
      <w:bookmarkEnd w:id="926"/>
      <w:bookmarkEnd w:id="927"/>
      <w:bookmarkEnd w:id="928"/>
      <w:bookmarkEnd w:id="929"/>
    </w:p>
    <w:p w14:paraId="0BD386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在履行合同过程中，经发包人同意，监理人可按第15.3款约定的变更程序向承包人作出变更指示，承包人应遵照执行。没有监理人的变更指示，承包人不得擅自变更。</w:t>
      </w:r>
    </w:p>
    <w:p w14:paraId="6DB461D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0" w:name="_Toc29346"/>
      <w:bookmarkStart w:id="931" w:name="_Toc2613"/>
      <w:bookmarkStart w:id="932" w:name="_Toc234833065"/>
      <w:bookmarkStart w:id="933" w:name="_Toc30516"/>
      <w:bookmarkStart w:id="934" w:name="_Toc12919"/>
      <w:r>
        <w:rPr>
          <w:rFonts w:hint="default" w:ascii="Times New Roman" w:hAnsi="Times New Roman" w:eastAsia="黑体" w:cs="Times New Roman"/>
          <w:b w:val="0"/>
          <w:color w:val="auto"/>
          <w:sz w:val="24"/>
          <w:szCs w:val="24"/>
          <w:highlight w:val="none"/>
        </w:rPr>
        <w:t>15.3 变更程序</w:t>
      </w:r>
      <w:bookmarkEnd w:id="930"/>
      <w:bookmarkEnd w:id="931"/>
      <w:bookmarkEnd w:id="932"/>
      <w:bookmarkEnd w:id="933"/>
      <w:bookmarkEnd w:id="934"/>
    </w:p>
    <w:p w14:paraId="69E37E4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15.3.1 </w:t>
      </w:r>
      <w:r>
        <w:rPr>
          <w:rFonts w:hint="default" w:ascii="Times New Roman" w:hAnsi="Times New Roman" w:eastAsia="黑体" w:cs="Times New Roman"/>
          <w:color w:val="auto"/>
          <w:sz w:val="24"/>
          <w:highlight w:val="none"/>
        </w:rPr>
        <w:t>变更的提出</w:t>
      </w:r>
    </w:p>
    <w:p w14:paraId="10A78D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689540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（2）在合同履行过程中，发生第15.1款约定情形的，监理人应按照第15.3.3项约定向承包人发出变更指示。</w:t>
      </w:r>
    </w:p>
    <w:p w14:paraId="124BD7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187BAED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（4）若承包人收到监理人的变更意向书后认为难以实施此项变更，应立即通知监理人，说明原因并附详细依据。监理人与承包人和发包人协商后确定撤销、改变或不改变原变更意向书。</w:t>
      </w:r>
    </w:p>
    <w:p w14:paraId="504C3C8F">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15.3.2 </w:t>
      </w:r>
      <w:r>
        <w:rPr>
          <w:rFonts w:hint="default" w:ascii="Times New Roman" w:hAnsi="Times New Roman" w:eastAsia="黑体" w:cs="Times New Roman"/>
          <w:color w:val="auto"/>
          <w:sz w:val="24"/>
          <w:highlight w:val="none"/>
        </w:rPr>
        <w:t>变更估价</w:t>
      </w:r>
    </w:p>
    <w:p w14:paraId="3E39A9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138B26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（2）变更工作影响工期的，承包人应提出调整工期的具体细节。监理人认为有必要时，可要求承包人提交要求提前或延长工期的施工进度计划及相应施工措施等详细资料。</w:t>
      </w:r>
    </w:p>
    <w:p w14:paraId="46ABB7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（3）除专用合同条款对期限另有约定外，监理人收到承包人变更报价书后的14天内，根据第15.4款约定的估价原则，按照第3.5款商定或确定变更价格。</w:t>
      </w:r>
    </w:p>
    <w:p w14:paraId="207CDF1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15.3.3</w:t>
      </w:r>
      <w:r>
        <w:rPr>
          <w:rFonts w:hint="default" w:ascii="Times New Roman" w:hAnsi="Times New Roman" w:eastAsia="黑体" w:cs="Times New Roman"/>
          <w:color w:val="auto"/>
          <w:sz w:val="24"/>
          <w:highlight w:val="none"/>
        </w:rPr>
        <w:t xml:space="preserve"> 变更指示</w:t>
      </w:r>
    </w:p>
    <w:p w14:paraId="1BB7868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（1）变更指示只能由监理人发出。</w:t>
      </w:r>
    </w:p>
    <w:p w14:paraId="0FDF5C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（2）变更指示应说明变更的目的、范围、变更内容以及变更的工程量及其进度和技术要求，并附有关图纸和文件。承包人收到变更指示后，应按变更指示进行变更工作。</w:t>
      </w:r>
    </w:p>
    <w:p w14:paraId="5BDB9B4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5" w:name="_Toc234833066"/>
      <w:bookmarkStart w:id="936" w:name="_Toc2325"/>
      <w:bookmarkStart w:id="937" w:name="_Toc21464"/>
      <w:bookmarkStart w:id="938" w:name="_Toc734"/>
      <w:bookmarkStart w:id="939" w:name="_Toc25571"/>
      <w:r>
        <w:rPr>
          <w:rFonts w:hint="default" w:ascii="Times New Roman" w:hAnsi="Times New Roman" w:eastAsia="黑体" w:cs="Times New Roman"/>
          <w:b w:val="0"/>
          <w:color w:val="auto"/>
          <w:sz w:val="24"/>
          <w:szCs w:val="24"/>
          <w:highlight w:val="none"/>
        </w:rPr>
        <w:t>15.4 变更的估价原则</w:t>
      </w:r>
      <w:bookmarkEnd w:id="935"/>
      <w:bookmarkEnd w:id="936"/>
      <w:bookmarkEnd w:id="937"/>
      <w:bookmarkEnd w:id="938"/>
      <w:bookmarkEnd w:id="939"/>
      <w:r>
        <w:rPr>
          <w:rFonts w:hint="default" w:ascii="Times New Roman" w:hAnsi="Times New Roman" w:eastAsia="黑体" w:cs="Times New Roman"/>
          <w:b w:val="0"/>
          <w:color w:val="auto"/>
          <w:sz w:val="24"/>
          <w:szCs w:val="24"/>
          <w:highlight w:val="none"/>
        </w:rPr>
        <w:t xml:space="preserve"> </w:t>
      </w:r>
    </w:p>
    <w:p w14:paraId="05DD782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除专用合同条款另有约定外，因变更引起的价格调整按照本款约定处理。</w:t>
      </w:r>
    </w:p>
    <w:p w14:paraId="00A2EFE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已标价工程量清单中有适用于变更工作的子目的，采用该子目的单价。</w:t>
      </w:r>
    </w:p>
    <w:p w14:paraId="0D265E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已标价工程量清单中无适用于变更工作的子目，但有类似子目的，可在合理范围内参照类似子目的单价，由监理人按第3.5款商定或确定变更工作的单价。</w:t>
      </w:r>
    </w:p>
    <w:p w14:paraId="342904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已标价工程量清单中无适用或类似子目的单价，可按照成本加利润的原则，由监理人按第3.5款商定或确定变更工作的单价。</w:t>
      </w:r>
    </w:p>
    <w:p w14:paraId="1BDB109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0" w:name="_Toc10517"/>
      <w:bookmarkStart w:id="941" w:name="_Toc25619"/>
      <w:bookmarkStart w:id="942" w:name="_Toc5615"/>
      <w:bookmarkStart w:id="943" w:name="_Toc234833067"/>
      <w:bookmarkStart w:id="944" w:name="_Toc20188"/>
      <w:r>
        <w:rPr>
          <w:rFonts w:hint="default" w:ascii="Times New Roman" w:hAnsi="Times New Roman" w:eastAsia="黑体" w:cs="Times New Roman"/>
          <w:b w:val="0"/>
          <w:color w:val="auto"/>
          <w:sz w:val="24"/>
          <w:szCs w:val="24"/>
          <w:highlight w:val="none"/>
        </w:rPr>
        <w:t>15.5 承包人的合理化建议</w:t>
      </w:r>
      <w:bookmarkEnd w:id="940"/>
      <w:bookmarkEnd w:id="941"/>
      <w:bookmarkEnd w:id="942"/>
      <w:bookmarkEnd w:id="943"/>
      <w:bookmarkEnd w:id="944"/>
    </w:p>
    <w:p w14:paraId="1BD76E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07F32BF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15.5.2 承包人提出的合理化建议降低了合同价格、缩短了工期或者提高了工程经济效益的，发包人可按国家有关规定在专用合同条款中约定给予奖励。</w:t>
      </w:r>
    </w:p>
    <w:p w14:paraId="0EF4922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5" w:name="_Toc32232"/>
      <w:bookmarkStart w:id="946" w:name="_Toc27871"/>
      <w:bookmarkStart w:id="947" w:name="_Toc15655"/>
      <w:bookmarkStart w:id="948" w:name="_Toc234833068"/>
      <w:bookmarkStart w:id="949" w:name="_Toc1051"/>
      <w:r>
        <w:rPr>
          <w:rFonts w:hint="default" w:ascii="Times New Roman" w:hAnsi="Times New Roman" w:eastAsia="黑体" w:cs="Times New Roman"/>
          <w:b w:val="0"/>
          <w:color w:val="auto"/>
          <w:sz w:val="24"/>
          <w:szCs w:val="24"/>
          <w:highlight w:val="none"/>
        </w:rPr>
        <w:t>15.6 暂列金额</w:t>
      </w:r>
      <w:bookmarkEnd w:id="945"/>
      <w:bookmarkEnd w:id="946"/>
      <w:bookmarkEnd w:id="947"/>
      <w:bookmarkEnd w:id="948"/>
      <w:bookmarkEnd w:id="949"/>
    </w:p>
    <w:p w14:paraId="22E0AE5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暂列金额只能按照监理人的指示使用，并对合同价格进行相应调整。</w:t>
      </w:r>
    </w:p>
    <w:p w14:paraId="2206AE8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50" w:name="_Toc2062"/>
      <w:bookmarkStart w:id="951" w:name="_Toc25732"/>
      <w:bookmarkStart w:id="952" w:name="_Toc234833069"/>
      <w:bookmarkStart w:id="953" w:name="_Toc10060"/>
      <w:bookmarkStart w:id="954" w:name="_Toc4406"/>
      <w:r>
        <w:rPr>
          <w:rFonts w:hint="default" w:ascii="Times New Roman" w:hAnsi="Times New Roman" w:eastAsia="黑体" w:cs="Times New Roman"/>
          <w:b w:val="0"/>
          <w:color w:val="auto"/>
          <w:sz w:val="24"/>
          <w:szCs w:val="24"/>
          <w:highlight w:val="none"/>
        </w:rPr>
        <w:t>15.7 计日工</w:t>
      </w:r>
      <w:bookmarkEnd w:id="950"/>
      <w:bookmarkEnd w:id="951"/>
      <w:bookmarkEnd w:id="952"/>
      <w:bookmarkEnd w:id="953"/>
      <w:bookmarkEnd w:id="954"/>
    </w:p>
    <w:p w14:paraId="30744B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15.7.1 发包人认为有必要时，由监理人通知承包人以计日工方式实施变更的零星工作。其价款按列入已标价工程量清单中的计日工计价子目及其单价进行计算。</w:t>
      </w:r>
    </w:p>
    <w:p w14:paraId="696B6B1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15.7.2 采用计日工计价的任何一项变更工作，应从暂列金额中支付，承包人应在该项变更的实施过程中，每天提交以下报表和有关凭证报送监理人审批：</w:t>
      </w:r>
    </w:p>
    <w:p w14:paraId="12A2C3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（1）工作名称、内容和数量；</w:t>
      </w:r>
    </w:p>
    <w:p w14:paraId="76182B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（2）投入该工作所有人员的姓名、工种、级别和耗用工时；</w:t>
      </w:r>
    </w:p>
    <w:p w14:paraId="116DA8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（3）投入该工作的材料类别和数量；</w:t>
      </w:r>
    </w:p>
    <w:p w14:paraId="22C884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（4）投入该工作的施工设备型号、台数和耗用台时；</w:t>
      </w:r>
    </w:p>
    <w:p w14:paraId="04ED1A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（5）监理人要求提交的其他资料和凭证。</w:t>
      </w:r>
    </w:p>
    <w:p w14:paraId="4EFFC9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15.7.3 计日工由承包人汇总后，按第17.3.2项的约定列入进度付款申请单，由监理人复核并经发包人同意后列入进度付款。</w:t>
      </w:r>
    </w:p>
    <w:p w14:paraId="1C04B06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55" w:name="_Toc234833070"/>
      <w:bookmarkStart w:id="956" w:name="_Toc19722"/>
      <w:bookmarkStart w:id="957" w:name="_Toc13261"/>
      <w:bookmarkStart w:id="958" w:name="_Toc17561"/>
      <w:bookmarkStart w:id="959" w:name="_Toc7315"/>
      <w:r>
        <w:rPr>
          <w:rFonts w:hint="default" w:ascii="Times New Roman" w:hAnsi="Times New Roman" w:eastAsia="黑体" w:cs="Times New Roman"/>
          <w:b w:val="0"/>
          <w:color w:val="auto"/>
          <w:sz w:val="24"/>
          <w:szCs w:val="24"/>
          <w:highlight w:val="none"/>
        </w:rPr>
        <w:t>15.8暂估价</w:t>
      </w:r>
      <w:bookmarkEnd w:id="955"/>
      <w:bookmarkEnd w:id="956"/>
      <w:bookmarkEnd w:id="957"/>
      <w:bookmarkEnd w:id="958"/>
      <w:bookmarkEnd w:id="959"/>
    </w:p>
    <w:p w14:paraId="718F80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131951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03D0556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2A4025D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60" w:name="_Toc7147"/>
      <w:bookmarkStart w:id="961" w:name="_Toc234833071"/>
      <w:bookmarkStart w:id="962" w:name="_Toc10500"/>
      <w:bookmarkStart w:id="963" w:name="_Toc15345"/>
      <w:bookmarkStart w:id="964" w:name="_Toc22564"/>
      <w:r>
        <w:rPr>
          <w:rFonts w:hint="default" w:ascii="Times New Roman" w:hAnsi="Times New Roman" w:eastAsia="黑体" w:cs="Times New Roman"/>
          <w:b w:val="0"/>
          <w:color w:val="auto"/>
          <w:sz w:val="28"/>
          <w:szCs w:val="28"/>
          <w:highlight w:val="none"/>
        </w:rPr>
        <w:t>16. 价格调整</w:t>
      </w:r>
      <w:bookmarkEnd w:id="960"/>
      <w:bookmarkEnd w:id="961"/>
      <w:bookmarkEnd w:id="962"/>
      <w:bookmarkEnd w:id="963"/>
      <w:bookmarkEnd w:id="964"/>
    </w:p>
    <w:p w14:paraId="39A938A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65" w:name="_Toc29053"/>
      <w:bookmarkStart w:id="966" w:name="_Toc234833072"/>
      <w:bookmarkStart w:id="967" w:name="_Toc28582"/>
      <w:bookmarkStart w:id="968" w:name="_Toc5119"/>
      <w:bookmarkStart w:id="969" w:name="_Toc892"/>
      <w:r>
        <w:rPr>
          <w:rFonts w:hint="default" w:ascii="Times New Roman" w:hAnsi="Times New Roman" w:eastAsia="黑体" w:cs="Times New Roman"/>
          <w:b w:val="0"/>
          <w:color w:val="auto"/>
          <w:sz w:val="24"/>
          <w:szCs w:val="24"/>
          <w:highlight w:val="none"/>
        </w:rPr>
        <w:t>16.1 物价波动引起的价格调整</w:t>
      </w:r>
      <w:bookmarkEnd w:id="965"/>
      <w:bookmarkEnd w:id="966"/>
      <w:bookmarkEnd w:id="967"/>
      <w:bookmarkEnd w:id="968"/>
      <w:bookmarkEnd w:id="969"/>
    </w:p>
    <w:p w14:paraId="66E796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除专用合同条款另有约定外，因物价波动引起的价格调整按照本款约定处理。</w:t>
      </w:r>
    </w:p>
    <w:p w14:paraId="71799EA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6E2F3CA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16.1.1.1 价格调整公式</w:t>
      </w:r>
    </w:p>
    <w:p w14:paraId="092178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因人工、材料和设备等价格波动影响合同价格时，根据投标函附录中的价格指数和权重表约定的数据，按以下公式计算差额并调整合同价格：</w:t>
      </w:r>
    </w:p>
    <w:p w14:paraId="6DA1AD93">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kern w:val="0"/>
          <w:position w:val="-34"/>
          <w:sz w:val="24"/>
          <w:highlight w:val="none"/>
          <w:lang w:val="zh-CN"/>
        </w:rPr>
        <w:object>
          <v:shape id="_x0000_i1025" o:spt="75" type="#_x0000_t75" style="height:50.35pt;width:363.95pt;" o:ole="t" filled="f" o:preferrelative="t" stroked="f" coordsize="21600,21600">
            <v:path/>
            <v:fill on="f" alignshape="1" focussize="0,0"/>
            <v:stroke on="f"/>
            <v:imagedata r:id="rId49" o:title=""/>
            <o:lock v:ext="edit" aspectratio="t"/>
            <w10:wrap type="none"/>
            <w10:anchorlock/>
          </v:shape>
          <o:OLEObject Type="Embed" ProgID="Equation.3" ShapeID="_x0000_i1025" DrawAspect="Content" ObjectID="_1468075725" r:id="rId48">
            <o:LockedField>false</o:LockedField>
          </o:OLEObject>
        </w:object>
      </w:r>
    </w:p>
    <w:p w14:paraId="2705282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式中： </w:t>
      </w:r>
      <w:r>
        <w:rPr>
          <w:rFonts w:hint="default" w:ascii="Times New Roman" w:hAnsi="Times New Roman" w:cs="Times New Roman"/>
          <w:b/>
          <w:color w:val="auto"/>
          <w:sz w:val="24"/>
          <w:highlight w:val="none"/>
        </w:rPr>
        <w:t>△P</w:t>
      </w:r>
      <w:r>
        <w:rPr>
          <w:rFonts w:hint="default" w:ascii="Times New Roman" w:hAnsi="Times New Roman" w:cs="Times New Roman"/>
          <w:color w:val="auto"/>
          <w:sz w:val="24"/>
          <w:highlight w:val="none"/>
        </w:rPr>
        <w:t>-- 需调整的价格差额；</w:t>
      </w:r>
    </w:p>
    <w:p w14:paraId="13F74F3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P</w:t>
      </w:r>
      <w:r>
        <w:rPr>
          <w:rFonts w:hint="default" w:ascii="Times New Roman" w:hAnsi="Times New Roman" w:cs="Times New Roman"/>
          <w:b/>
          <w:bCs/>
          <w:color w:val="auto"/>
          <w:sz w:val="24"/>
          <w:highlight w:val="none"/>
          <w:vertAlign w:val="subscript"/>
          <w:lang w:val="zh-CN"/>
        </w:rPr>
        <w:t xml:space="preserve">0 </w:t>
      </w:r>
      <w:r>
        <w:rPr>
          <w:rFonts w:hint="default" w:ascii="Times New Roman" w:hAnsi="Times New Roman" w:cs="Times New Roman"/>
          <w:color w:val="auto"/>
          <w:sz w:val="24"/>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2414AB4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A</w:t>
      </w:r>
      <w:r>
        <w:rPr>
          <w:rFonts w:hint="default" w:ascii="Times New Roman" w:hAnsi="Times New Roman" w:cs="Times New Roman"/>
          <w:color w:val="auto"/>
          <w:sz w:val="24"/>
          <w:highlight w:val="none"/>
        </w:rPr>
        <w:t xml:space="preserve"> -- 定值权重（即不调部分的权重）；</w:t>
      </w:r>
    </w:p>
    <w:p w14:paraId="5087E6F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 xml:space="preserve"> 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lang w:val="zh-CN"/>
        </w:rPr>
        <w:t>B</w:t>
      </w:r>
      <w:r>
        <w:rPr>
          <w:rFonts w:hint="default" w:ascii="Times New Roman" w:hAnsi="Times New Roman" w:cs="Times New Roman"/>
          <w:b/>
          <w:bCs/>
          <w:color w:val="auto"/>
          <w:sz w:val="24"/>
          <w:highlight w:val="none"/>
          <w:vertAlign w:val="subscript"/>
          <w:lang w:val="zh-CN"/>
        </w:rPr>
        <w:t>n</w:t>
      </w:r>
      <w:r>
        <w:rPr>
          <w:rFonts w:hint="default" w:ascii="Times New Roman" w:hAnsi="Times New Roman" w:cs="Times New Roman"/>
          <w:color w:val="auto"/>
          <w:sz w:val="24"/>
          <w:highlight w:val="none"/>
          <w:vertAlign w:val="subscript"/>
        </w:rPr>
        <w:t xml:space="preserve"> </w:t>
      </w:r>
      <w:r>
        <w:rPr>
          <w:rFonts w:hint="default" w:ascii="Times New Roman" w:hAnsi="Times New Roman" w:cs="Times New Roman"/>
          <w:color w:val="auto"/>
          <w:sz w:val="24"/>
          <w:highlight w:val="none"/>
        </w:rPr>
        <w:t xml:space="preserve"> -- 各可调因子的变值权重（即可调部分的权重）为各可调因子在投标函投标总报价中所占的比例；</w:t>
      </w:r>
    </w:p>
    <w:p w14:paraId="13BD08D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t1;</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t2;</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t3</w:t>
      </w:r>
      <w:r>
        <w:rPr>
          <w:rFonts w:hint="default" w:ascii="Times New Roman" w:hAnsi="Times New Roman" w:cs="Times New Roman"/>
          <w:b/>
          <w:bCs/>
          <w:color w:val="auto"/>
          <w:sz w:val="24"/>
          <w:highlight w:val="none"/>
          <w:lang w:val="zh-CN"/>
        </w:rPr>
        <w:t>……F</w:t>
      </w:r>
      <w:r>
        <w:rPr>
          <w:rFonts w:hint="default" w:ascii="Times New Roman" w:hAnsi="Times New Roman" w:cs="Times New Roman"/>
          <w:b/>
          <w:bCs/>
          <w:color w:val="auto"/>
          <w:sz w:val="24"/>
          <w:highlight w:val="none"/>
          <w:vertAlign w:val="subscript"/>
          <w:lang w:val="zh-CN"/>
        </w:rPr>
        <w:t>tn</w:t>
      </w:r>
      <w:r>
        <w:rPr>
          <w:rFonts w:hint="default" w:ascii="Times New Roman" w:hAnsi="Times New Roman" w:cs="Times New Roman"/>
          <w:color w:val="auto"/>
          <w:sz w:val="24"/>
          <w:highlight w:val="none"/>
        </w:rPr>
        <w:t xml:space="preserve"> -- 各可调因子的现行价格指数，指第17.3.3项、第17.5.2项和第17.6.2项约定的付款证书相关周期最后一天的前42天的各可调因子的价格指数；</w:t>
      </w:r>
    </w:p>
    <w:p w14:paraId="5AA9E8DE">
      <w:pPr>
        <w:pageBreakBefore w:val="0"/>
        <w:kinsoku/>
        <w:wordWrap w:val="0"/>
        <w:bidi w:val="0"/>
        <w:spacing w:line="400" w:lineRule="atLeast"/>
        <w:ind w:firstLine="716" w:firstLineChars="297"/>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o1;</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o2;</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o3</w:t>
      </w: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on</w:t>
      </w:r>
      <w:r>
        <w:rPr>
          <w:rFonts w:hint="default" w:ascii="Times New Roman" w:hAnsi="Times New Roman" w:cs="Times New Roman"/>
          <w:color w:val="auto"/>
          <w:sz w:val="24"/>
          <w:highlight w:val="none"/>
        </w:rPr>
        <w:t xml:space="preserve"> --各可调因子的基本价格指数，指基准日期的各可调因子的价格指数。</w:t>
      </w:r>
    </w:p>
    <w:p w14:paraId="17868DEF">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221E508B">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16.1.1.2 暂时确定调整差额</w:t>
      </w:r>
    </w:p>
    <w:p w14:paraId="176D99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在计算调整差额时得不到现行价格指数的，可暂用上一次价格指数计算，并在以后的付款中再按实际价格指数进行调整。</w:t>
      </w:r>
    </w:p>
    <w:p w14:paraId="036B689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16.1.1.3 权重的调整</w:t>
      </w:r>
    </w:p>
    <w:p w14:paraId="7C85EA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按第15.1款约定的变更导致原定合同中的权重不合理时，由监理人与承包人和发包人协商后进行调整。</w:t>
      </w:r>
    </w:p>
    <w:p w14:paraId="3E4E570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16.1.1.4 承包人工期延误后的价格调整</w:t>
      </w:r>
    </w:p>
    <w:p w14:paraId="007C7E2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2EECCA3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16.1.2 </w:t>
      </w:r>
      <w:r>
        <w:rPr>
          <w:rFonts w:hint="default" w:ascii="Times New Roman" w:hAnsi="Times New Roman" w:eastAsia="黑体" w:cs="Times New Roman"/>
          <w:color w:val="auto"/>
          <w:sz w:val="24"/>
          <w:highlight w:val="none"/>
        </w:rPr>
        <w:t>采用造价信息调整价格差额</w:t>
      </w:r>
    </w:p>
    <w:p w14:paraId="22F0A24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53F9EA7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70" w:name="_Toc10804"/>
      <w:bookmarkStart w:id="971" w:name="_Toc234833073"/>
      <w:bookmarkStart w:id="972" w:name="_Toc15845"/>
      <w:bookmarkStart w:id="973" w:name="_Toc25291"/>
      <w:bookmarkStart w:id="974" w:name="_Toc5910"/>
      <w:r>
        <w:rPr>
          <w:rFonts w:hint="default" w:ascii="Times New Roman" w:hAnsi="Times New Roman" w:eastAsia="黑体" w:cs="Times New Roman"/>
          <w:b w:val="0"/>
          <w:color w:val="auto"/>
          <w:sz w:val="24"/>
          <w:szCs w:val="24"/>
          <w:highlight w:val="none"/>
        </w:rPr>
        <w:t>16.2 法律变化引起的价格调整</w:t>
      </w:r>
      <w:bookmarkEnd w:id="970"/>
      <w:bookmarkEnd w:id="971"/>
      <w:bookmarkEnd w:id="972"/>
      <w:bookmarkEnd w:id="973"/>
      <w:bookmarkEnd w:id="974"/>
    </w:p>
    <w:p w14:paraId="20911769">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72C8D25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75" w:name="_Toc32220"/>
      <w:bookmarkStart w:id="976" w:name="_Toc6207"/>
      <w:bookmarkStart w:id="977" w:name="_Toc2237"/>
      <w:bookmarkStart w:id="978" w:name="_Toc234833074"/>
      <w:bookmarkStart w:id="979" w:name="_Toc11413"/>
      <w:r>
        <w:rPr>
          <w:rFonts w:hint="default" w:ascii="Times New Roman" w:hAnsi="Times New Roman" w:eastAsia="黑体" w:cs="Times New Roman"/>
          <w:b w:val="0"/>
          <w:color w:val="auto"/>
          <w:sz w:val="28"/>
          <w:szCs w:val="28"/>
          <w:highlight w:val="none"/>
        </w:rPr>
        <w:t>17. 计量与支付</w:t>
      </w:r>
      <w:bookmarkEnd w:id="975"/>
      <w:bookmarkEnd w:id="976"/>
      <w:bookmarkEnd w:id="977"/>
      <w:bookmarkEnd w:id="978"/>
      <w:bookmarkEnd w:id="979"/>
    </w:p>
    <w:p w14:paraId="204483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0" w:name="_Toc234833075"/>
      <w:bookmarkStart w:id="981" w:name="_Toc12856"/>
      <w:bookmarkStart w:id="982" w:name="_Toc21036"/>
      <w:bookmarkStart w:id="983" w:name="_Toc11688"/>
      <w:bookmarkStart w:id="984" w:name="_Toc29292"/>
      <w:r>
        <w:rPr>
          <w:rFonts w:hint="default" w:ascii="Times New Roman" w:hAnsi="Times New Roman" w:eastAsia="黑体" w:cs="Times New Roman"/>
          <w:b w:val="0"/>
          <w:color w:val="auto"/>
          <w:sz w:val="24"/>
          <w:szCs w:val="24"/>
          <w:highlight w:val="none"/>
        </w:rPr>
        <w:t>17.1 计量</w:t>
      </w:r>
      <w:bookmarkEnd w:id="980"/>
      <w:bookmarkEnd w:id="981"/>
      <w:bookmarkEnd w:id="982"/>
      <w:bookmarkEnd w:id="983"/>
      <w:bookmarkEnd w:id="984"/>
      <w:r>
        <w:rPr>
          <w:rFonts w:hint="default" w:ascii="Times New Roman" w:hAnsi="Times New Roman" w:eastAsia="黑体" w:cs="Times New Roman"/>
          <w:b w:val="0"/>
          <w:color w:val="auto"/>
          <w:sz w:val="24"/>
          <w:szCs w:val="24"/>
          <w:highlight w:val="none"/>
        </w:rPr>
        <w:t xml:space="preserve"> </w:t>
      </w:r>
    </w:p>
    <w:p w14:paraId="727A76DF">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17.1.1 </w:t>
      </w:r>
      <w:r>
        <w:rPr>
          <w:rFonts w:hint="default" w:ascii="Times New Roman" w:hAnsi="Times New Roman" w:eastAsia="黑体" w:cs="Times New Roman"/>
          <w:color w:val="auto"/>
          <w:sz w:val="24"/>
          <w:highlight w:val="none"/>
        </w:rPr>
        <w:t>计量单位</w:t>
      </w:r>
    </w:p>
    <w:p w14:paraId="7318B2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计量采用国家法定的计量单位。</w:t>
      </w:r>
    </w:p>
    <w:p w14:paraId="725F12AF">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01E6FA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工程量清单中的工程量计算规则应按有关国家标准、行业标准的规定，并在合同中约定执行。</w:t>
      </w:r>
    </w:p>
    <w:p w14:paraId="61CAEA8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17.1.3 </w:t>
      </w:r>
      <w:r>
        <w:rPr>
          <w:rFonts w:hint="default" w:ascii="Times New Roman" w:hAnsi="Times New Roman" w:eastAsia="黑体" w:cs="Times New Roman"/>
          <w:color w:val="auto"/>
          <w:sz w:val="24"/>
          <w:highlight w:val="none"/>
        </w:rPr>
        <w:t>计量周期</w:t>
      </w:r>
    </w:p>
    <w:p w14:paraId="1952084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除专用合同条款另有约定外，单价子目已完成工程量按月计量，总价子目的计量周期按批准的支付分解报告确定。 </w:t>
      </w:r>
    </w:p>
    <w:p w14:paraId="7540679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18EBA6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（1）已标价工程量清单中的单价子目工程量为估算工程量。结算工程量是承包人实际完成的，并按合同约定的计量方法进行计量的工程量。</w:t>
      </w:r>
    </w:p>
    <w:p w14:paraId="581939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（2）承包人对已完成的工程进行计量，向监理人提交进度付款申请单、已完成工程量报表和有关计量资料。</w:t>
      </w:r>
    </w:p>
    <w:p w14:paraId="62B107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25B820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（4）监理人认为有必要时，可通知承包人共同进行联合测量、计量，承包人应遵照执行。</w:t>
      </w:r>
    </w:p>
    <w:p w14:paraId="0C8737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3AC74C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（6）监理人应在收到承包人提交的工程量报表后的7天内进行复核，监理人未在约定时间内复核的，承包人提交的工程量报表中的工程量视为承包人实际完成的工程量，据此计算工程价款。</w:t>
      </w:r>
    </w:p>
    <w:p w14:paraId="067C90B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181DBE0A">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除专用合同条款另有约定外，总价子目的分解和计量按照下述约定进行。</w:t>
      </w:r>
    </w:p>
    <w:p w14:paraId="5BE2419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（1）总价子目的计量和支付应以总价为基础，不因第16.1款中的因素而进行调整。承包人实际完成的工程量，是进行工程目标管理和控制进度支付的依据。</w:t>
      </w:r>
    </w:p>
    <w:p w14:paraId="1F15200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569B6CA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（3）监理人对承包人提交的上述资料进行复核，以确定分阶段实际完成的工程量和工程形象目标。对其有异议的，可要求承包人按第8.2款约定进行共同复核和抽样复测。</w:t>
      </w:r>
    </w:p>
    <w:p w14:paraId="3E71D30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（4）除按照第15条约定的变更外，总价子目的工程量是承包人用于结算的最终工程量。</w:t>
      </w:r>
    </w:p>
    <w:p w14:paraId="393A421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5" w:name="_Toc28845"/>
      <w:bookmarkStart w:id="986" w:name="_Toc28011"/>
      <w:bookmarkStart w:id="987" w:name="_Toc234833076"/>
      <w:bookmarkStart w:id="988" w:name="_Toc10349"/>
      <w:bookmarkStart w:id="989" w:name="_Toc16552"/>
      <w:r>
        <w:rPr>
          <w:rFonts w:hint="default" w:ascii="Times New Roman" w:hAnsi="Times New Roman" w:eastAsia="黑体" w:cs="Times New Roman"/>
          <w:b w:val="0"/>
          <w:color w:val="auto"/>
          <w:sz w:val="24"/>
          <w:szCs w:val="24"/>
          <w:highlight w:val="none"/>
        </w:rPr>
        <w:t>17.2 预付款</w:t>
      </w:r>
      <w:bookmarkEnd w:id="985"/>
      <w:bookmarkEnd w:id="986"/>
      <w:bookmarkEnd w:id="987"/>
      <w:bookmarkEnd w:id="988"/>
      <w:bookmarkEnd w:id="989"/>
    </w:p>
    <w:p w14:paraId="00ED02A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654474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7E78ACF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46C638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70949EC2">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625F849E">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2EB34BF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90" w:name="_Toc26397"/>
      <w:bookmarkStart w:id="991" w:name="_Toc13844"/>
      <w:bookmarkStart w:id="992" w:name="_Toc20532"/>
      <w:bookmarkStart w:id="993" w:name="_Toc234833077"/>
      <w:bookmarkStart w:id="994" w:name="_Toc7717"/>
      <w:r>
        <w:rPr>
          <w:rFonts w:hint="default" w:ascii="Times New Roman" w:hAnsi="Times New Roman" w:eastAsia="黑体" w:cs="Times New Roman"/>
          <w:b w:val="0"/>
          <w:color w:val="auto"/>
          <w:sz w:val="24"/>
          <w:szCs w:val="24"/>
          <w:highlight w:val="none"/>
        </w:rPr>
        <w:t>17.3 工程进度付款</w:t>
      </w:r>
      <w:bookmarkEnd w:id="990"/>
      <w:bookmarkEnd w:id="991"/>
      <w:bookmarkEnd w:id="992"/>
      <w:bookmarkEnd w:id="993"/>
      <w:bookmarkEnd w:id="994"/>
    </w:p>
    <w:p w14:paraId="3A2B0E8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17.3.1 </w:t>
      </w:r>
      <w:r>
        <w:rPr>
          <w:rFonts w:hint="default" w:ascii="Times New Roman" w:hAnsi="Times New Roman" w:eastAsia="黑体" w:cs="Times New Roman"/>
          <w:color w:val="auto"/>
          <w:sz w:val="24"/>
          <w:highlight w:val="none"/>
        </w:rPr>
        <w:t>付款周期</w:t>
      </w:r>
    </w:p>
    <w:p w14:paraId="7076DC4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付款周期同计量周期。</w:t>
      </w:r>
    </w:p>
    <w:p w14:paraId="2C0FF54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17.3.2 </w:t>
      </w:r>
      <w:r>
        <w:rPr>
          <w:rFonts w:hint="default" w:ascii="Times New Roman" w:hAnsi="Times New Roman" w:eastAsia="黑体" w:cs="Times New Roman"/>
          <w:color w:val="auto"/>
          <w:sz w:val="24"/>
          <w:highlight w:val="none"/>
        </w:rPr>
        <w:t>进度付款申请单</w:t>
      </w:r>
    </w:p>
    <w:p w14:paraId="2025A88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7FEA906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（1）截至本次付款周期末已实施工程的价款；</w:t>
      </w:r>
    </w:p>
    <w:p w14:paraId="4CA0EB0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（2）根据第15条应增加和扣减的变更金额；</w:t>
      </w:r>
    </w:p>
    <w:p w14:paraId="26C4B27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（3）根据第23条应增加和扣减的索赔金额；</w:t>
      </w:r>
    </w:p>
    <w:p w14:paraId="09A8D15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（4）根据第17.2款约定应支付的预付款和扣减的返还预付款；</w:t>
      </w:r>
    </w:p>
    <w:p w14:paraId="3BE5EEE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（5）根据第17.4.1项约定应扣减的质量保证金；</w:t>
      </w:r>
    </w:p>
    <w:p w14:paraId="1B99149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（6）根据合同应增加和扣减的其他金额。</w:t>
      </w:r>
    </w:p>
    <w:p w14:paraId="2BCEFDC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4B7190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384D1E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（2）发包人应在监理人收到进度付款申请单后的28天内，将进度应付款支付给承包人。发包人不按期支付的，按专用合同条款的约定支付逾期付款违约金。</w:t>
      </w:r>
    </w:p>
    <w:p w14:paraId="6D3F92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（3）监理人出具进度付款证书，不应视为监理人已同意、批准或接受了承包人完成的该部分工作。</w:t>
      </w:r>
    </w:p>
    <w:p w14:paraId="036DFCC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（4）进度付款涉及政府投资资金的，按照国库集中支付等国家相关规定和专用合同条款的约定办理。</w:t>
      </w:r>
    </w:p>
    <w:p w14:paraId="45C099B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br w:type="page"/>
      </w:r>
      <w:r>
        <w:rPr>
          <w:rFonts w:hint="default" w:ascii="Times New Roman" w:hAnsi="Times New Roman" w:cs="Times New Roman"/>
          <w:color w:val="auto"/>
          <w:sz w:val="24"/>
          <w:highlight w:val="none"/>
        </w:rPr>
        <w:t>17.3.4</w:t>
      </w:r>
      <w:r>
        <w:rPr>
          <w:rFonts w:hint="default" w:ascii="Times New Roman" w:hAnsi="Times New Roman" w:eastAsia="黑体" w:cs="Times New Roman"/>
          <w:color w:val="auto"/>
          <w:sz w:val="24"/>
          <w:highlight w:val="none"/>
        </w:rPr>
        <w:t xml:space="preserve"> 工程进度付款的修正</w:t>
      </w:r>
    </w:p>
    <w:p w14:paraId="0F3498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1F32D14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95" w:name="_Toc2545"/>
      <w:bookmarkStart w:id="996" w:name="_Toc10469"/>
      <w:bookmarkStart w:id="997" w:name="_Toc30905"/>
      <w:bookmarkStart w:id="998" w:name="_Toc27494"/>
      <w:bookmarkStart w:id="999" w:name="_Toc234833078"/>
      <w:r>
        <w:rPr>
          <w:rFonts w:hint="default" w:ascii="Times New Roman" w:hAnsi="Times New Roman" w:eastAsia="黑体" w:cs="Times New Roman"/>
          <w:b w:val="0"/>
          <w:color w:val="auto"/>
          <w:sz w:val="24"/>
          <w:szCs w:val="24"/>
          <w:highlight w:val="none"/>
        </w:rPr>
        <w:t>17.4 质量保证金</w:t>
      </w:r>
      <w:bookmarkEnd w:id="995"/>
      <w:bookmarkEnd w:id="996"/>
      <w:bookmarkEnd w:id="997"/>
      <w:bookmarkEnd w:id="998"/>
      <w:bookmarkEnd w:id="999"/>
    </w:p>
    <w:p w14:paraId="03F4F4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6752C8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44B73B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17.4.3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352012F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00" w:name="_Toc26637"/>
      <w:bookmarkStart w:id="1001" w:name="_Toc234833079"/>
      <w:bookmarkStart w:id="1002" w:name="_Toc23313"/>
      <w:bookmarkStart w:id="1003" w:name="_Toc9754"/>
      <w:bookmarkStart w:id="1004" w:name="_Toc26619"/>
      <w:r>
        <w:rPr>
          <w:rFonts w:hint="default" w:ascii="Times New Roman" w:hAnsi="Times New Roman" w:eastAsia="黑体" w:cs="Times New Roman"/>
          <w:b w:val="0"/>
          <w:color w:val="auto"/>
          <w:sz w:val="24"/>
          <w:szCs w:val="24"/>
          <w:highlight w:val="none"/>
        </w:rPr>
        <w:t>17.5 竣工结算</w:t>
      </w:r>
      <w:bookmarkEnd w:id="1000"/>
      <w:bookmarkEnd w:id="1001"/>
      <w:bookmarkEnd w:id="1002"/>
      <w:bookmarkEnd w:id="1003"/>
      <w:bookmarkEnd w:id="1004"/>
    </w:p>
    <w:p w14:paraId="127A43F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竣工付款申请单</w:t>
      </w:r>
    </w:p>
    <w:p w14:paraId="58EED9F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5286DA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（2）监理人对竣工付款申请单有异议的，有权要求承包人进行修正和提供补充资料。经监理人和承包人协商后，由承包人向监理人提交修正后的竣工付款申请单。</w:t>
      </w:r>
    </w:p>
    <w:p w14:paraId="5E2E255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竣工付款证书及支付时间</w:t>
      </w:r>
    </w:p>
    <w:p w14:paraId="4E60B58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7CB5D89">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（2）发包人应在监理人出具竣工付款证书后的14天内，将应支付款支付给承包人。发包人不按期支付的，按第17.3.3（2）目的约定，将逾期付款违约金支付给承包人。</w:t>
      </w:r>
    </w:p>
    <w:p w14:paraId="02BEF905">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（3）承包人对发包人签认的竣工付款证书有异议的，发包人可出具竣工付款申请单中承包人已同意部分的临时付款证书。存在争议的部分，按第24条的约定办理。</w:t>
      </w:r>
    </w:p>
    <w:p w14:paraId="60BB46BE">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（4）竣工付款涉及政府投资资金的，按第17.3.3（4）目的约定办理。</w:t>
      </w:r>
    </w:p>
    <w:p w14:paraId="0260CD6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05" w:name="_Toc1613"/>
      <w:bookmarkStart w:id="1006" w:name="_Toc4427"/>
      <w:bookmarkStart w:id="1007" w:name="_Toc234833080"/>
      <w:bookmarkStart w:id="1008" w:name="_Toc13815"/>
      <w:bookmarkStart w:id="1009" w:name="_Toc3447"/>
      <w:r>
        <w:rPr>
          <w:rFonts w:hint="default" w:ascii="Times New Roman" w:hAnsi="Times New Roman" w:eastAsia="黑体" w:cs="Times New Roman"/>
          <w:b w:val="0"/>
          <w:color w:val="auto"/>
          <w:sz w:val="24"/>
          <w:szCs w:val="24"/>
          <w:highlight w:val="none"/>
        </w:rPr>
        <w:t>17.6 最终结清</w:t>
      </w:r>
      <w:bookmarkEnd w:id="1005"/>
      <w:bookmarkEnd w:id="1006"/>
      <w:bookmarkEnd w:id="1007"/>
      <w:bookmarkEnd w:id="1008"/>
      <w:bookmarkEnd w:id="1009"/>
    </w:p>
    <w:p w14:paraId="63F2C50B">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4D5526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（1）缺陷责任期终止证书签发后，承包人可按专用合同条款约定的份数和期限向监理人提交最终结清申请单，并提供相关证明材料。</w:t>
      </w:r>
    </w:p>
    <w:p w14:paraId="33834F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（2）发包人对最终结清申请单内容有异议的，有权要求承包人进行修正和提供补充资料，由承包人向监理人提交修正后的最终结清申请单。</w:t>
      </w:r>
    </w:p>
    <w:p w14:paraId="49EA1AF2">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499093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578BC1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（2）发包人应在监理人出具最终结清证书后的14天内，将应支付款支付给承包人。发包人不按期支付的，按第17.3.3（2）目的约定，将逾期付款违约金支付给承包人。</w:t>
      </w:r>
    </w:p>
    <w:p w14:paraId="737F4C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（3）承包人对发包人签认的最终结清证书有异议的，按第24条的约定办理。</w:t>
      </w:r>
    </w:p>
    <w:p w14:paraId="75C219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（4）最终结清付款涉及政府投资资金的，按第17.3.3（4）目的约定办理。</w:t>
      </w:r>
    </w:p>
    <w:p w14:paraId="403D776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10" w:name="_Toc31279"/>
      <w:bookmarkStart w:id="1011" w:name="_Toc234833081"/>
      <w:bookmarkStart w:id="1012" w:name="_Toc13751"/>
      <w:bookmarkStart w:id="1013" w:name="_Toc1653"/>
      <w:bookmarkStart w:id="1014" w:name="_Toc29576"/>
      <w:r>
        <w:rPr>
          <w:rFonts w:hint="default" w:ascii="Times New Roman" w:hAnsi="Times New Roman" w:eastAsia="黑体" w:cs="Times New Roman"/>
          <w:b w:val="0"/>
          <w:color w:val="auto"/>
          <w:sz w:val="28"/>
          <w:szCs w:val="28"/>
          <w:highlight w:val="none"/>
        </w:rPr>
        <w:t>18. 竣工验收</w:t>
      </w:r>
      <w:bookmarkEnd w:id="1010"/>
      <w:bookmarkEnd w:id="1011"/>
      <w:bookmarkEnd w:id="1012"/>
      <w:bookmarkEnd w:id="1013"/>
      <w:bookmarkEnd w:id="1014"/>
    </w:p>
    <w:p w14:paraId="47F85CF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15" w:name="_Toc10071"/>
      <w:bookmarkStart w:id="1016" w:name="_Toc11287"/>
      <w:bookmarkStart w:id="1017" w:name="_Toc234833082"/>
      <w:bookmarkStart w:id="1018" w:name="_Toc14256"/>
      <w:bookmarkStart w:id="1019" w:name="_Toc11052"/>
      <w:r>
        <w:rPr>
          <w:rFonts w:hint="default" w:ascii="Times New Roman" w:hAnsi="Times New Roman" w:eastAsia="黑体" w:cs="Times New Roman"/>
          <w:b w:val="0"/>
          <w:color w:val="auto"/>
          <w:sz w:val="24"/>
          <w:szCs w:val="24"/>
          <w:highlight w:val="none"/>
        </w:rPr>
        <w:t>18.1 竣工验收的含义</w:t>
      </w:r>
      <w:bookmarkEnd w:id="1015"/>
      <w:bookmarkEnd w:id="1016"/>
      <w:bookmarkEnd w:id="1017"/>
      <w:bookmarkEnd w:id="1018"/>
      <w:bookmarkEnd w:id="1019"/>
    </w:p>
    <w:p w14:paraId="2E019D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18.1.1 竣工验收指承包人完成了全部合同工作后，发包人按合同要求进行的验收。</w:t>
      </w:r>
    </w:p>
    <w:p w14:paraId="6B1208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18.1.2 国家验收是政府有关部门根据法律、规范、规程和政策要求，针对发包人全面组织实施的整个工程正式交付投运前的验收。</w:t>
      </w:r>
    </w:p>
    <w:p w14:paraId="02149D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21D8900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0" w:name="_Toc25249"/>
      <w:bookmarkStart w:id="1021" w:name="_Toc234833083"/>
      <w:bookmarkStart w:id="1022" w:name="_Toc11221"/>
      <w:bookmarkStart w:id="1023" w:name="_Toc9365"/>
      <w:bookmarkStart w:id="1024" w:name="_Toc3760"/>
      <w:r>
        <w:rPr>
          <w:rFonts w:hint="default" w:ascii="Times New Roman" w:hAnsi="Times New Roman" w:eastAsia="黑体" w:cs="Times New Roman"/>
          <w:b w:val="0"/>
          <w:color w:val="auto"/>
          <w:sz w:val="24"/>
          <w:szCs w:val="24"/>
          <w:highlight w:val="none"/>
        </w:rPr>
        <w:t>18.2 竣工验收申请报告</w:t>
      </w:r>
      <w:bookmarkEnd w:id="1020"/>
      <w:bookmarkEnd w:id="1021"/>
      <w:bookmarkEnd w:id="1022"/>
      <w:bookmarkEnd w:id="1023"/>
      <w:bookmarkEnd w:id="1024"/>
    </w:p>
    <w:p w14:paraId="592279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当工程具备以下条件时，承包人即可向监理人报送竣工验收申请报告：</w:t>
      </w:r>
    </w:p>
    <w:p w14:paraId="630DF8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114A1B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（2）已按合同约定的内容和份数备齐了符合要求的竣工资料； </w:t>
      </w:r>
    </w:p>
    <w:p w14:paraId="2DA3CA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（3）已按监理人的要求编制了在缺陷责任期内完成的尾工（甩项）工程和缺陷修补工作清单以及相应施工计划；</w:t>
      </w:r>
    </w:p>
    <w:p w14:paraId="1C02A34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（4）监理人要求在竣工验收前应完成的其他工作；</w:t>
      </w:r>
    </w:p>
    <w:p w14:paraId="203F02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（5）监理人要求提交的竣工验收资料清单。</w:t>
      </w:r>
    </w:p>
    <w:p w14:paraId="01D4D46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5" w:name="_Toc11295"/>
      <w:bookmarkStart w:id="1026" w:name="_Toc30208"/>
      <w:bookmarkStart w:id="1027" w:name="_Toc25904"/>
      <w:bookmarkStart w:id="1028" w:name="_Toc18269"/>
      <w:bookmarkStart w:id="1029" w:name="_Toc234833084"/>
      <w:r>
        <w:rPr>
          <w:rFonts w:hint="default" w:ascii="Times New Roman" w:hAnsi="Times New Roman" w:eastAsia="黑体" w:cs="Times New Roman"/>
          <w:b w:val="0"/>
          <w:color w:val="auto"/>
          <w:sz w:val="24"/>
          <w:szCs w:val="24"/>
          <w:highlight w:val="none"/>
        </w:rPr>
        <w:t>18.3 验收</w:t>
      </w:r>
      <w:bookmarkEnd w:id="1025"/>
      <w:bookmarkEnd w:id="1026"/>
      <w:bookmarkEnd w:id="1027"/>
      <w:bookmarkEnd w:id="1028"/>
      <w:bookmarkEnd w:id="1029"/>
    </w:p>
    <w:p w14:paraId="4C245E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监理人收到承包人按第18.2款约定提交的竣工验收申请报告后，应审查申请报告的各项内容，并按以下不同情况进行处理。</w:t>
      </w:r>
    </w:p>
    <w:p w14:paraId="5230F4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10A8EC8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18.3.2 监理人审查后认为已具备竣工验收条件的，应在收到竣工验收申请报告后的28天内提请发包人进行工程验收。</w:t>
      </w:r>
    </w:p>
    <w:p w14:paraId="1E1525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10474B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280D85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18.3.5 除专用合同条款另有约定外，经验收合格工程的实际竣工日期，以提交竣工验收申请报告的日期为准，并在工程接收证书中写明。</w:t>
      </w:r>
    </w:p>
    <w:p w14:paraId="44C359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18.3.6 发包人在收到承包人竣工验收申请报告56天后未进行验收的，视为验收合格，实际竣工日期以提交竣工验收申请报告的日期为准，但发包人由于不可抗力不能进行验收的除外。</w:t>
      </w:r>
    </w:p>
    <w:p w14:paraId="003365D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0" w:name="_Toc234833085"/>
      <w:bookmarkStart w:id="1031" w:name="_Toc7791"/>
      <w:bookmarkStart w:id="1032" w:name="_Toc11852"/>
      <w:bookmarkStart w:id="1033" w:name="_Toc11780"/>
      <w:bookmarkStart w:id="1034" w:name="_Toc21157"/>
      <w:r>
        <w:rPr>
          <w:rFonts w:hint="default" w:ascii="Times New Roman" w:hAnsi="Times New Roman" w:eastAsia="黑体" w:cs="Times New Roman"/>
          <w:b w:val="0"/>
          <w:color w:val="auto"/>
          <w:sz w:val="24"/>
          <w:szCs w:val="24"/>
          <w:highlight w:val="none"/>
        </w:rPr>
        <w:t>18.4 单位工程验收</w:t>
      </w:r>
      <w:bookmarkEnd w:id="1030"/>
      <w:bookmarkEnd w:id="1031"/>
      <w:bookmarkEnd w:id="1032"/>
      <w:bookmarkEnd w:id="1033"/>
      <w:bookmarkEnd w:id="1034"/>
    </w:p>
    <w:p w14:paraId="1FB1D7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18.4.1</w:t>
      </w:r>
      <w:r>
        <w:rPr>
          <w:rFonts w:hint="default" w:ascii="Times New Roman" w:hAnsi="Times New Roman" w:cs="Times New Roman"/>
          <w:color w:val="auto"/>
          <w:sz w:val="24"/>
          <w:highlight w:val="none"/>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7C3BCDA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18.4.2发包人在全部工程竣工前，使用已接收的单位工程导致承包人费用增加的，发包人应承担由此增加的费用和（或）工期延误，并支付承包人合理利润。</w:t>
      </w:r>
    </w:p>
    <w:p w14:paraId="4D1D0AE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5" w:name="_Toc2444"/>
      <w:bookmarkStart w:id="1036" w:name="_Toc15835"/>
      <w:bookmarkStart w:id="1037" w:name="_Toc28737"/>
      <w:bookmarkStart w:id="1038" w:name="_Toc28198"/>
      <w:bookmarkStart w:id="1039" w:name="_Toc234833086"/>
      <w:r>
        <w:rPr>
          <w:rFonts w:hint="default" w:ascii="Times New Roman" w:hAnsi="Times New Roman" w:eastAsia="黑体" w:cs="Times New Roman"/>
          <w:b w:val="0"/>
          <w:color w:val="auto"/>
          <w:sz w:val="24"/>
          <w:szCs w:val="24"/>
          <w:highlight w:val="none"/>
        </w:rPr>
        <w:t>18.5施工期运行</w:t>
      </w:r>
      <w:bookmarkEnd w:id="1035"/>
      <w:bookmarkEnd w:id="1036"/>
      <w:bookmarkEnd w:id="1037"/>
      <w:bookmarkEnd w:id="1038"/>
      <w:bookmarkEnd w:id="1039"/>
    </w:p>
    <w:p w14:paraId="74D367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6B0605A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18.5.2 在施工期运行中发现工程或工程设备损坏或存在缺陷的，由承包人按第19.2款约定进行修复。</w:t>
      </w:r>
    </w:p>
    <w:p w14:paraId="0684EF5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0" w:name="_Toc17390"/>
      <w:bookmarkStart w:id="1041" w:name="_Toc234833087"/>
      <w:bookmarkStart w:id="1042" w:name="_Toc21844"/>
      <w:bookmarkStart w:id="1043" w:name="_Toc27512"/>
      <w:bookmarkStart w:id="1044" w:name="_Toc19050"/>
      <w:r>
        <w:rPr>
          <w:rFonts w:hint="default" w:ascii="Times New Roman" w:hAnsi="Times New Roman" w:eastAsia="黑体" w:cs="Times New Roman"/>
          <w:b w:val="0"/>
          <w:color w:val="auto"/>
          <w:sz w:val="24"/>
          <w:szCs w:val="24"/>
          <w:highlight w:val="none"/>
        </w:rPr>
        <w:t>18.6 试运行</w:t>
      </w:r>
      <w:bookmarkEnd w:id="1040"/>
      <w:bookmarkEnd w:id="1041"/>
      <w:bookmarkEnd w:id="1042"/>
      <w:bookmarkEnd w:id="1043"/>
      <w:bookmarkEnd w:id="1044"/>
    </w:p>
    <w:p w14:paraId="5AB597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18.6.1</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rPr>
        <w:t>除专用合同条款另有约定外，承包人应按专用合同条款约定进行工程及工程设备试运行，负责提供试运行所需的人员、器材和必要的条件，并承担全部试运行费用。</w:t>
      </w:r>
    </w:p>
    <w:p w14:paraId="1334138F">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3B2B031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5" w:name="_Toc234833088"/>
      <w:bookmarkStart w:id="1046" w:name="_Toc14071"/>
      <w:bookmarkStart w:id="1047" w:name="_Toc22550"/>
      <w:bookmarkStart w:id="1048" w:name="_Toc13521"/>
      <w:bookmarkStart w:id="1049" w:name="_Toc26314"/>
      <w:r>
        <w:rPr>
          <w:rFonts w:hint="default" w:ascii="Times New Roman" w:hAnsi="Times New Roman" w:eastAsia="黑体" w:cs="Times New Roman"/>
          <w:b w:val="0"/>
          <w:color w:val="auto"/>
          <w:sz w:val="24"/>
          <w:szCs w:val="24"/>
          <w:highlight w:val="none"/>
        </w:rPr>
        <w:t>18.7 竣工清场</w:t>
      </w:r>
      <w:bookmarkEnd w:id="1045"/>
      <w:bookmarkEnd w:id="1046"/>
      <w:bookmarkEnd w:id="1047"/>
      <w:bookmarkEnd w:id="1048"/>
      <w:bookmarkEnd w:id="1049"/>
    </w:p>
    <w:p w14:paraId="3EF705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18.7.1除合同另有约定外，工程接收证书颁发后，承包人应按以下要求对施工场地进行清理，直至监理人检验合格为止。竣工清场费用由承包人承担。</w:t>
      </w:r>
    </w:p>
    <w:p w14:paraId="68B13437">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（1）施工场地内残留的垃圾已全部清除出场；</w:t>
      </w:r>
    </w:p>
    <w:p w14:paraId="4995E939">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（2）临时工程已拆除，场地已按合同要求进行清理、平整或复原；</w:t>
      </w:r>
    </w:p>
    <w:p w14:paraId="0D9BF89B">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（3）按合同约定应撤离的承包人设备和剩余的材料，包括废弃的施工设备和材料，已按计划撤离施工场地；</w:t>
      </w:r>
    </w:p>
    <w:p w14:paraId="72337644">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（4）工程建筑物周边及其附近道路、河道的施工堆积物，已按监理人指示全部清理；</w:t>
      </w:r>
    </w:p>
    <w:p w14:paraId="3FFC2404">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（5）监理人指示的其他场地清理工作已全部完成。</w:t>
      </w:r>
    </w:p>
    <w:p w14:paraId="418DAD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18.7.2承包人未按监理人的要求恢复临时占地，或者场地清理未达到合同约定的，发包人有权委托其他人恢复或清理，所发生的金额从拟支付给承包人的款项中扣除。</w:t>
      </w:r>
    </w:p>
    <w:p w14:paraId="6F61887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50" w:name="_Toc14033"/>
      <w:bookmarkStart w:id="1051" w:name="_Toc23526"/>
      <w:bookmarkStart w:id="1052" w:name="_Toc7517"/>
      <w:bookmarkStart w:id="1053" w:name="_Toc234833089"/>
      <w:bookmarkStart w:id="1054" w:name="_Toc5042"/>
      <w:r>
        <w:rPr>
          <w:rFonts w:hint="default" w:ascii="Times New Roman" w:hAnsi="Times New Roman" w:eastAsia="黑体" w:cs="Times New Roman"/>
          <w:b w:val="0"/>
          <w:color w:val="auto"/>
          <w:sz w:val="24"/>
          <w:szCs w:val="24"/>
          <w:highlight w:val="none"/>
        </w:rPr>
        <w:t>18.8施工队伍的撤离</w:t>
      </w:r>
      <w:bookmarkEnd w:id="1050"/>
      <w:bookmarkEnd w:id="1051"/>
      <w:bookmarkEnd w:id="1052"/>
      <w:bookmarkEnd w:id="1053"/>
      <w:bookmarkEnd w:id="1054"/>
    </w:p>
    <w:p w14:paraId="657F2D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3F11D359">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55" w:name="_Toc7332"/>
      <w:bookmarkStart w:id="1056" w:name="_Toc2434"/>
      <w:bookmarkStart w:id="1057" w:name="_Toc234833090"/>
      <w:bookmarkStart w:id="1058" w:name="_Toc2492"/>
      <w:bookmarkStart w:id="1059" w:name="_Toc11982"/>
      <w:r>
        <w:rPr>
          <w:rFonts w:hint="default" w:ascii="Times New Roman" w:hAnsi="Times New Roman" w:eastAsia="黑体" w:cs="Times New Roman"/>
          <w:b w:val="0"/>
          <w:color w:val="auto"/>
          <w:sz w:val="28"/>
          <w:szCs w:val="28"/>
          <w:highlight w:val="none"/>
        </w:rPr>
        <w:t>19. 缺陷责任与保修责任</w:t>
      </w:r>
      <w:bookmarkEnd w:id="1055"/>
      <w:bookmarkEnd w:id="1056"/>
      <w:bookmarkEnd w:id="1057"/>
      <w:bookmarkEnd w:id="1058"/>
      <w:bookmarkEnd w:id="1059"/>
    </w:p>
    <w:p w14:paraId="25C0925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60" w:name="_Toc21347"/>
      <w:bookmarkStart w:id="1061" w:name="_Toc28348"/>
      <w:bookmarkStart w:id="1062" w:name="_Toc234833091"/>
      <w:bookmarkStart w:id="1063" w:name="_Toc29823"/>
      <w:bookmarkStart w:id="1064" w:name="_Toc26824"/>
      <w:r>
        <w:rPr>
          <w:rFonts w:hint="default" w:ascii="Times New Roman" w:hAnsi="Times New Roman" w:eastAsia="黑体" w:cs="Times New Roman"/>
          <w:b w:val="0"/>
          <w:color w:val="auto"/>
          <w:sz w:val="24"/>
          <w:szCs w:val="24"/>
          <w:highlight w:val="none"/>
        </w:rPr>
        <w:t>19.1 缺陷责任期的起算时间</w:t>
      </w:r>
      <w:bookmarkEnd w:id="1060"/>
      <w:bookmarkEnd w:id="1061"/>
      <w:bookmarkEnd w:id="1062"/>
      <w:bookmarkEnd w:id="1063"/>
      <w:bookmarkEnd w:id="1064"/>
    </w:p>
    <w:p w14:paraId="3F5CC00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缺陷责任期自实际竣工日期起计算。在全部工程竣工验收前，已经发包人提前验收的单位工程，其缺陷责任期的起算日期相应提前。</w:t>
      </w:r>
    </w:p>
    <w:p w14:paraId="5BFA693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65" w:name="_Toc234833092"/>
      <w:bookmarkStart w:id="1066" w:name="_Toc18931"/>
      <w:bookmarkStart w:id="1067" w:name="_Toc28619"/>
      <w:bookmarkStart w:id="1068" w:name="_Toc23702"/>
      <w:bookmarkStart w:id="1069" w:name="_Toc17874"/>
      <w:r>
        <w:rPr>
          <w:rFonts w:hint="default" w:ascii="Times New Roman" w:hAnsi="Times New Roman" w:eastAsia="黑体" w:cs="Times New Roman"/>
          <w:b w:val="0"/>
          <w:color w:val="auto"/>
          <w:sz w:val="24"/>
          <w:szCs w:val="24"/>
          <w:highlight w:val="none"/>
        </w:rPr>
        <w:t>19.2 缺陷责任</w:t>
      </w:r>
      <w:bookmarkEnd w:id="1065"/>
      <w:bookmarkEnd w:id="1066"/>
      <w:bookmarkEnd w:id="1067"/>
      <w:bookmarkEnd w:id="1068"/>
      <w:bookmarkEnd w:id="1069"/>
    </w:p>
    <w:p w14:paraId="235A56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19.2.1 承包人应在缺陷责任期内对已交付使用的工程承担缺陷责任。</w:t>
      </w:r>
    </w:p>
    <w:p w14:paraId="3E27A5C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5FF325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80AA6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19.2.4 承包人不能在合理时间内修复缺陷的，发包人可自行修复或委托其他人修复，所需费用和利润的承担，按第19.2.3项约定办理。</w:t>
      </w:r>
    </w:p>
    <w:p w14:paraId="40E1F6C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0" w:name="_Toc28473"/>
      <w:bookmarkStart w:id="1071" w:name="_Toc26044"/>
      <w:bookmarkStart w:id="1072" w:name="_Toc4363"/>
      <w:bookmarkStart w:id="1073" w:name="_Toc10617"/>
      <w:bookmarkStart w:id="1074" w:name="_Toc234833093"/>
      <w:r>
        <w:rPr>
          <w:rFonts w:hint="default" w:ascii="Times New Roman" w:hAnsi="Times New Roman" w:eastAsia="黑体" w:cs="Times New Roman"/>
          <w:b w:val="0"/>
          <w:color w:val="auto"/>
          <w:sz w:val="24"/>
          <w:szCs w:val="24"/>
          <w:highlight w:val="none"/>
        </w:rPr>
        <w:t>19.3 缺陷责任期的延长</w:t>
      </w:r>
      <w:bookmarkEnd w:id="1070"/>
      <w:bookmarkEnd w:id="1071"/>
      <w:bookmarkEnd w:id="1072"/>
      <w:bookmarkEnd w:id="1073"/>
      <w:bookmarkEnd w:id="1074"/>
    </w:p>
    <w:p w14:paraId="073A6B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2E3F2CA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5" w:name="_Toc10764"/>
      <w:bookmarkStart w:id="1076" w:name="_Toc234833094"/>
      <w:bookmarkStart w:id="1077" w:name="_Toc15365"/>
      <w:bookmarkStart w:id="1078" w:name="_Toc7466"/>
      <w:bookmarkStart w:id="1079" w:name="_Toc722"/>
      <w:r>
        <w:rPr>
          <w:rFonts w:hint="default" w:ascii="Times New Roman" w:hAnsi="Times New Roman" w:eastAsia="黑体" w:cs="Times New Roman"/>
          <w:b w:val="0"/>
          <w:color w:val="auto"/>
          <w:sz w:val="24"/>
          <w:szCs w:val="24"/>
          <w:highlight w:val="none"/>
        </w:rPr>
        <w:t>19.4 进一步试验和试运行</w:t>
      </w:r>
      <w:bookmarkEnd w:id="1075"/>
      <w:bookmarkEnd w:id="1076"/>
      <w:bookmarkEnd w:id="1077"/>
      <w:bookmarkEnd w:id="1078"/>
      <w:bookmarkEnd w:id="1079"/>
    </w:p>
    <w:p w14:paraId="58124DD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任何一项缺陷或损坏修复后，经检查证明其影响了工程或工程设备的使用性能，承包人应重新进行合同约定的试验和试运行，试验和试运行的全部费用应由责任方承担。</w:t>
      </w:r>
    </w:p>
    <w:p w14:paraId="10D4A31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80" w:name="_Toc31117"/>
      <w:bookmarkStart w:id="1081" w:name="_Toc234833095"/>
      <w:bookmarkStart w:id="1082" w:name="_Toc5095"/>
      <w:bookmarkStart w:id="1083" w:name="_Toc13723"/>
      <w:bookmarkStart w:id="1084" w:name="_Toc1336"/>
      <w:r>
        <w:rPr>
          <w:rFonts w:hint="default" w:ascii="Times New Roman" w:hAnsi="Times New Roman" w:eastAsia="黑体" w:cs="Times New Roman"/>
          <w:b w:val="0"/>
          <w:color w:val="auto"/>
          <w:sz w:val="24"/>
          <w:szCs w:val="24"/>
          <w:highlight w:val="none"/>
        </w:rPr>
        <w:t>19.5 承包人的进入权</w:t>
      </w:r>
      <w:bookmarkEnd w:id="1080"/>
      <w:bookmarkEnd w:id="1081"/>
      <w:bookmarkEnd w:id="1082"/>
      <w:bookmarkEnd w:id="1083"/>
      <w:bookmarkEnd w:id="1084"/>
      <w:r>
        <w:rPr>
          <w:rFonts w:hint="default" w:ascii="Times New Roman" w:hAnsi="Times New Roman" w:eastAsia="黑体" w:cs="Times New Roman"/>
          <w:b w:val="0"/>
          <w:color w:val="auto"/>
          <w:sz w:val="24"/>
          <w:szCs w:val="24"/>
          <w:highlight w:val="none"/>
        </w:rPr>
        <w:t xml:space="preserve"> </w:t>
      </w:r>
    </w:p>
    <w:p w14:paraId="4BF3E410">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缺陷责任期内承包人为缺陷修复工作需要，有权进入工程现场，但应遵守发包人的保安和保密规定。</w:t>
      </w:r>
    </w:p>
    <w:p w14:paraId="357172E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85" w:name="_Toc12330"/>
      <w:bookmarkStart w:id="1086" w:name="_Toc2337"/>
      <w:bookmarkStart w:id="1087" w:name="_Toc10078"/>
      <w:bookmarkStart w:id="1088" w:name="_Toc20655"/>
      <w:bookmarkStart w:id="1089" w:name="_Toc234833096"/>
      <w:r>
        <w:rPr>
          <w:rFonts w:hint="default" w:ascii="Times New Roman" w:hAnsi="Times New Roman" w:eastAsia="黑体" w:cs="Times New Roman"/>
          <w:b w:val="0"/>
          <w:color w:val="auto"/>
          <w:sz w:val="24"/>
          <w:szCs w:val="24"/>
          <w:highlight w:val="none"/>
        </w:rPr>
        <w:t>19.6 缺陷责任期终止证书</w:t>
      </w:r>
      <w:bookmarkEnd w:id="1085"/>
      <w:bookmarkEnd w:id="1086"/>
      <w:bookmarkEnd w:id="1087"/>
      <w:bookmarkEnd w:id="1088"/>
      <w:bookmarkEnd w:id="1089"/>
    </w:p>
    <w:p w14:paraId="349503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在第1.1.4.5目约定的缺陷责任期，包括根据第19.3款延长的期限终止后14天内，由监理人向承包人出具经发包人签认的缺陷责任期终止证书，并退还剩余的质量保证金。</w:t>
      </w:r>
    </w:p>
    <w:p w14:paraId="2BBC7E8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90" w:name="_Toc234833097"/>
      <w:bookmarkStart w:id="1091" w:name="_Toc7127"/>
      <w:bookmarkStart w:id="1092" w:name="_Toc21869"/>
      <w:bookmarkStart w:id="1093" w:name="_Toc19327"/>
      <w:bookmarkStart w:id="1094" w:name="_Toc19867"/>
      <w:r>
        <w:rPr>
          <w:rFonts w:hint="default" w:ascii="Times New Roman" w:hAnsi="Times New Roman" w:eastAsia="黑体" w:cs="Times New Roman"/>
          <w:b w:val="0"/>
          <w:color w:val="auto"/>
          <w:sz w:val="24"/>
          <w:szCs w:val="24"/>
          <w:highlight w:val="none"/>
        </w:rPr>
        <w:t>19.7 保修责任</w:t>
      </w:r>
      <w:bookmarkEnd w:id="1090"/>
      <w:bookmarkEnd w:id="1091"/>
      <w:bookmarkEnd w:id="1092"/>
      <w:bookmarkEnd w:id="1093"/>
      <w:bookmarkEnd w:id="1094"/>
    </w:p>
    <w:p w14:paraId="494808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6F0D8DD3">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95" w:name="_Toc19060"/>
      <w:bookmarkStart w:id="1096" w:name="_Toc12018"/>
      <w:bookmarkStart w:id="1097" w:name="_Toc234833098"/>
      <w:bookmarkStart w:id="1098" w:name="_Toc13061"/>
      <w:bookmarkStart w:id="1099" w:name="_Toc31666"/>
      <w:r>
        <w:rPr>
          <w:rFonts w:hint="default" w:ascii="Times New Roman" w:hAnsi="Times New Roman" w:eastAsia="黑体" w:cs="Times New Roman"/>
          <w:b w:val="0"/>
          <w:color w:val="auto"/>
          <w:sz w:val="28"/>
          <w:szCs w:val="28"/>
          <w:highlight w:val="none"/>
        </w:rPr>
        <w:t>20. 保险</w:t>
      </w:r>
      <w:bookmarkEnd w:id="1095"/>
      <w:bookmarkEnd w:id="1096"/>
      <w:bookmarkEnd w:id="1097"/>
      <w:bookmarkEnd w:id="1098"/>
      <w:bookmarkEnd w:id="1099"/>
    </w:p>
    <w:p w14:paraId="34F0A0D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00" w:name="_Toc2070"/>
      <w:bookmarkStart w:id="1101" w:name="_Toc1238"/>
      <w:bookmarkStart w:id="1102" w:name="_Toc234833099"/>
      <w:bookmarkStart w:id="1103" w:name="_Toc4841"/>
      <w:bookmarkStart w:id="1104" w:name="_Toc1058"/>
      <w:r>
        <w:rPr>
          <w:rFonts w:hint="default" w:ascii="Times New Roman" w:hAnsi="Times New Roman" w:eastAsia="黑体" w:cs="Times New Roman"/>
          <w:b w:val="0"/>
          <w:color w:val="auto"/>
          <w:sz w:val="24"/>
          <w:szCs w:val="24"/>
          <w:highlight w:val="none"/>
        </w:rPr>
        <w:t>20.1工程保险</w:t>
      </w:r>
      <w:bookmarkEnd w:id="1100"/>
      <w:bookmarkEnd w:id="1101"/>
      <w:bookmarkEnd w:id="1102"/>
      <w:bookmarkEnd w:id="1103"/>
      <w:bookmarkEnd w:id="1104"/>
    </w:p>
    <w:p w14:paraId="5F6DDD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4BF296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05" w:name="_Toc10723"/>
      <w:bookmarkStart w:id="1106" w:name="_Toc20291"/>
      <w:bookmarkStart w:id="1107" w:name="_Toc234833100"/>
      <w:bookmarkStart w:id="1108" w:name="_Toc21060"/>
      <w:bookmarkStart w:id="1109" w:name="_Toc30523"/>
      <w:r>
        <w:rPr>
          <w:rFonts w:hint="default" w:ascii="Times New Roman" w:hAnsi="Times New Roman" w:eastAsia="黑体" w:cs="Times New Roman"/>
          <w:b w:val="0"/>
          <w:color w:val="auto"/>
          <w:sz w:val="24"/>
          <w:szCs w:val="24"/>
          <w:highlight w:val="none"/>
        </w:rPr>
        <w:t>20.2人员工伤事故的保险</w:t>
      </w:r>
      <w:bookmarkEnd w:id="1105"/>
      <w:bookmarkEnd w:id="1106"/>
      <w:bookmarkEnd w:id="1107"/>
      <w:bookmarkEnd w:id="1108"/>
      <w:bookmarkEnd w:id="1109"/>
    </w:p>
    <w:p w14:paraId="4FA30A6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20.2.1 </w:t>
      </w:r>
      <w:r>
        <w:rPr>
          <w:rFonts w:hint="default" w:ascii="Times New Roman" w:hAnsi="Times New Roman" w:eastAsia="黑体" w:cs="Times New Roman"/>
          <w:color w:val="auto"/>
          <w:sz w:val="24"/>
          <w:highlight w:val="none"/>
        </w:rPr>
        <w:t>承包人员工伤事故的保险</w:t>
      </w:r>
    </w:p>
    <w:p w14:paraId="558324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承包人应依照有关法律规定参加工伤保险，为其履行合同所雇用的全部人员，缴纳工伤保险费，并要求其分包人也进行此项保险。</w:t>
      </w:r>
    </w:p>
    <w:p w14:paraId="22228C4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20.2.2</w:t>
      </w:r>
      <w:r>
        <w:rPr>
          <w:rFonts w:hint="default" w:ascii="Times New Roman" w:hAnsi="Times New Roman" w:eastAsia="黑体" w:cs="Times New Roman"/>
          <w:color w:val="auto"/>
          <w:sz w:val="24"/>
          <w:highlight w:val="none"/>
        </w:rPr>
        <w:t>发包人员工伤事故的保险</w:t>
      </w:r>
    </w:p>
    <w:p w14:paraId="4E638B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发包人应依照有关法律规定参加工伤保险，为其现场机构雇用的全部人员，缴纳工伤保险费，并要求其监理人也进行此项保险。</w:t>
      </w:r>
    </w:p>
    <w:p w14:paraId="5EBA8C7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0" w:name="_Toc14046"/>
      <w:bookmarkStart w:id="1111" w:name="_Toc234833101"/>
      <w:bookmarkStart w:id="1112" w:name="_Toc18737"/>
      <w:bookmarkStart w:id="1113" w:name="_Toc20449"/>
      <w:bookmarkStart w:id="1114" w:name="_Toc11127"/>
      <w:r>
        <w:rPr>
          <w:rFonts w:hint="default" w:ascii="Times New Roman" w:hAnsi="Times New Roman" w:eastAsia="黑体" w:cs="Times New Roman"/>
          <w:b w:val="0"/>
          <w:color w:val="auto"/>
          <w:sz w:val="24"/>
          <w:szCs w:val="24"/>
          <w:highlight w:val="none"/>
        </w:rPr>
        <w:t>20.3 人身意外伤害险</w:t>
      </w:r>
      <w:bookmarkEnd w:id="1110"/>
      <w:bookmarkEnd w:id="1111"/>
      <w:bookmarkEnd w:id="1112"/>
      <w:bookmarkEnd w:id="1113"/>
      <w:bookmarkEnd w:id="1114"/>
    </w:p>
    <w:p w14:paraId="40D559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20.3.1发包人应在整个施工期间为其现场机构雇用的全部人员，投保人身意外伤害险，缴纳保险费，并要求其监理人也进行此项保险。</w:t>
      </w:r>
    </w:p>
    <w:p w14:paraId="3261E6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20.3.2 承包人应在整个施工期间为其现场机构雇用的全部人员，投保人身意外伤害险，缴纳保险费，并要求其分包人也进行此项保险。</w:t>
      </w:r>
    </w:p>
    <w:p w14:paraId="7CEF050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5" w:name="_Toc234833102"/>
      <w:bookmarkStart w:id="1116" w:name="_Toc26139"/>
      <w:bookmarkStart w:id="1117" w:name="_Toc23644"/>
      <w:bookmarkStart w:id="1118" w:name="_Toc542"/>
      <w:bookmarkStart w:id="1119" w:name="_Toc27566"/>
      <w:r>
        <w:rPr>
          <w:rFonts w:hint="default" w:ascii="Times New Roman" w:hAnsi="Times New Roman" w:eastAsia="黑体" w:cs="Times New Roman"/>
          <w:b w:val="0"/>
          <w:color w:val="auto"/>
          <w:sz w:val="24"/>
          <w:szCs w:val="24"/>
          <w:highlight w:val="none"/>
        </w:rPr>
        <w:t>20.4 第三者责任险</w:t>
      </w:r>
      <w:bookmarkEnd w:id="1115"/>
      <w:bookmarkEnd w:id="1116"/>
      <w:bookmarkEnd w:id="1117"/>
      <w:bookmarkEnd w:id="1118"/>
      <w:bookmarkEnd w:id="1119"/>
    </w:p>
    <w:p w14:paraId="5BDF56FD">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57EBB49A">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20.4.2 在缺陷责任期终止证书颁发前，承包人应以承包人和发包人的共同名义，投保第20.4.1项约定的第三者责任险，其保险费率、保险金额等有关内容在专用合同条款中约定。</w:t>
      </w:r>
    </w:p>
    <w:p w14:paraId="02DDB5C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20" w:name="_Toc15956"/>
      <w:bookmarkStart w:id="1121" w:name="_Toc11738"/>
      <w:bookmarkStart w:id="1122" w:name="_Toc234833103"/>
      <w:bookmarkStart w:id="1123" w:name="_Toc17223"/>
      <w:bookmarkStart w:id="1124" w:name="_Toc27726"/>
      <w:r>
        <w:rPr>
          <w:rFonts w:hint="default" w:ascii="Times New Roman" w:hAnsi="Times New Roman" w:eastAsia="黑体" w:cs="Times New Roman"/>
          <w:b w:val="0"/>
          <w:color w:val="auto"/>
          <w:sz w:val="24"/>
          <w:szCs w:val="24"/>
          <w:highlight w:val="none"/>
        </w:rPr>
        <w:t>20.5 其他保险</w:t>
      </w:r>
      <w:bookmarkEnd w:id="1120"/>
      <w:bookmarkEnd w:id="1121"/>
      <w:bookmarkEnd w:id="1122"/>
      <w:bookmarkEnd w:id="1123"/>
      <w:bookmarkEnd w:id="1124"/>
    </w:p>
    <w:p w14:paraId="7643DB08">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除专用合同条款另有约定外，承包人应为其施工设备、进场的材料和工程设备等办理保险。</w:t>
      </w:r>
    </w:p>
    <w:p w14:paraId="18D19D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25" w:name="_Toc1822"/>
      <w:bookmarkStart w:id="1126" w:name="_Toc6798"/>
      <w:bookmarkStart w:id="1127" w:name="_Toc234833104"/>
      <w:bookmarkStart w:id="1128" w:name="_Toc16557"/>
      <w:bookmarkStart w:id="1129" w:name="_Toc25129"/>
      <w:r>
        <w:rPr>
          <w:rFonts w:hint="default" w:ascii="Times New Roman" w:hAnsi="Times New Roman" w:eastAsia="黑体" w:cs="Times New Roman"/>
          <w:b w:val="0"/>
          <w:color w:val="auto"/>
          <w:sz w:val="24"/>
          <w:szCs w:val="24"/>
          <w:highlight w:val="none"/>
        </w:rPr>
        <w:t>20.6 对各项保险的一般要求</w:t>
      </w:r>
      <w:bookmarkEnd w:id="1125"/>
      <w:bookmarkEnd w:id="1126"/>
      <w:bookmarkEnd w:id="1127"/>
      <w:bookmarkEnd w:id="1128"/>
      <w:bookmarkEnd w:id="1129"/>
    </w:p>
    <w:p w14:paraId="4212942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20.6.1 </w:t>
      </w:r>
      <w:r>
        <w:rPr>
          <w:rFonts w:hint="default" w:ascii="Times New Roman" w:hAnsi="Times New Roman" w:eastAsia="黑体" w:cs="Times New Roman"/>
          <w:color w:val="auto"/>
          <w:sz w:val="24"/>
          <w:highlight w:val="none"/>
        </w:rPr>
        <w:t>保险凭证</w:t>
      </w:r>
    </w:p>
    <w:p w14:paraId="686A4AE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承包人应在专用合同条款约定的期限内向发包人提交各项保险生效的证据和保险单副本，保险单必须与专用合同条款约定的条件保持一致。</w:t>
      </w:r>
    </w:p>
    <w:p w14:paraId="1B4DC65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20.6.2</w:t>
      </w:r>
      <w:r>
        <w:rPr>
          <w:rFonts w:hint="default" w:ascii="Times New Roman" w:hAnsi="Times New Roman" w:eastAsia="黑体" w:cs="Times New Roman"/>
          <w:color w:val="auto"/>
          <w:sz w:val="24"/>
          <w:highlight w:val="none"/>
        </w:rPr>
        <w:t>保险合同条款的变动</w:t>
      </w:r>
    </w:p>
    <w:p w14:paraId="51C652B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承包人需要变动保险合同条款时，应事先征得发包人同意，并通知监理人。保险人作出变动的，承包人应在收到保险人通知后立即通知发包人和监理人。</w:t>
      </w:r>
    </w:p>
    <w:p w14:paraId="3ED862B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20.6.3 </w:t>
      </w:r>
      <w:r>
        <w:rPr>
          <w:rFonts w:hint="default" w:ascii="Times New Roman" w:hAnsi="Times New Roman" w:eastAsia="黑体" w:cs="Times New Roman"/>
          <w:color w:val="auto"/>
          <w:sz w:val="24"/>
          <w:highlight w:val="none"/>
        </w:rPr>
        <w:t>持续保险</w:t>
      </w:r>
    </w:p>
    <w:p w14:paraId="6AE898C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承包人应与保险人保持联系，使保险人能够随时了解工程实施中的变动，并确保按保险合同条款要求持续保险。</w:t>
      </w:r>
    </w:p>
    <w:p w14:paraId="71B843D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20.6.4 </w:t>
      </w:r>
      <w:r>
        <w:rPr>
          <w:rFonts w:hint="default" w:ascii="Times New Roman" w:hAnsi="Times New Roman" w:eastAsia="黑体" w:cs="Times New Roman"/>
          <w:color w:val="auto"/>
          <w:sz w:val="24"/>
          <w:highlight w:val="none"/>
        </w:rPr>
        <w:t>保险金不足的补偿</w:t>
      </w:r>
    </w:p>
    <w:p w14:paraId="7F26BB0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保险金不足以补偿损失的，应由承包人和（或）发包人按合同约定负责补偿。</w:t>
      </w:r>
    </w:p>
    <w:p w14:paraId="522DCAC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20.6.5 </w:t>
      </w:r>
      <w:r>
        <w:rPr>
          <w:rFonts w:hint="default" w:ascii="Times New Roman" w:hAnsi="Times New Roman" w:eastAsia="黑体" w:cs="Times New Roman"/>
          <w:color w:val="auto"/>
          <w:sz w:val="24"/>
          <w:highlight w:val="none"/>
        </w:rPr>
        <w:t>未按约定投保的补救</w:t>
      </w:r>
    </w:p>
    <w:p w14:paraId="667EB28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（1）由于负有投保义务的一方当事人未按合同约定办理保险，或未能使保险持续有效的，另一方当事人可代为办理，所需费用由对方当事人承担。</w:t>
      </w:r>
    </w:p>
    <w:p w14:paraId="7772D04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（2）由于负有投保义务的一方当事人未按合同约定办理某项保险，导致受益人未能得到保险人的赔偿，原应从该项保险得到的保险金应由负有投保义务的一方当事人支付。</w:t>
      </w:r>
    </w:p>
    <w:p w14:paraId="27DBFE0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20.6.6</w:t>
      </w:r>
      <w:r>
        <w:rPr>
          <w:rFonts w:hint="default" w:ascii="Times New Roman" w:hAnsi="Times New Roman" w:eastAsia="黑体" w:cs="Times New Roman"/>
          <w:color w:val="auto"/>
          <w:sz w:val="24"/>
          <w:highlight w:val="none"/>
        </w:rPr>
        <w:t>报告义务</w:t>
      </w:r>
    </w:p>
    <w:p w14:paraId="214E172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当保险事故发生时，投保人应按照保险单规定的条件和期限及时向保险人报告。</w:t>
      </w:r>
    </w:p>
    <w:p w14:paraId="70C7A5D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30" w:name="_Toc1585"/>
      <w:bookmarkStart w:id="1131" w:name="_Toc27736"/>
      <w:bookmarkStart w:id="1132" w:name="_Toc234833105"/>
      <w:bookmarkStart w:id="1133" w:name="_Toc25184"/>
      <w:bookmarkStart w:id="1134" w:name="_Toc5907"/>
      <w:r>
        <w:rPr>
          <w:rFonts w:hint="default" w:ascii="Times New Roman" w:hAnsi="Times New Roman" w:eastAsia="黑体" w:cs="Times New Roman"/>
          <w:b w:val="0"/>
          <w:color w:val="auto"/>
          <w:sz w:val="28"/>
          <w:szCs w:val="28"/>
          <w:highlight w:val="none"/>
        </w:rPr>
        <w:t>21. 不可抗力</w:t>
      </w:r>
      <w:bookmarkEnd w:id="1130"/>
      <w:bookmarkEnd w:id="1131"/>
      <w:bookmarkEnd w:id="1132"/>
      <w:bookmarkEnd w:id="1133"/>
      <w:bookmarkEnd w:id="1134"/>
    </w:p>
    <w:p w14:paraId="78DD96F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5" w:name="_Toc965"/>
      <w:bookmarkStart w:id="1136" w:name="_Toc30030"/>
      <w:bookmarkStart w:id="1137" w:name="_Toc11379"/>
      <w:bookmarkStart w:id="1138" w:name="_Toc234833106"/>
      <w:bookmarkStart w:id="1139" w:name="_Toc16484"/>
      <w:r>
        <w:rPr>
          <w:rFonts w:hint="default" w:ascii="Times New Roman" w:hAnsi="Times New Roman" w:eastAsia="黑体" w:cs="Times New Roman"/>
          <w:b w:val="0"/>
          <w:color w:val="auto"/>
          <w:sz w:val="24"/>
          <w:szCs w:val="24"/>
          <w:highlight w:val="none"/>
        </w:rPr>
        <w:t>21.1 不可抗力的确认</w:t>
      </w:r>
      <w:bookmarkEnd w:id="1135"/>
      <w:bookmarkEnd w:id="1136"/>
      <w:bookmarkEnd w:id="1137"/>
      <w:bookmarkEnd w:id="1138"/>
      <w:bookmarkEnd w:id="1139"/>
    </w:p>
    <w:p w14:paraId="2F04EF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45F0321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052DC1F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40" w:name="_Toc18922"/>
      <w:bookmarkStart w:id="1141" w:name="_Toc4694"/>
      <w:bookmarkStart w:id="1142" w:name="_Toc22207"/>
      <w:bookmarkStart w:id="1143" w:name="_Toc234833107"/>
      <w:bookmarkStart w:id="1144" w:name="_Toc29589"/>
      <w:r>
        <w:rPr>
          <w:rFonts w:hint="default" w:ascii="Times New Roman" w:hAnsi="Times New Roman" w:eastAsia="黑体" w:cs="Times New Roman"/>
          <w:b w:val="0"/>
          <w:color w:val="auto"/>
          <w:sz w:val="24"/>
          <w:szCs w:val="24"/>
          <w:highlight w:val="none"/>
        </w:rPr>
        <w:t>21.2 不可抗力的通知</w:t>
      </w:r>
      <w:bookmarkEnd w:id="1140"/>
      <w:bookmarkEnd w:id="1141"/>
      <w:bookmarkEnd w:id="1142"/>
      <w:bookmarkEnd w:id="1143"/>
      <w:bookmarkEnd w:id="1144"/>
    </w:p>
    <w:p w14:paraId="03B10C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21.2.1 合同一方当事人遇到不可抗力事件，使其履行合同义务受到阻碍时，应立即通知合同另一方当事人和监理人，书面说明不可抗力和受阻碍的详细情况，并提供必要的证明。</w:t>
      </w:r>
    </w:p>
    <w:p w14:paraId="4601E9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33A6469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45" w:name="_Toc234833108"/>
      <w:bookmarkStart w:id="1146" w:name="_Toc23687"/>
      <w:bookmarkStart w:id="1147" w:name="_Toc1838"/>
      <w:bookmarkStart w:id="1148" w:name="_Toc15055"/>
      <w:bookmarkStart w:id="1149" w:name="_Toc15417"/>
      <w:r>
        <w:rPr>
          <w:rFonts w:hint="default" w:ascii="Times New Roman" w:hAnsi="Times New Roman" w:eastAsia="黑体" w:cs="Times New Roman"/>
          <w:b w:val="0"/>
          <w:color w:val="auto"/>
          <w:sz w:val="24"/>
          <w:szCs w:val="24"/>
          <w:highlight w:val="none"/>
        </w:rPr>
        <w:t>21.3 不可抗力后果及其处理</w:t>
      </w:r>
      <w:bookmarkEnd w:id="1145"/>
      <w:bookmarkEnd w:id="1146"/>
      <w:bookmarkEnd w:id="1147"/>
      <w:bookmarkEnd w:id="1148"/>
      <w:bookmarkEnd w:id="1149"/>
    </w:p>
    <w:p w14:paraId="0A20242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21.3.1 </w:t>
      </w:r>
      <w:r>
        <w:rPr>
          <w:rFonts w:hint="default" w:ascii="Times New Roman" w:hAnsi="Times New Roman" w:eastAsia="黑体" w:cs="Times New Roman"/>
          <w:color w:val="auto"/>
          <w:sz w:val="24"/>
          <w:highlight w:val="none"/>
        </w:rPr>
        <w:t>不可抗力造成损害的责任</w:t>
      </w:r>
    </w:p>
    <w:p w14:paraId="058BC8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除专用合同条款另有约定外，不可抗力导致的人员伤亡、财产损失、费用增加和（或）工期延误等后果，由合同双方按以下原则承担：</w:t>
      </w:r>
    </w:p>
    <w:p w14:paraId="6C7DEA0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（1）永久工程，包括已运至施工场地的材料和工程设备的损害，以及因工程损害造成的第三者人员伤亡和财产损失由发包人承担；</w:t>
      </w:r>
    </w:p>
    <w:p w14:paraId="6CB659A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（2）承包人设备的损坏由承包人承担；</w:t>
      </w:r>
    </w:p>
    <w:p w14:paraId="13F135E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（3）发包人和承包人各自承担其人员伤亡和其他财产损失及其相关费用；</w:t>
      </w:r>
    </w:p>
    <w:p w14:paraId="3D514FD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（4）承包人的停工损失由承包人承担，但停工期间应监理人要求照管工程和清理、修复工程的金额由发包人承担；</w:t>
      </w:r>
    </w:p>
    <w:p w14:paraId="2008BFD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（5）不能按期竣工的，应合理延长工期，承包人不需支付逾期竣工违约金。发包人要求赶工的，承包人应采取赶工措施，赶工费用由发包人承担。</w:t>
      </w:r>
    </w:p>
    <w:p w14:paraId="1D1BC28A">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21.3.2 </w:t>
      </w:r>
      <w:r>
        <w:rPr>
          <w:rFonts w:hint="default" w:ascii="Times New Roman" w:hAnsi="Times New Roman" w:eastAsia="黑体" w:cs="Times New Roman"/>
          <w:color w:val="auto"/>
          <w:sz w:val="24"/>
          <w:highlight w:val="none"/>
        </w:rPr>
        <w:t>延迟履行期间发生的不可抗力</w:t>
      </w:r>
    </w:p>
    <w:p w14:paraId="0D094B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合同一方当事人延迟履行，在延迟履行期间发生不可抗力的，不免除其责任。</w:t>
      </w:r>
    </w:p>
    <w:p w14:paraId="44E3F04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21.3.3 </w:t>
      </w:r>
      <w:r>
        <w:rPr>
          <w:rFonts w:hint="default" w:ascii="Times New Roman" w:hAnsi="Times New Roman" w:eastAsia="黑体" w:cs="Times New Roman"/>
          <w:color w:val="auto"/>
          <w:sz w:val="24"/>
          <w:highlight w:val="none"/>
        </w:rPr>
        <w:t>避免和减少不可抗力损失</w:t>
      </w:r>
    </w:p>
    <w:p w14:paraId="00B2D4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不可抗力发生后，发包人和承包人均应采取措施尽量避免和减少损失的扩大，任何一方没有采取有效措施导致损失扩大的，应对扩大的损失承担责任。</w:t>
      </w:r>
    </w:p>
    <w:p w14:paraId="67F603B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6D5E3A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1E94B6C0">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50" w:name="_Toc12831"/>
      <w:bookmarkStart w:id="1151" w:name="_Toc234833109"/>
      <w:bookmarkStart w:id="1152" w:name="_Toc13366"/>
      <w:bookmarkStart w:id="1153" w:name="_Toc10830"/>
      <w:bookmarkStart w:id="1154" w:name="_Toc18084"/>
      <w:r>
        <w:rPr>
          <w:rFonts w:hint="default" w:ascii="Times New Roman" w:hAnsi="Times New Roman" w:eastAsia="黑体" w:cs="Times New Roman"/>
          <w:b w:val="0"/>
          <w:color w:val="auto"/>
          <w:sz w:val="28"/>
          <w:szCs w:val="28"/>
          <w:highlight w:val="none"/>
        </w:rPr>
        <w:t>22. 违约</w:t>
      </w:r>
      <w:bookmarkEnd w:id="1150"/>
      <w:bookmarkEnd w:id="1151"/>
      <w:bookmarkEnd w:id="1152"/>
      <w:bookmarkEnd w:id="1153"/>
      <w:bookmarkEnd w:id="1154"/>
    </w:p>
    <w:p w14:paraId="54C5655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55" w:name="_Toc18327"/>
      <w:bookmarkStart w:id="1156" w:name="_Toc8987"/>
      <w:bookmarkStart w:id="1157" w:name="_Toc13969"/>
      <w:bookmarkStart w:id="1158" w:name="_Toc723"/>
      <w:bookmarkStart w:id="1159" w:name="_Toc234833110"/>
      <w:r>
        <w:rPr>
          <w:rFonts w:hint="default" w:ascii="Times New Roman" w:hAnsi="Times New Roman" w:eastAsia="黑体" w:cs="Times New Roman"/>
          <w:b w:val="0"/>
          <w:color w:val="auto"/>
          <w:sz w:val="24"/>
          <w:szCs w:val="24"/>
          <w:highlight w:val="none"/>
        </w:rPr>
        <w:t>22.1 承包人违约</w:t>
      </w:r>
      <w:bookmarkEnd w:id="1155"/>
      <w:bookmarkEnd w:id="1156"/>
      <w:bookmarkEnd w:id="1157"/>
      <w:bookmarkEnd w:id="1158"/>
      <w:bookmarkEnd w:id="1159"/>
    </w:p>
    <w:p w14:paraId="3EE597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5DAC77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在履行合同过程中发生的下列情况属承包人违约：</w:t>
      </w:r>
    </w:p>
    <w:p w14:paraId="6522D1A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（1）承包人违反第1.8款或第4.3款的约定，私自将合同的全部或部分权利转让给其他人，或私自将合同的全部或部分义务转移给其他人；</w:t>
      </w:r>
    </w:p>
    <w:p w14:paraId="494CEE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（2）承包人违反第5.3款或第6.4款的约定，未经监理人批准，私自将已按合同约定进入施工场地的施工设备、临时设施或材料撤离施工场地；</w:t>
      </w:r>
    </w:p>
    <w:p w14:paraId="7B83B8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（3）承包人违反第5.4款的约定使用了不合格材料或工程设备，工程质量达不到标准要求，又拒绝清除不合格工程；</w:t>
      </w:r>
    </w:p>
    <w:p w14:paraId="300E40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（4）承包人未能按合同进度计划及时完成合同约定的工作，已造成或预期造成工期延误；</w:t>
      </w:r>
    </w:p>
    <w:p w14:paraId="3D4103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（5）承包人在缺陷责任期内，未能对工程接收证书所列的缺陷清单的内容或缺陷责任期内发生的缺陷进行修复，而又拒绝按监理人指示再进行修补；</w:t>
      </w:r>
    </w:p>
    <w:p w14:paraId="056F3C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（6）承包人无法继续履行或明确表示不履行或实质上已停止履行合同；</w:t>
      </w:r>
    </w:p>
    <w:p w14:paraId="352914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（7）承包人不按合同约定履行义务的其他情况。</w:t>
      </w:r>
    </w:p>
    <w:p w14:paraId="2963CC9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29A771D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（1）承包人发生第22.1.1（6）目约定的违约情况时，发包人可通知承包人立即解除合同，并按有关法律处理。</w:t>
      </w:r>
    </w:p>
    <w:p w14:paraId="6B411C3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（2）承包人发生除第22.1.1（6）目约定以外的其他违约情况时，监理人可向承包人发出整改通知，要求其在指定的期限内改正。承包人应承担其违约所引起的费用增加和（或）工期延误。</w:t>
      </w:r>
    </w:p>
    <w:p w14:paraId="5EEF5D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（3）经检查证明承包人已采取了有效措施纠正违约行为，具备复工条件的，可由监理人签发复工通知复工。</w:t>
      </w:r>
    </w:p>
    <w:p w14:paraId="3D60C69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22.1.3 </w:t>
      </w:r>
      <w:r>
        <w:rPr>
          <w:rFonts w:hint="default" w:ascii="Times New Roman" w:hAnsi="Times New Roman" w:eastAsia="黑体" w:cs="Times New Roman"/>
          <w:color w:val="auto"/>
          <w:sz w:val="24"/>
          <w:highlight w:val="none"/>
        </w:rPr>
        <w:t>承包人违约解除合同</w:t>
      </w:r>
    </w:p>
    <w:p w14:paraId="12AFB2E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160913F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22.1.4 </w:t>
      </w:r>
      <w:r>
        <w:rPr>
          <w:rFonts w:hint="default" w:ascii="Times New Roman" w:hAnsi="Times New Roman" w:eastAsia="黑体" w:cs="Times New Roman"/>
          <w:color w:val="auto"/>
          <w:sz w:val="24"/>
          <w:highlight w:val="none"/>
        </w:rPr>
        <w:t>合同解除后的估价、付款和结清</w:t>
      </w:r>
    </w:p>
    <w:p w14:paraId="3AF047C2">
      <w:pPr>
        <w:pageBreakBefore w:val="0"/>
        <w:tabs>
          <w:tab w:val="left" w:pos="54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（1）合同解除后，监理人按第3.5款商定或确定承包人实际完成工作的价值，以及承包人已提供的材料、施工设备、工程设备和临时工程等的价值。 </w:t>
      </w:r>
    </w:p>
    <w:p w14:paraId="7F5946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（2）合同解除后，发包人应暂停对承包人的一切付款，查清各项付款和已扣款金额，包括承包人应支付的违约金。 </w:t>
      </w:r>
    </w:p>
    <w:p w14:paraId="77867D39">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（3）合同解除后，发包人应按第23.4款的约定向承包人索赔由于解除合同给发包人造成的损失。</w:t>
      </w:r>
    </w:p>
    <w:p w14:paraId="146D5F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（4）合同双方确认上述往来款项后，出具最终结清付款证书，结清全部合同款项。</w:t>
      </w:r>
    </w:p>
    <w:p w14:paraId="5415F7E2">
      <w:pPr>
        <w:pageBreakBefore w:val="0"/>
        <w:kinsoku/>
        <w:wordWrap w:val="0"/>
        <w:bidi w:val="0"/>
        <w:spacing w:line="400" w:lineRule="atLeast"/>
        <w:ind w:right="25" w:rightChars="12"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（5）发包人和承包人未能就解除合同后的结清达成一致而形成争议的，按第24条的约定办理。</w:t>
      </w:r>
    </w:p>
    <w:p w14:paraId="5F6EAB2F">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22.1.5 </w:t>
      </w:r>
      <w:r>
        <w:rPr>
          <w:rFonts w:hint="default" w:ascii="Times New Roman" w:hAnsi="Times New Roman" w:eastAsia="黑体" w:cs="Times New Roman"/>
          <w:color w:val="auto"/>
          <w:sz w:val="24"/>
          <w:highlight w:val="none"/>
        </w:rPr>
        <w:t>协议利益的转让</w:t>
      </w:r>
    </w:p>
    <w:p w14:paraId="4FB737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4D611CB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22.1.6 </w:t>
      </w:r>
      <w:r>
        <w:rPr>
          <w:rFonts w:hint="default" w:ascii="Times New Roman" w:hAnsi="Times New Roman" w:eastAsia="黑体" w:cs="Times New Roman"/>
          <w:color w:val="auto"/>
          <w:sz w:val="24"/>
          <w:highlight w:val="none"/>
        </w:rPr>
        <w:t>紧急情况下无能力或不愿进行抢救</w:t>
      </w:r>
    </w:p>
    <w:p w14:paraId="7BA876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1086DE9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60" w:name="_Toc17071"/>
      <w:bookmarkStart w:id="1161" w:name="_Toc234833111"/>
      <w:bookmarkStart w:id="1162" w:name="_Toc31447"/>
      <w:bookmarkStart w:id="1163" w:name="_Toc18762"/>
      <w:bookmarkStart w:id="1164" w:name="_Toc18188"/>
      <w:r>
        <w:rPr>
          <w:rFonts w:hint="default" w:ascii="Times New Roman" w:hAnsi="Times New Roman" w:eastAsia="黑体" w:cs="Times New Roman"/>
          <w:b w:val="0"/>
          <w:color w:val="auto"/>
          <w:sz w:val="24"/>
          <w:szCs w:val="24"/>
          <w:highlight w:val="none"/>
        </w:rPr>
        <w:t>22.2 发包人违约</w:t>
      </w:r>
      <w:bookmarkEnd w:id="1160"/>
      <w:bookmarkEnd w:id="1161"/>
      <w:bookmarkEnd w:id="1162"/>
      <w:bookmarkEnd w:id="1163"/>
      <w:bookmarkEnd w:id="1164"/>
    </w:p>
    <w:p w14:paraId="7F0590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567D3C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在履行合同过程中发生的下列情形，属发包人违约：</w:t>
      </w:r>
    </w:p>
    <w:p w14:paraId="0E1CCF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（1）发包人未能按合同约定支付预付款或合同价款，或拖延、拒绝批准付款申请和支付凭证，导致付款延误的； </w:t>
      </w:r>
    </w:p>
    <w:p w14:paraId="00819A36">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（2）发包人原因造成停工的；</w:t>
      </w:r>
    </w:p>
    <w:p w14:paraId="03C59FD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（3）监理人无正当理由没有在约定期限内发出复工指示，导致承包人无法复工的；</w:t>
      </w:r>
    </w:p>
    <w:p w14:paraId="6DB5F6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（4）发包人无法继续履行或明确表示不履行或实质上已停止履行合同的；</w:t>
      </w:r>
    </w:p>
    <w:p w14:paraId="01A45B79">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（5）发包人不履行合同约定其他义务的。</w:t>
      </w:r>
    </w:p>
    <w:p w14:paraId="3C2B380D">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22D058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1DE93D62">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22.2.3 </w:t>
      </w:r>
      <w:r>
        <w:rPr>
          <w:rFonts w:hint="default" w:ascii="Times New Roman" w:hAnsi="Times New Roman" w:eastAsia="黑体" w:cs="Times New Roman"/>
          <w:color w:val="auto"/>
          <w:sz w:val="24"/>
          <w:highlight w:val="none"/>
        </w:rPr>
        <w:t>发包人违约解除合同</w:t>
      </w:r>
      <w:r>
        <w:rPr>
          <w:rFonts w:hint="default" w:ascii="Times New Roman" w:hAnsi="Times New Roman" w:cs="Times New Roman"/>
          <w:color w:val="auto"/>
          <w:sz w:val="24"/>
          <w:highlight w:val="none"/>
        </w:rPr>
        <w:t xml:space="preserve"> </w:t>
      </w:r>
    </w:p>
    <w:p w14:paraId="48CBDC5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（1）发生第22.2.1（4）目的违约情况时，承包人可书面通知发包人解除合同。   </w:t>
      </w:r>
    </w:p>
    <w:p w14:paraId="642FA440">
      <w:pPr>
        <w:pageBreakBefore w:val="0"/>
        <w:tabs>
          <w:tab w:val="left" w:pos="720"/>
          <w:tab w:val="left" w:pos="90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4C5872C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2AEF16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因发包人违约解除合同的，发包人应在解除合同后28天内向承包人支付下列金额，承包人应在此期限内及时向发包人提交要求支付下列金额的有关资料和凭证：</w:t>
      </w:r>
    </w:p>
    <w:p w14:paraId="12BDD3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（1）合同解除日以前所完成工作的价款；</w:t>
      </w:r>
    </w:p>
    <w:p w14:paraId="5BAE90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（2）承包人为该工程施工订购并已付款的材料、工程设备和其他物品的金额。发包人付还后，该材料、工程设备和其他物品归发包人所有；</w:t>
      </w:r>
    </w:p>
    <w:p w14:paraId="7AAEFD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（3）承包人为完成工程所发生的，而发包人未支付的金额；</w:t>
      </w:r>
    </w:p>
    <w:p w14:paraId="35AFAE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（4）承包人撤离施工场地以及遣散承包人人员的金额；</w:t>
      </w:r>
    </w:p>
    <w:p w14:paraId="61932D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（5）由于解除合同应赔偿的承包人损失；</w:t>
      </w:r>
    </w:p>
    <w:p w14:paraId="6F6FBD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（6）按合同约定在合同解除日前应支付给承包人的其他金额。</w:t>
      </w:r>
    </w:p>
    <w:p w14:paraId="0719C0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发包人应按本项约定支付上述金额并退还质量保证金和履约担保，但有权要求承包人支付应偿还给发包人的各项金额。</w:t>
      </w:r>
    </w:p>
    <w:p w14:paraId="2966C9B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22.2.5 解除合同后的承包人撤离</w:t>
      </w:r>
    </w:p>
    <w:p w14:paraId="273017F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7B6BBD7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65" w:name="_Toc5779"/>
      <w:bookmarkStart w:id="1166" w:name="_Toc234833112"/>
      <w:bookmarkStart w:id="1167" w:name="_Toc5244"/>
      <w:bookmarkStart w:id="1168" w:name="_Toc27072"/>
      <w:bookmarkStart w:id="1169" w:name="_Toc1197"/>
      <w:r>
        <w:rPr>
          <w:rFonts w:hint="default" w:ascii="Times New Roman" w:hAnsi="Times New Roman" w:eastAsia="黑体" w:cs="Times New Roman"/>
          <w:b w:val="0"/>
          <w:color w:val="auto"/>
          <w:sz w:val="24"/>
          <w:szCs w:val="24"/>
          <w:highlight w:val="none"/>
        </w:rPr>
        <w:t>22.3第三人造成的违约</w:t>
      </w:r>
      <w:bookmarkEnd w:id="1165"/>
      <w:bookmarkEnd w:id="1166"/>
      <w:bookmarkEnd w:id="1167"/>
      <w:bookmarkEnd w:id="1168"/>
      <w:bookmarkEnd w:id="1169"/>
    </w:p>
    <w:p w14:paraId="20C9FF9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在履行合同过程中，一方当事人因第三人的原因造成违约的，应当向对方当事人承担违约责任。一方当事人和第三人之间的纠纷，依照法律规定或者按照约定解决。</w:t>
      </w:r>
    </w:p>
    <w:p w14:paraId="6CBD143C">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70" w:name="_Toc27731"/>
      <w:bookmarkStart w:id="1171" w:name="_Toc20829"/>
      <w:bookmarkStart w:id="1172" w:name="_Toc234833113"/>
      <w:bookmarkStart w:id="1173" w:name="_Toc29983"/>
      <w:bookmarkStart w:id="1174" w:name="_Toc15487"/>
      <w:r>
        <w:rPr>
          <w:rFonts w:hint="default" w:ascii="Times New Roman" w:hAnsi="Times New Roman" w:eastAsia="黑体" w:cs="Times New Roman"/>
          <w:b w:val="0"/>
          <w:color w:val="auto"/>
          <w:sz w:val="28"/>
          <w:szCs w:val="28"/>
          <w:highlight w:val="none"/>
        </w:rPr>
        <w:t>23. 索赔</w:t>
      </w:r>
      <w:bookmarkEnd w:id="1170"/>
      <w:bookmarkEnd w:id="1171"/>
      <w:bookmarkEnd w:id="1172"/>
      <w:bookmarkEnd w:id="1173"/>
      <w:bookmarkEnd w:id="1174"/>
    </w:p>
    <w:p w14:paraId="2B58560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5" w:name="_Toc8289"/>
      <w:bookmarkStart w:id="1176" w:name="_Toc24590"/>
      <w:bookmarkStart w:id="1177" w:name="_Toc3879"/>
      <w:bookmarkStart w:id="1178" w:name="_Toc31146"/>
      <w:bookmarkStart w:id="1179" w:name="_Toc234833114"/>
      <w:r>
        <w:rPr>
          <w:rFonts w:hint="default" w:ascii="Times New Roman" w:hAnsi="Times New Roman" w:eastAsia="黑体" w:cs="Times New Roman"/>
          <w:b w:val="0"/>
          <w:color w:val="auto"/>
          <w:sz w:val="24"/>
          <w:szCs w:val="24"/>
          <w:highlight w:val="none"/>
        </w:rPr>
        <w:t>23.1 承包人索赔的提出</w:t>
      </w:r>
      <w:bookmarkEnd w:id="1175"/>
      <w:bookmarkEnd w:id="1176"/>
      <w:bookmarkEnd w:id="1177"/>
      <w:bookmarkEnd w:id="1178"/>
      <w:bookmarkEnd w:id="1179"/>
    </w:p>
    <w:p w14:paraId="4282021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根据合同约定，承包人认为有权得到追加付款和（或）延长工期的，应按以下程序向发包人提出索赔：</w:t>
      </w:r>
    </w:p>
    <w:p w14:paraId="55FE95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0FAE21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188B9F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（3）索赔事件具有连续影响的，承包人应按合理时间间隔继续递交延续索赔通知，说明连续影响的实际情况和记录，列出累计的追加付款金额和（或）工期延长天数；</w:t>
      </w:r>
    </w:p>
    <w:p w14:paraId="2DD336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（4）在索赔事件影响结束后的28天内，承包人应向监理人递交最终索赔通知书，说明最终要求索赔的追加付款金额和延长的工期，并附必要的记录和证明材料。</w:t>
      </w:r>
    </w:p>
    <w:p w14:paraId="700909C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80" w:name="_Toc31313"/>
      <w:bookmarkStart w:id="1181" w:name="_Toc3967"/>
      <w:bookmarkStart w:id="1182" w:name="_Toc17762"/>
      <w:bookmarkStart w:id="1183" w:name="_Toc234833115"/>
      <w:bookmarkStart w:id="1184" w:name="_Toc18819"/>
      <w:r>
        <w:rPr>
          <w:rFonts w:hint="default" w:ascii="Times New Roman" w:hAnsi="Times New Roman" w:eastAsia="黑体" w:cs="Times New Roman"/>
          <w:b w:val="0"/>
          <w:color w:val="auto"/>
          <w:sz w:val="24"/>
          <w:szCs w:val="24"/>
          <w:highlight w:val="none"/>
        </w:rPr>
        <w:t>23.2 承包人索赔处理程序</w:t>
      </w:r>
      <w:bookmarkEnd w:id="1180"/>
      <w:bookmarkEnd w:id="1181"/>
      <w:bookmarkEnd w:id="1182"/>
      <w:bookmarkEnd w:id="1183"/>
      <w:bookmarkEnd w:id="1184"/>
    </w:p>
    <w:p w14:paraId="7A33A5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（1）监理人收到承包人提交的索赔通知书后，应及时审查索赔通知书的内容、查验承包人的记录和证明材料，必要时监理人可要求承包人提交全部原始记录副本。</w:t>
      </w:r>
    </w:p>
    <w:p w14:paraId="6B9A133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（2）监理人应按第3.5款商定或确定追加的付款和（或）延长的工期，并在收到上述索赔通知书或有关索赔的进一步证明材料后的42天内，将索赔处理结果答复承包人。</w:t>
      </w:r>
    </w:p>
    <w:p w14:paraId="1610C3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（3）承包人接受索赔处理结果的，发包人应在作出索赔处理结果答复后28天内完成赔付。承包人不接受索赔处理结果的，按第24条的约定办理。</w:t>
      </w:r>
    </w:p>
    <w:p w14:paraId="0A19B57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85" w:name="_Toc3852"/>
      <w:bookmarkStart w:id="1186" w:name="_Toc25742"/>
      <w:bookmarkStart w:id="1187" w:name="_Toc19947"/>
      <w:bookmarkStart w:id="1188" w:name="_Toc234833116"/>
      <w:bookmarkStart w:id="1189" w:name="_Toc616"/>
      <w:r>
        <w:rPr>
          <w:rFonts w:hint="default" w:ascii="Times New Roman" w:hAnsi="Times New Roman" w:eastAsia="黑体" w:cs="Times New Roman"/>
          <w:b w:val="0"/>
          <w:color w:val="auto"/>
          <w:sz w:val="24"/>
          <w:szCs w:val="24"/>
          <w:highlight w:val="none"/>
        </w:rPr>
        <w:t>23.3 承包人提出索赔的期限</w:t>
      </w:r>
      <w:bookmarkEnd w:id="1185"/>
      <w:bookmarkEnd w:id="1186"/>
      <w:bookmarkEnd w:id="1187"/>
      <w:bookmarkEnd w:id="1188"/>
      <w:bookmarkEnd w:id="1189"/>
    </w:p>
    <w:p w14:paraId="417B4C0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23.3.1 承包人按第17.5款的约定接受了竣工付款证书后，应被认为已无权再提出在合同工程接收证书颁发前所发生的任何索赔。</w:t>
      </w:r>
    </w:p>
    <w:p w14:paraId="2F3CE2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23.3.2 承包人按第17.6款的约定提交的最终结清申请单中，只限于提出工程接收证书颁发后发生的索赔。提出索赔的期限自接受最终结清证书时终止。</w:t>
      </w:r>
    </w:p>
    <w:p w14:paraId="5153B9F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90" w:name="_Toc9765"/>
      <w:bookmarkStart w:id="1191" w:name="_Toc2347"/>
      <w:bookmarkStart w:id="1192" w:name="_Toc6508"/>
      <w:bookmarkStart w:id="1193" w:name="_Toc234833117"/>
      <w:bookmarkStart w:id="1194" w:name="_Toc6220"/>
      <w:r>
        <w:rPr>
          <w:rFonts w:hint="default" w:ascii="Times New Roman" w:hAnsi="Times New Roman" w:eastAsia="黑体" w:cs="Times New Roman"/>
          <w:b w:val="0"/>
          <w:color w:val="auto"/>
          <w:sz w:val="24"/>
          <w:szCs w:val="24"/>
          <w:highlight w:val="none"/>
        </w:rPr>
        <w:t>23.4 发包人的索赔</w:t>
      </w:r>
      <w:bookmarkEnd w:id="1190"/>
      <w:bookmarkEnd w:id="1191"/>
      <w:bookmarkEnd w:id="1192"/>
      <w:bookmarkEnd w:id="1193"/>
      <w:bookmarkEnd w:id="1194"/>
      <w:r>
        <w:rPr>
          <w:rFonts w:hint="default" w:ascii="Times New Roman" w:hAnsi="Times New Roman" w:eastAsia="黑体" w:cs="Times New Roman"/>
          <w:b w:val="0"/>
          <w:color w:val="auto"/>
          <w:sz w:val="24"/>
          <w:szCs w:val="24"/>
          <w:highlight w:val="none"/>
        </w:rPr>
        <w:t xml:space="preserve">                            </w:t>
      </w:r>
    </w:p>
    <w:p w14:paraId="64284C1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7C5E6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03B86DD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95" w:name="_Toc234833118"/>
      <w:bookmarkStart w:id="1196" w:name="_Toc27984"/>
      <w:bookmarkStart w:id="1197" w:name="_Toc15563"/>
      <w:bookmarkStart w:id="1198" w:name="_Toc31922"/>
      <w:bookmarkStart w:id="1199" w:name="_Toc30654"/>
      <w:r>
        <w:rPr>
          <w:rFonts w:hint="default" w:ascii="Times New Roman" w:hAnsi="Times New Roman" w:eastAsia="黑体" w:cs="Times New Roman"/>
          <w:b w:val="0"/>
          <w:color w:val="auto"/>
          <w:sz w:val="28"/>
          <w:szCs w:val="28"/>
          <w:highlight w:val="none"/>
        </w:rPr>
        <w:t>24. 争议的解决</w:t>
      </w:r>
      <w:bookmarkEnd w:id="1195"/>
      <w:bookmarkEnd w:id="1196"/>
      <w:bookmarkEnd w:id="1197"/>
      <w:bookmarkEnd w:id="1198"/>
      <w:bookmarkEnd w:id="1199"/>
    </w:p>
    <w:p w14:paraId="02657DF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0" w:name="_Toc32049"/>
      <w:bookmarkStart w:id="1201" w:name="_Toc1723"/>
      <w:bookmarkStart w:id="1202" w:name="_Toc30045"/>
      <w:bookmarkStart w:id="1203" w:name="_Toc21148"/>
      <w:bookmarkStart w:id="1204" w:name="_Toc234833119"/>
      <w:r>
        <w:rPr>
          <w:rFonts w:hint="default" w:ascii="Times New Roman" w:hAnsi="Times New Roman" w:eastAsia="黑体" w:cs="Times New Roman"/>
          <w:b w:val="0"/>
          <w:color w:val="auto"/>
          <w:sz w:val="24"/>
          <w:szCs w:val="24"/>
          <w:highlight w:val="none"/>
        </w:rPr>
        <w:t>24.1 争议的解决方式</w:t>
      </w:r>
      <w:bookmarkEnd w:id="1200"/>
      <w:bookmarkEnd w:id="1201"/>
      <w:bookmarkEnd w:id="1202"/>
      <w:bookmarkEnd w:id="1203"/>
      <w:bookmarkEnd w:id="1204"/>
    </w:p>
    <w:p w14:paraId="4958A10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5D23E4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（1）向约定的仲裁委员会申请仲裁；</w:t>
      </w:r>
    </w:p>
    <w:p w14:paraId="194B9E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（2）向有管辖权的人民法院提起诉讼。</w:t>
      </w:r>
    </w:p>
    <w:p w14:paraId="4A27868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5" w:name="_Toc4677"/>
      <w:bookmarkStart w:id="1206" w:name="_Toc28189"/>
      <w:bookmarkStart w:id="1207" w:name="_Toc25861"/>
      <w:bookmarkStart w:id="1208" w:name="_Toc234833120"/>
      <w:bookmarkStart w:id="1209" w:name="_Toc21235"/>
      <w:r>
        <w:rPr>
          <w:rFonts w:hint="default" w:ascii="Times New Roman" w:hAnsi="Times New Roman" w:eastAsia="黑体" w:cs="Times New Roman"/>
          <w:b w:val="0"/>
          <w:color w:val="auto"/>
          <w:sz w:val="24"/>
          <w:szCs w:val="24"/>
          <w:highlight w:val="none"/>
        </w:rPr>
        <w:t>24.2 友好解决</w:t>
      </w:r>
      <w:bookmarkEnd w:id="1205"/>
      <w:bookmarkEnd w:id="1206"/>
      <w:bookmarkEnd w:id="1207"/>
      <w:bookmarkEnd w:id="1208"/>
      <w:bookmarkEnd w:id="1209"/>
    </w:p>
    <w:p w14:paraId="77EFDF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在提请争议评审、仲裁或者诉讼前，以及在争议评审、仲裁或诉讼过程中，发包人和承包人均可共同努力友好协商解决争议。</w:t>
      </w:r>
    </w:p>
    <w:p w14:paraId="272E168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10" w:name="_Toc17586"/>
      <w:bookmarkStart w:id="1211" w:name="_Toc234833121"/>
      <w:bookmarkStart w:id="1212" w:name="_Toc28601"/>
      <w:bookmarkStart w:id="1213" w:name="_Toc24796"/>
      <w:bookmarkStart w:id="1214" w:name="_Toc20198"/>
      <w:r>
        <w:rPr>
          <w:rFonts w:hint="default" w:ascii="Times New Roman" w:hAnsi="Times New Roman" w:eastAsia="黑体" w:cs="Times New Roman"/>
          <w:b w:val="0"/>
          <w:color w:val="auto"/>
          <w:sz w:val="24"/>
          <w:szCs w:val="24"/>
          <w:highlight w:val="none"/>
        </w:rPr>
        <w:t>24.3 争议评审</w:t>
      </w:r>
      <w:bookmarkEnd w:id="1210"/>
      <w:bookmarkEnd w:id="1211"/>
      <w:bookmarkEnd w:id="1212"/>
      <w:bookmarkEnd w:id="1213"/>
      <w:bookmarkEnd w:id="1214"/>
    </w:p>
    <w:p w14:paraId="594981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24.3.1采用争议评审的，发包人和承包人应在开工日后的28天内或在争议发生后，协商成立争议评审组。争议评审组由有合同管理和工程实践经验的专家组成。</w:t>
      </w:r>
    </w:p>
    <w:p w14:paraId="6F95AA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24.3.2 合同双方的争议，应首先由申请人向争议评审组提交一份详细的评审申请报告，并附必要的文件、图纸和证明材料，申请人还应将上述报告的副本同时提交给被申请人和监理人。</w:t>
      </w:r>
    </w:p>
    <w:p w14:paraId="6DBBDD7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24.3.3 被申请人在收到申请人评审申请报告副本后的28天内，向争议评审组提交一份答辩报告，并附证明材料。被申请人应将答辩报告的副本同时提交给申请人和监理人。</w:t>
      </w:r>
    </w:p>
    <w:p w14:paraId="788241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1D7682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7D6948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24.3.6 发包人和承包人接受评审意见的，由监理人根据评审意见拟定执行协议，经争议双方签字后作为合同的补充文件，并遵照执行。</w:t>
      </w:r>
    </w:p>
    <w:p w14:paraId="651784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63A17220">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2B7737F4">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4C072821">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21F66B35">
      <w:pPr>
        <w:pageBreakBefore w:val="0"/>
        <w:kinsoku/>
        <w:wordWrap w:val="0"/>
        <w:bidi w:val="0"/>
        <w:spacing w:before="240" w:after="240" w:line="380" w:lineRule="atLeast"/>
        <w:outlineLvl w:val="9"/>
        <w:rPr>
          <w:rFonts w:hint="default" w:ascii="Times New Roman" w:hAnsi="Times New Roman" w:cs="Times New Roman"/>
          <w:color w:val="auto"/>
          <w:sz w:val="20"/>
          <w:szCs w:val="20"/>
          <w:highlight w:val="none"/>
        </w:rPr>
      </w:pPr>
    </w:p>
    <w:p w14:paraId="25A7DB4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32"/>
          <w:szCs w:val="32"/>
          <w:highlight w:val="none"/>
        </w:rPr>
        <w:br w:type="page"/>
      </w:r>
      <w:bookmarkStart w:id="1215" w:name="_Toc234833122"/>
    </w:p>
    <w:p w14:paraId="721916B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631FBC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366F8E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BFE297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7B980F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878E91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C43440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2C7AA1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B8F37A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0FC867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C488CDE">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1216" w:name="_Toc21883"/>
      <w:bookmarkStart w:id="1217" w:name="_Toc22779"/>
      <w:bookmarkStart w:id="1218" w:name="_Toc9532"/>
      <w:r>
        <w:rPr>
          <w:rFonts w:hint="default" w:ascii="Times New Roman" w:hAnsi="Times New Roman" w:eastAsia="黑体" w:cs="Times New Roman"/>
          <w:b w:val="0"/>
          <w:color w:val="auto"/>
          <w:sz w:val="42"/>
          <w:szCs w:val="42"/>
          <w:highlight w:val="none"/>
        </w:rPr>
        <w:t>第二节  专用合同条款</w:t>
      </w:r>
      <w:bookmarkEnd w:id="1215"/>
      <w:bookmarkEnd w:id="1216"/>
      <w:bookmarkEnd w:id="1217"/>
      <w:bookmarkEnd w:id="1218"/>
    </w:p>
    <w:p w14:paraId="2E88ABE7">
      <w:pPr>
        <w:pStyle w:val="2"/>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1219" w:name="_Toc3511"/>
      <w:bookmarkStart w:id="1220" w:name="_Toc234833123"/>
      <w:bookmarkStart w:id="1221" w:name="_Toc29088"/>
      <w:bookmarkStart w:id="1222" w:name="_Toc22882"/>
      <w:r>
        <w:rPr>
          <w:rFonts w:hint="default" w:ascii="Times New Roman" w:hAnsi="Times New Roman" w:eastAsia="黑体" w:cs="Times New Roman"/>
          <w:b w:val="0"/>
          <w:color w:val="auto"/>
          <w:sz w:val="32"/>
          <w:szCs w:val="32"/>
          <w:highlight w:val="none"/>
        </w:rPr>
        <w:t>A. 公路工程专用合同条款</w:t>
      </w:r>
      <w:bookmarkEnd w:id="1219"/>
      <w:bookmarkEnd w:id="1220"/>
      <w:bookmarkEnd w:id="1221"/>
      <w:bookmarkEnd w:id="1222"/>
    </w:p>
    <w:p w14:paraId="24563CA8">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p>
    <w:p w14:paraId="11B6F42F">
      <w:pPr>
        <w:pStyle w:val="2"/>
        <w:pageBreakBefore w:val="0"/>
        <w:kinsoku/>
        <w:wordWrap w:val="0"/>
        <w:bidi w:val="0"/>
        <w:spacing w:before="240" w:after="240" w:line="380" w:lineRule="atLeast"/>
        <w:outlineLvl w:val="2"/>
        <w:rPr>
          <w:rFonts w:hint="default" w:ascii="Times New Roman" w:hAnsi="Times New Roman" w:eastAsia="黑体" w:cs="Times New Roman"/>
          <w:b w:val="0"/>
          <w:color w:val="auto"/>
          <w:sz w:val="28"/>
          <w:szCs w:val="28"/>
          <w:highlight w:val="none"/>
        </w:rPr>
      </w:pPr>
      <w:bookmarkStart w:id="1223" w:name="_Toc8341"/>
      <w:bookmarkStart w:id="1224" w:name="_Toc8680"/>
      <w:bookmarkStart w:id="1225" w:name="_Toc234833124"/>
      <w:bookmarkStart w:id="1226" w:name="_Toc18793"/>
      <w:bookmarkStart w:id="1227" w:name="_Toc12763"/>
      <w:r>
        <w:rPr>
          <w:rFonts w:hint="default" w:ascii="Times New Roman" w:hAnsi="Times New Roman" w:eastAsia="黑体" w:cs="Times New Roman"/>
          <w:b w:val="0"/>
          <w:color w:val="auto"/>
          <w:sz w:val="28"/>
          <w:szCs w:val="28"/>
          <w:highlight w:val="none"/>
        </w:rPr>
        <w:t>1. 一般约定</w:t>
      </w:r>
      <w:bookmarkEnd w:id="1223"/>
      <w:bookmarkEnd w:id="1224"/>
      <w:bookmarkEnd w:id="1225"/>
      <w:bookmarkEnd w:id="1226"/>
      <w:bookmarkEnd w:id="1227"/>
      <w:r>
        <w:rPr>
          <w:rFonts w:hint="default" w:ascii="Times New Roman" w:hAnsi="Times New Roman" w:eastAsia="黑体" w:cs="Times New Roman"/>
          <w:b w:val="0"/>
          <w:color w:val="auto"/>
          <w:sz w:val="28"/>
          <w:szCs w:val="28"/>
          <w:highlight w:val="none"/>
        </w:rPr>
        <w:tab/>
      </w:r>
    </w:p>
    <w:p w14:paraId="75C8DC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28" w:name="_Toc16083"/>
      <w:bookmarkStart w:id="1229" w:name="_Toc9796"/>
      <w:bookmarkStart w:id="1230" w:name="_Toc234833125"/>
      <w:bookmarkStart w:id="1231" w:name="_Toc12594"/>
      <w:bookmarkStart w:id="1232" w:name="_Toc31844"/>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1228"/>
      <w:bookmarkEnd w:id="1229"/>
      <w:bookmarkEnd w:id="1230"/>
      <w:bookmarkEnd w:id="1231"/>
      <w:bookmarkEnd w:id="1232"/>
    </w:p>
    <w:p w14:paraId="4757281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1.1.1 </w:t>
      </w:r>
      <w:r>
        <w:rPr>
          <w:rFonts w:hint="default" w:ascii="Times New Roman" w:hAnsi="Times New Roman" w:eastAsia="黑体" w:cs="Times New Roman"/>
          <w:color w:val="auto"/>
          <w:sz w:val="24"/>
          <w:highlight w:val="none"/>
        </w:rPr>
        <w:t>合同</w:t>
      </w:r>
    </w:p>
    <w:p w14:paraId="1A01BFB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第1.1.1.6目细化为：</w:t>
      </w:r>
    </w:p>
    <w:p w14:paraId="62D18CB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技术规范：指本合同所约定的技术标准和要求，是合同文件的组成部分。通用合同条款中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技术标准和要求</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4C68A0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第1.1.1.8目细化为：</w:t>
      </w:r>
    </w:p>
    <w:p w14:paraId="364C8EA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28DF3C1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本项补充第1.1.1.10目：</w:t>
      </w:r>
    </w:p>
    <w:p w14:paraId="54D5744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1.1.1.10 补遗书：指发出招标文件之后由招标人向已取得招标文件的投标人发出的、编号的对招标文件所作的澄清、修改书。</w:t>
      </w:r>
    </w:p>
    <w:p w14:paraId="6AE3E609">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08A3FA6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本项补充第1.1.2.8目：</w:t>
      </w:r>
    </w:p>
    <w:p w14:paraId="4AFD41A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1.1.2.8 承包人项目总工：指由承包人书面委派常驻现场负责管理本合同工程的总工程师或技术总负责人。</w:t>
      </w:r>
    </w:p>
    <w:p w14:paraId="3624B8D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6DBCFE3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第1.1.3.4目细化为：</w:t>
      </w:r>
    </w:p>
    <w:p w14:paraId="186293F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单位工程：指在建设项目中，根据签订的合同，具有独立施工条件的工程。</w:t>
      </w:r>
    </w:p>
    <w:p w14:paraId="471EE0F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第1.1.3.10目细化为： </w:t>
      </w:r>
    </w:p>
    <w:p w14:paraId="5F40A40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永久占地：指为实施本合同工程而需要的一切永久占用的土地，包括公路两侧路权范围内的用地。</w:t>
      </w:r>
    </w:p>
    <w:p w14:paraId="737117D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第1.1.3.11目细化为：</w:t>
      </w:r>
    </w:p>
    <w:p w14:paraId="2CEDCDD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临时占地：指为实施本合同工程而需要的一切临时占用的土地，包括施工所用的临时支线、便道、便桥和现场的临时出入通道，以及生产（办公）、生活等临时设施用地等。</w:t>
      </w:r>
    </w:p>
    <w:p w14:paraId="1560380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本项补充第1.1.3.12目、第1.1.3.13目：</w:t>
      </w:r>
    </w:p>
    <w:p w14:paraId="32FD306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1.1.3.12 分部工程：指在单位工程中，按结构部位、路段长度及施工特点或施工任务划分的若干个工程。</w:t>
      </w:r>
    </w:p>
    <w:p w14:paraId="1666486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1.1.3.13 分项工程：指在分部工程中，按不同的施工方法、材料、工序及路段长度等划分的若干个工程。</w:t>
      </w:r>
    </w:p>
    <w:p w14:paraId="24B192D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bookmarkStart w:id="1233" w:name="OLE_LINK18"/>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789F93F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本项补充第1.1.6.2目～第1.1.6.9目：</w:t>
      </w:r>
    </w:p>
    <w:p w14:paraId="265882D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1.1.6.2 竣工验收：指《公路工程竣（交）工验收办法》中的竣工验收。通用合同条款中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国家验收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6E77720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1.1.6.3交工：指《公路工程竣（交）工验收办法》中的交工。通用合同条款中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03406B4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1.1.6.4交工验收：指《公路工程竣（交）工验收办法》中的交工验收。通用合同条款中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5C8D9AB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1.1.6.5交工验收证书：指《公路工程竣（交）工验收办法》中的交工验收证书。通用合同条款中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工程接收证书</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bookmarkEnd w:id="1233"/>
    <w:p w14:paraId="6D80FAA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1.1.6.6转包：指承包人违反法律和不履行合同规定的责任和义务，将中标工程全部委托或以专业分包的名义将中标工程肢解后全部委托给其他施工企业施工的行为。</w:t>
      </w:r>
    </w:p>
    <w:p w14:paraId="28A53AB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6F7ACD7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1.1.6.8劳务分包：指承包人与具有施工劳务资质的劳务企业签订劳务分包合同，由劳务企业提供劳务人员及机具，由承包人统一组织施工、统一控制工程质量、施工进度、材料采购、生产安全的施工行为。</w:t>
      </w:r>
    </w:p>
    <w:p w14:paraId="51E9571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1.1.6.9雇用民工：指承包人与具有相应劳动能力的自然人签订劳动合同，由承包人统一组织管理，从事分项工程施工或配套工程施工的行为。</w:t>
      </w:r>
    </w:p>
    <w:p w14:paraId="31F09AE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4" w:name="_Toc234833126"/>
      <w:bookmarkStart w:id="1235" w:name="_Toc27402"/>
      <w:bookmarkStart w:id="1236" w:name="_Toc18641"/>
      <w:bookmarkStart w:id="1237" w:name="_Toc20079"/>
      <w:bookmarkStart w:id="1238" w:name="_Toc1907"/>
      <w:r>
        <w:rPr>
          <w:rFonts w:hint="default" w:ascii="Times New Roman" w:hAnsi="Times New Roman" w:eastAsia="黑体" w:cs="Times New Roman"/>
          <w:b w:val="0"/>
          <w:color w:val="auto"/>
          <w:sz w:val="24"/>
          <w:szCs w:val="24"/>
          <w:highlight w:val="none"/>
        </w:rPr>
        <w:t>1.4 合同文件的优先顺序</w:t>
      </w:r>
      <w:bookmarkEnd w:id="1234"/>
      <w:bookmarkEnd w:id="1235"/>
      <w:bookmarkEnd w:id="1236"/>
      <w:bookmarkEnd w:id="1237"/>
      <w:bookmarkEnd w:id="1238"/>
    </w:p>
    <w:p w14:paraId="7848B25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3391193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组成合同的各项文件应互相解释，互为说明。除项目专用合同条款另有约定外，解释合同文件的优先顺序如下：</w:t>
      </w:r>
    </w:p>
    <w:p w14:paraId="1E7E994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（1）合同协议书及各种合同附件（含评标期间和合同谈判过程中的澄清文件和补充资料）；</w:t>
      </w:r>
    </w:p>
    <w:p w14:paraId="5CE2083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378C67E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72597E6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（4）项目专用合同条款；</w:t>
      </w:r>
    </w:p>
    <w:p w14:paraId="1BD42ED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（5）公路工程专用合同条款；</w:t>
      </w:r>
    </w:p>
    <w:p w14:paraId="38E2068C">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1B9E274F">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6640C51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（8）技术规范；</w:t>
      </w:r>
    </w:p>
    <w:p w14:paraId="412A4B6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（9）图纸；</w:t>
      </w:r>
    </w:p>
    <w:p w14:paraId="318CB04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（10）已标价工程量清单；</w:t>
      </w:r>
    </w:p>
    <w:p w14:paraId="7488938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（11）承包人有关人员、设备投入的承诺及投标文件中的施工组织设计；</w:t>
      </w:r>
    </w:p>
    <w:p w14:paraId="7698271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（12）其他合同文件。</w:t>
      </w:r>
    </w:p>
    <w:p w14:paraId="006C598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9" w:name="_Toc17521"/>
      <w:bookmarkStart w:id="1240" w:name="_Toc234833127"/>
      <w:bookmarkStart w:id="1241" w:name="_Toc7187"/>
      <w:bookmarkStart w:id="1242" w:name="_Toc28459"/>
      <w:bookmarkStart w:id="1243" w:name="_Toc13917"/>
      <w:r>
        <w:rPr>
          <w:rFonts w:hint="default" w:ascii="Times New Roman" w:hAnsi="Times New Roman" w:eastAsia="黑体" w:cs="Times New Roman"/>
          <w:b w:val="0"/>
          <w:color w:val="auto"/>
          <w:sz w:val="24"/>
          <w:szCs w:val="24"/>
          <w:highlight w:val="none"/>
        </w:rPr>
        <w:t>1.5 合同协议书</w:t>
      </w:r>
      <w:bookmarkEnd w:id="1239"/>
      <w:bookmarkEnd w:id="1240"/>
      <w:bookmarkEnd w:id="1241"/>
      <w:bookmarkEnd w:id="1242"/>
      <w:bookmarkEnd w:id="1243"/>
    </w:p>
    <w:p w14:paraId="518771C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52CBDA4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制备本合同文件的费用由发包人承担。在合同协议书签订并生效之前，投标函和中标通知书将对双方具有约束力。</w:t>
      </w:r>
    </w:p>
    <w:p w14:paraId="60A6690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4" w:name="_Toc12395"/>
      <w:bookmarkStart w:id="1245" w:name="_Toc5981"/>
      <w:bookmarkStart w:id="1246" w:name="_Toc2156"/>
      <w:bookmarkStart w:id="1247" w:name="_Toc21351"/>
      <w:bookmarkStart w:id="1248" w:name="_Toc234833128"/>
      <w:r>
        <w:rPr>
          <w:rFonts w:hint="default" w:ascii="Times New Roman" w:hAnsi="Times New Roman" w:eastAsia="黑体" w:cs="Times New Roman"/>
          <w:b w:val="0"/>
          <w:color w:val="auto"/>
          <w:sz w:val="24"/>
          <w:szCs w:val="24"/>
          <w:highlight w:val="none"/>
        </w:rPr>
        <w:t>1.6 图纸和承包人文件</w:t>
      </w:r>
      <w:bookmarkEnd w:id="1244"/>
      <w:bookmarkEnd w:id="1245"/>
      <w:bookmarkEnd w:id="1246"/>
      <w:bookmarkEnd w:id="1247"/>
      <w:bookmarkEnd w:id="1248"/>
    </w:p>
    <w:p w14:paraId="167CC64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47509B1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D38EF0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E2726EB">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58F4E19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0EE0007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有下列情形之一的，承包人应免费向监理人提交相关部分工程的施工图纸3份，并附必要的计算书、技术资料，或施工工艺图、设备安装图及安装设备的使用和维护手册各2份供监理人批准。</w:t>
      </w:r>
    </w:p>
    <w:p w14:paraId="0A569E6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（1）为使第1.6.1项所述的施工图纸适合于经施工测量后的纵、横断面；</w:t>
      </w:r>
    </w:p>
    <w:p w14:paraId="72A2CFB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（2）为使第1.6.1项所述的施工图纸适合于现场具体地形；</w:t>
      </w:r>
    </w:p>
    <w:p w14:paraId="41B00E5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（3）为使第1.6.1项所述的施工图纸适合于因尺寸与位置变化而引起局部变更；</w:t>
      </w:r>
    </w:p>
    <w:p w14:paraId="54191E9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（4）由于合同要求与施工需要。</w:t>
      </w:r>
    </w:p>
    <w:p w14:paraId="017C861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213F790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537CD63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5C7F57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241A2E5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9" w:name="_Toc29704"/>
      <w:bookmarkStart w:id="1250" w:name="_Toc16791"/>
      <w:bookmarkStart w:id="1251" w:name="_Toc23783"/>
      <w:bookmarkStart w:id="1252" w:name="_Toc234833129"/>
      <w:bookmarkStart w:id="1253" w:name="_Toc5360"/>
      <w:r>
        <w:rPr>
          <w:rFonts w:hint="default" w:ascii="Times New Roman" w:hAnsi="Times New Roman" w:eastAsia="黑体" w:cs="Times New Roman"/>
          <w:b w:val="0"/>
          <w:color w:val="auto"/>
          <w:sz w:val="24"/>
          <w:szCs w:val="24"/>
          <w:highlight w:val="none"/>
        </w:rPr>
        <w:t>1.9 严禁贿赂</w:t>
      </w:r>
      <w:bookmarkEnd w:id="1249"/>
      <w:bookmarkEnd w:id="1250"/>
      <w:bookmarkEnd w:id="1251"/>
      <w:bookmarkEnd w:id="1252"/>
      <w:bookmarkEnd w:id="1253"/>
    </w:p>
    <w:p w14:paraId="7CEE833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0B94175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76DE953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54" w:name="_Toc3220"/>
      <w:bookmarkStart w:id="1255" w:name="_Toc234833130"/>
      <w:bookmarkStart w:id="1256" w:name="_Toc1766"/>
      <w:bookmarkStart w:id="1257" w:name="_Toc15632"/>
      <w:bookmarkStart w:id="1258" w:name="_Toc21468"/>
      <w:r>
        <w:rPr>
          <w:rFonts w:hint="default" w:ascii="Times New Roman" w:hAnsi="Times New Roman" w:eastAsia="黑体" w:cs="Times New Roman"/>
          <w:b w:val="0"/>
          <w:color w:val="auto"/>
          <w:sz w:val="28"/>
          <w:szCs w:val="28"/>
          <w:highlight w:val="none"/>
        </w:rPr>
        <w:t>2. 发包人义务</w:t>
      </w:r>
      <w:bookmarkEnd w:id="1254"/>
      <w:bookmarkEnd w:id="1255"/>
      <w:bookmarkEnd w:id="1256"/>
      <w:bookmarkEnd w:id="1257"/>
      <w:bookmarkEnd w:id="1258"/>
    </w:p>
    <w:p w14:paraId="40EB457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59" w:name="_Toc21651"/>
      <w:bookmarkStart w:id="1260" w:name="_Toc14471"/>
      <w:bookmarkStart w:id="1261" w:name="_Toc8131"/>
      <w:bookmarkStart w:id="1262" w:name="_Toc234833131"/>
      <w:bookmarkStart w:id="1263" w:name="_Toc27735"/>
      <w:r>
        <w:rPr>
          <w:rFonts w:hint="default" w:ascii="Times New Roman" w:hAnsi="Times New Roman" w:eastAsia="黑体" w:cs="Times New Roman"/>
          <w:b w:val="0"/>
          <w:color w:val="auto"/>
          <w:sz w:val="24"/>
          <w:szCs w:val="24"/>
          <w:highlight w:val="none"/>
        </w:rPr>
        <w:t>2.3 提供施工场地</w:t>
      </w:r>
      <w:bookmarkEnd w:id="1259"/>
      <w:bookmarkEnd w:id="1260"/>
      <w:bookmarkEnd w:id="1261"/>
      <w:bookmarkEnd w:id="1262"/>
      <w:bookmarkEnd w:id="1263"/>
    </w:p>
    <w:p w14:paraId="666C7DA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23225FD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01D2141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73D147BA">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64" w:name="_Toc25338"/>
      <w:bookmarkStart w:id="1265" w:name="_Toc17755"/>
      <w:bookmarkStart w:id="1266" w:name="_Toc18195"/>
      <w:bookmarkStart w:id="1267" w:name="_Toc18127"/>
      <w:bookmarkStart w:id="1268" w:name="_Toc234833132"/>
      <w:r>
        <w:rPr>
          <w:rFonts w:hint="default" w:ascii="Times New Roman" w:hAnsi="Times New Roman" w:eastAsia="黑体" w:cs="Times New Roman"/>
          <w:b w:val="0"/>
          <w:color w:val="auto"/>
          <w:sz w:val="28"/>
          <w:szCs w:val="28"/>
          <w:highlight w:val="none"/>
        </w:rPr>
        <w:t>3. 监理人</w:t>
      </w:r>
      <w:bookmarkEnd w:id="1264"/>
      <w:bookmarkEnd w:id="1265"/>
      <w:bookmarkEnd w:id="1266"/>
      <w:bookmarkEnd w:id="1267"/>
      <w:bookmarkEnd w:id="1268"/>
    </w:p>
    <w:p w14:paraId="7B1A522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69" w:name="_Toc17494"/>
      <w:bookmarkStart w:id="1270" w:name="_Toc19048"/>
      <w:bookmarkStart w:id="1271" w:name="_Toc10320"/>
      <w:bookmarkStart w:id="1272" w:name="_Toc234833133"/>
      <w:bookmarkStart w:id="1273" w:name="_Toc31502"/>
      <w:r>
        <w:rPr>
          <w:rFonts w:hint="default" w:ascii="Times New Roman" w:hAnsi="Times New Roman" w:eastAsia="黑体" w:cs="Times New Roman"/>
          <w:b w:val="0"/>
          <w:color w:val="auto"/>
          <w:sz w:val="24"/>
          <w:szCs w:val="24"/>
          <w:highlight w:val="none"/>
        </w:rPr>
        <w:t>3.1 监理人的职责和权力</w:t>
      </w:r>
      <w:bookmarkEnd w:id="1269"/>
      <w:bookmarkEnd w:id="1270"/>
      <w:bookmarkEnd w:id="1271"/>
      <w:bookmarkEnd w:id="1272"/>
      <w:bookmarkEnd w:id="1273"/>
      <w:r>
        <w:rPr>
          <w:rFonts w:hint="default" w:ascii="Times New Roman" w:hAnsi="Times New Roman" w:eastAsia="黑体" w:cs="Times New Roman"/>
          <w:b w:val="0"/>
          <w:color w:val="auto"/>
          <w:sz w:val="24"/>
          <w:szCs w:val="24"/>
          <w:highlight w:val="none"/>
        </w:rPr>
        <w:t xml:space="preserve"> </w:t>
      </w:r>
    </w:p>
    <w:p w14:paraId="1A8FA0C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第3.1.1项补充：</w:t>
      </w:r>
    </w:p>
    <w:p w14:paraId="441D8C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监理人在行使下列权力前需要经发包人事先批准：</w:t>
      </w:r>
    </w:p>
    <w:p w14:paraId="408583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（1）根据第4.3款，同意分包本工程的某些非关键性工作或者适合专业化队伍施工的专项工程；</w:t>
      </w:r>
    </w:p>
    <w:p w14:paraId="4DCDD0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（2）确定第4.11款下产生的费用增加额；</w:t>
      </w:r>
    </w:p>
    <w:p w14:paraId="6A2398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（3）根据第11.1款、第12.3款、第12.4款发布开工通知、暂停施工指示或复工通知；</w:t>
      </w:r>
    </w:p>
    <w:p w14:paraId="6122BD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（4）决定第11.3款、第11.4款下的工期延长；</w:t>
      </w:r>
    </w:p>
    <w:p w14:paraId="618E3BD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（5）审查批准技术方案或设计的变更；</w:t>
      </w:r>
    </w:p>
    <w:p w14:paraId="000B53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（6）根据第15.3款发出的变更指示，其单项工程变更或累计变更涉及的金额超过了项目专用合同条款数据表中规定的金额； </w:t>
      </w:r>
    </w:p>
    <w:p w14:paraId="4DC696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（7）确定第15.4款下变更工作的单价；</w:t>
      </w:r>
    </w:p>
    <w:p w14:paraId="00EFCC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（8）按照第15.6款决定有关暂列金额的使用； </w:t>
      </w:r>
    </w:p>
    <w:p w14:paraId="0595929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（9）确定第15.8款下的暂估价金额；</w:t>
      </w:r>
    </w:p>
    <w:p w14:paraId="6ACD81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（10）确定第23.1款下的索赔额。</w:t>
      </w:r>
    </w:p>
    <w:p w14:paraId="21EEEDA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253D03B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74" w:name="_Toc11325"/>
      <w:bookmarkStart w:id="1275" w:name="_Toc22142"/>
      <w:bookmarkStart w:id="1276" w:name="_Toc234833134"/>
      <w:bookmarkStart w:id="1277" w:name="_Toc24088"/>
      <w:bookmarkStart w:id="1278" w:name="_Toc5389"/>
      <w:r>
        <w:rPr>
          <w:rFonts w:hint="default" w:ascii="Times New Roman" w:hAnsi="Times New Roman" w:eastAsia="黑体" w:cs="Times New Roman"/>
          <w:b w:val="0"/>
          <w:color w:val="auto"/>
          <w:sz w:val="24"/>
          <w:szCs w:val="24"/>
          <w:highlight w:val="none"/>
        </w:rPr>
        <w:t>3.5商定或确定</w:t>
      </w:r>
      <w:bookmarkEnd w:id="1274"/>
      <w:bookmarkEnd w:id="1275"/>
      <w:bookmarkEnd w:id="1276"/>
      <w:bookmarkEnd w:id="1277"/>
      <w:bookmarkEnd w:id="1278"/>
    </w:p>
    <w:p w14:paraId="40F40A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第3.5.1项补充：</w:t>
      </w:r>
    </w:p>
    <w:p w14:paraId="6F0CF8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如果这项商定或确定导致费用增加和（或）工期延长，或者涉及确定变更工程的价格，则总监理工程师在发出通知前，应征得发包人的同意。</w:t>
      </w:r>
    </w:p>
    <w:p w14:paraId="1B5D50A5">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79" w:name="_Toc32621"/>
      <w:bookmarkStart w:id="1280" w:name="_Toc9107"/>
      <w:bookmarkStart w:id="1281" w:name="_Toc234833135"/>
      <w:bookmarkStart w:id="1282" w:name="_Toc11613"/>
      <w:bookmarkStart w:id="1283" w:name="_Toc8992"/>
      <w:r>
        <w:rPr>
          <w:rFonts w:hint="default" w:ascii="Times New Roman" w:hAnsi="Times New Roman" w:eastAsia="黑体" w:cs="Times New Roman"/>
          <w:b w:val="0"/>
          <w:color w:val="auto"/>
          <w:sz w:val="28"/>
          <w:szCs w:val="28"/>
          <w:highlight w:val="none"/>
        </w:rPr>
        <w:t>4. 承包人</w:t>
      </w:r>
      <w:bookmarkEnd w:id="1279"/>
      <w:bookmarkEnd w:id="1280"/>
      <w:bookmarkEnd w:id="1281"/>
      <w:bookmarkEnd w:id="1282"/>
      <w:bookmarkEnd w:id="1283"/>
    </w:p>
    <w:p w14:paraId="090EA9D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84" w:name="_Toc31924"/>
      <w:bookmarkStart w:id="1285" w:name="_Toc9712"/>
      <w:bookmarkStart w:id="1286" w:name="_Toc10533"/>
      <w:bookmarkStart w:id="1287" w:name="_Toc1637"/>
      <w:bookmarkStart w:id="1288" w:name="_Toc234833136"/>
      <w:r>
        <w:rPr>
          <w:rFonts w:hint="default" w:ascii="Times New Roman" w:hAnsi="Times New Roman" w:eastAsia="黑体" w:cs="Times New Roman"/>
          <w:b w:val="0"/>
          <w:color w:val="auto"/>
          <w:sz w:val="24"/>
          <w:szCs w:val="24"/>
          <w:highlight w:val="none"/>
        </w:rPr>
        <w:t>4.1 承包人的一般义务</w:t>
      </w:r>
      <w:bookmarkEnd w:id="1284"/>
      <w:bookmarkEnd w:id="1285"/>
      <w:bookmarkEnd w:id="1286"/>
      <w:bookmarkEnd w:id="1287"/>
      <w:bookmarkEnd w:id="1288"/>
    </w:p>
    <w:p w14:paraId="6CA5197F">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 xml:space="preserve">工程的维护和照管 </w:t>
      </w:r>
    </w:p>
    <w:p w14:paraId="28F5983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3468240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5D51B3B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68CDD88D">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628D19A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B89F41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临时占地由承包人向当地政府土地管理部门申请，并办理租用手续，承包人按有关规定直接支付其费用，发包人对此将予以协调。</w:t>
      </w:r>
    </w:p>
    <w:p w14:paraId="58B7F8D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临时占地计划表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44E824B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25FB3E8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09DAF8B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1C7F319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包工头</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或其他不具备用工主体资格的组织和个人。</w:t>
      </w:r>
    </w:p>
    <w:p w14:paraId="0E19298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工资支付表应如实记录支付单位、支付时间、支付对象、支付数额、支付对象的身份证号和签字等信息。民工花名册和工资支付表应报监理人备查。</w:t>
      </w:r>
    </w:p>
    <w:p w14:paraId="6D24D49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14F81A5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416140F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（6）承包人应履行项目专用合同条款约定的其他义务。</w:t>
      </w:r>
    </w:p>
    <w:p w14:paraId="612862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89" w:name="_Toc5952"/>
      <w:bookmarkStart w:id="1290" w:name="_Toc16581"/>
      <w:bookmarkStart w:id="1291" w:name="_Toc29645"/>
      <w:bookmarkStart w:id="1292" w:name="_Toc19692"/>
      <w:bookmarkStart w:id="1293" w:name="_Toc234833137"/>
      <w:r>
        <w:rPr>
          <w:rFonts w:hint="default" w:ascii="Times New Roman" w:hAnsi="Times New Roman" w:eastAsia="黑体" w:cs="Times New Roman"/>
          <w:b w:val="0"/>
          <w:color w:val="auto"/>
          <w:sz w:val="24"/>
          <w:szCs w:val="24"/>
          <w:highlight w:val="none"/>
        </w:rPr>
        <w:t>4.2 履约保证金</w:t>
      </w:r>
      <w:bookmarkEnd w:id="1289"/>
      <w:bookmarkEnd w:id="1290"/>
      <w:bookmarkEnd w:id="1291"/>
      <w:bookmarkEnd w:id="1292"/>
    </w:p>
    <w:p w14:paraId="01047A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6B9D8B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承包人应保证其履约保证金在发包人签发交工验收证书且承包人按照合同约定缴纳质量保证金前一直有效。发包人应在收到承包人缴纳的质量保证金后28天内将履约保证金退还给承包人。</w:t>
      </w:r>
    </w:p>
    <w:p w14:paraId="29D9F7B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承包人拒绝按照本合同约定缴纳质量保证金的，发包人有权从交工付款证书中扣留相应金额作为质量保证金，或者直接将履约保证金金额用于保证承包人在缺陷责任期内履行缺陷修复义务。</w:t>
      </w:r>
    </w:p>
    <w:p w14:paraId="2DA8F60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4" w:name="_Toc25400"/>
      <w:bookmarkStart w:id="1295" w:name="_Toc32680"/>
      <w:bookmarkStart w:id="1296" w:name="_Toc1237"/>
      <w:bookmarkStart w:id="1297" w:name="_Toc31152"/>
      <w:r>
        <w:rPr>
          <w:rFonts w:hint="default" w:ascii="Times New Roman" w:hAnsi="Times New Roman" w:eastAsia="黑体" w:cs="Times New Roman"/>
          <w:b w:val="0"/>
          <w:color w:val="auto"/>
          <w:sz w:val="24"/>
          <w:szCs w:val="24"/>
          <w:highlight w:val="none"/>
        </w:rPr>
        <w:t>4.3 分包</w:t>
      </w:r>
      <w:bookmarkEnd w:id="1293"/>
      <w:bookmarkEnd w:id="1294"/>
      <w:bookmarkEnd w:id="1295"/>
      <w:bookmarkEnd w:id="1296"/>
      <w:bookmarkEnd w:id="1297"/>
    </w:p>
    <w:p w14:paraId="7773AD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第4.3.2项～第4.3.4项细化为：</w:t>
      </w:r>
    </w:p>
    <w:p w14:paraId="1EDDAA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辽宁省公路工程施工分包管理实施细则》（辽交公路规〔2025〕1号）规定的负面清单所列主体和关键性工作分包给第三人。经发包人同意，承包人可将工程的其他部分或工作分包给第三人。分包包括专业分包和劳务分包。</w:t>
      </w:r>
    </w:p>
    <w:p w14:paraId="104D2E3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 专业分包</w:t>
      </w:r>
    </w:p>
    <w:p w14:paraId="51CD42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在工程施工过程中，承包人进行专业分包必须遵守以下规定：</w:t>
      </w:r>
    </w:p>
    <w:p w14:paraId="4F9AAD3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（1）允许专业分包的工程范围仅限于《辽宁省公路工程施工分包管理实施细则》（辽交公路规〔2025〕1号）</w:t>
      </w:r>
      <w:r>
        <w:rPr>
          <w:rFonts w:hint="eastAsia" w:cs="Times New Roman"/>
          <w:color w:val="auto"/>
          <w:sz w:val="24"/>
          <w:highlight w:val="none"/>
          <w:lang w:val="en-US" w:eastAsia="zh-CN"/>
        </w:rPr>
        <w:t>规定的负面清单以外的部分单位工程、分部工程或者分项工程</w:t>
      </w:r>
      <w:r>
        <w:rPr>
          <w:rFonts w:hint="default" w:ascii="Times New Roman" w:hAnsi="Times New Roman" w:cs="Times New Roman"/>
          <w:color w:val="auto"/>
          <w:sz w:val="24"/>
          <w:highlight w:val="none"/>
        </w:rPr>
        <w:t>。</w:t>
      </w:r>
    </w:p>
    <w:p w14:paraId="6CC4D7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（2）专业分包人的资格能力（含安全生产能力）应与其分包工程的标准和规模相适应，且应当具备如下条件：</w:t>
      </w:r>
    </w:p>
    <w:p w14:paraId="06E708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具有经依法登记的法人资格；</w:t>
      </w:r>
    </w:p>
    <w:p w14:paraId="44427A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b. 具有从事类似工程经验的管理与技术人员； </w:t>
      </w:r>
    </w:p>
    <w:p w14:paraId="637546EB">
      <w:pPr>
        <w:pageBreakBefore w:val="0"/>
        <w:kinsoku/>
        <w:wordWrap w:val="0"/>
        <w:bidi w:val="0"/>
        <w:spacing w:line="400" w:lineRule="atLeast"/>
        <w:ind w:firstLine="480" w:firstLineChars="200"/>
        <w:rPr>
          <w:rFonts w:hint="eastAsia" w:cs="Times New Roman"/>
          <w:color w:val="auto"/>
          <w:sz w:val="24"/>
          <w:highlight w:val="none"/>
          <w:lang w:eastAsia="zh-CN"/>
        </w:rPr>
      </w:pPr>
      <w:r>
        <w:rPr>
          <w:rFonts w:hint="default" w:ascii="Times New Roman" w:hAnsi="Times New Roman" w:cs="Times New Roman"/>
          <w:color w:val="auto"/>
          <w:sz w:val="24"/>
          <w:highlight w:val="none"/>
        </w:rPr>
        <w:t>c. 具有（自有或者租赁）分包工程所需的施工设备和辅助设施</w:t>
      </w:r>
      <w:r>
        <w:rPr>
          <w:rFonts w:hint="eastAsia" w:cs="Times New Roman"/>
          <w:color w:val="auto"/>
          <w:sz w:val="24"/>
          <w:highlight w:val="none"/>
          <w:lang w:eastAsia="zh-CN"/>
        </w:rPr>
        <w:t>；</w:t>
      </w:r>
    </w:p>
    <w:p w14:paraId="7366BE00">
      <w:pPr>
        <w:pageBreakBefore w:val="0"/>
        <w:kinsoku/>
        <w:wordWrap w:val="0"/>
        <w:bidi w:val="0"/>
        <w:spacing w:line="400" w:lineRule="atLeas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d.单位工程设有资质要求的，单位工程及所含分部工程、分项工程的分包人，应当具备国家规定的相应专业承包资质条件;</w:t>
      </w:r>
    </w:p>
    <w:p w14:paraId="1389F25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e.其他单位工程及所含分部工程、分项工程的分包人，应当具备发包人确定的资格条件，但不得违反法律法规等相关规定</w:t>
      </w:r>
      <w:r>
        <w:rPr>
          <w:rFonts w:hint="default" w:ascii="Times New Roman" w:hAnsi="Times New Roman" w:cs="Times New Roman"/>
          <w:color w:val="auto"/>
          <w:sz w:val="24"/>
          <w:highlight w:val="none"/>
        </w:rPr>
        <w:t>。</w:t>
      </w:r>
    </w:p>
    <w:p w14:paraId="44F63D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承包人应向监理人提交专业分包人的资格能力证明材料，经监理人审查并报发包人批准后，可以将相应专业工程分包给该专业分包人。</w:t>
      </w:r>
    </w:p>
    <w:p w14:paraId="20EFD4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（3）专业分包工程不得再次分包。</w:t>
      </w:r>
    </w:p>
    <w:p w14:paraId="231AE8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3E345B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55D6CC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27A0BC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516A4F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0381F43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40C1E7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 劳务分包</w:t>
      </w:r>
    </w:p>
    <w:p w14:paraId="5E7E3F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在工程施工过程中，承包人进行劳务分包必须遵守以下规定：</w:t>
      </w:r>
    </w:p>
    <w:p w14:paraId="1F842B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（1）劳务分包人应具有施工劳务资质。</w:t>
      </w:r>
    </w:p>
    <w:p w14:paraId="7B0725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605DE7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雇用的劳务作业应加入到承包人的施工班组统一管理。有关施工质量、施工安全、施工进度、环境保护、技术方案、试验检测、材料保管与供应、机械设备等都必须由承包人管理与调配，不得以包代管。</w:t>
      </w:r>
    </w:p>
    <w:p w14:paraId="191F72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（4）承包人应当对劳务分包人员进行安全培训和管理，劳务分包人不得将其分包的劳务作业再次分包。</w:t>
      </w:r>
    </w:p>
    <w:p w14:paraId="0E5480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3DC2FC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本款补充第4.3.6项、第4.3.7项：</w:t>
      </w:r>
    </w:p>
    <w:p w14:paraId="242943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4.3.6 发包人对承包人与分包人之间的法律与经济纠纷不承担任何责任和义务。</w:t>
      </w:r>
    </w:p>
    <w:p w14:paraId="1AD73A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4.3.7 本项目的各项分包工作均应遵守《公路工程施工分包管理办法》的有关规定。</w:t>
      </w:r>
    </w:p>
    <w:p w14:paraId="452A9CA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8" w:name="_Toc13827"/>
      <w:bookmarkStart w:id="1299" w:name="_Toc29289"/>
      <w:bookmarkStart w:id="1300" w:name="_Toc29009"/>
      <w:bookmarkStart w:id="1301" w:name="_Toc234833138"/>
      <w:bookmarkStart w:id="1302" w:name="_Toc32168"/>
      <w:r>
        <w:rPr>
          <w:rFonts w:hint="default" w:ascii="Times New Roman" w:hAnsi="Times New Roman" w:eastAsia="黑体" w:cs="Times New Roman"/>
          <w:b w:val="0"/>
          <w:color w:val="auto"/>
          <w:sz w:val="24"/>
          <w:szCs w:val="24"/>
          <w:highlight w:val="none"/>
        </w:rPr>
        <w:t>4.4联合体</w:t>
      </w:r>
      <w:bookmarkEnd w:id="1298"/>
      <w:bookmarkEnd w:id="1299"/>
      <w:bookmarkEnd w:id="1300"/>
      <w:bookmarkEnd w:id="1301"/>
      <w:bookmarkEnd w:id="1302"/>
    </w:p>
    <w:p w14:paraId="6912B4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本款补充第4.4.4项：</w:t>
      </w:r>
    </w:p>
    <w:p w14:paraId="4889E9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4.4.4未经发包人事先同意，联合体的组成与结构不得变动。</w:t>
      </w:r>
    </w:p>
    <w:p w14:paraId="55B307E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03" w:name="_Toc13791"/>
      <w:bookmarkStart w:id="1304" w:name="_Toc2858"/>
      <w:bookmarkStart w:id="1305" w:name="_Toc13104"/>
      <w:bookmarkStart w:id="1306" w:name="_Toc12253"/>
      <w:bookmarkStart w:id="1307" w:name="_Toc234833139"/>
      <w:r>
        <w:rPr>
          <w:rFonts w:hint="default" w:ascii="Times New Roman" w:hAnsi="Times New Roman" w:eastAsia="黑体" w:cs="Times New Roman"/>
          <w:b w:val="0"/>
          <w:color w:val="auto"/>
          <w:sz w:val="24"/>
          <w:szCs w:val="24"/>
          <w:highlight w:val="none"/>
        </w:rPr>
        <w:t>4.6 承包人人员的管理</w:t>
      </w:r>
      <w:bookmarkEnd w:id="1303"/>
      <w:bookmarkEnd w:id="1304"/>
      <w:bookmarkEnd w:id="1305"/>
      <w:bookmarkEnd w:id="1306"/>
      <w:bookmarkEnd w:id="1307"/>
    </w:p>
    <w:p w14:paraId="1E972D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第4.6.3项细化为：</w:t>
      </w:r>
    </w:p>
    <w:p w14:paraId="6134BB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221DC0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本款补充第4.6.5项：</w:t>
      </w:r>
    </w:p>
    <w:p w14:paraId="657825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4.6.5 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4428441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08" w:name="_Toc3046"/>
      <w:bookmarkStart w:id="1309" w:name="_Toc234833140"/>
      <w:bookmarkStart w:id="1310" w:name="_Toc6774"/>
      <w:bookmarkStart w:id="1311" w:name="_Toc20923"/>
      <w:bookmarkStart w:id="1312" w:name="_Toc16403"/>
      <w:r>
        <w:rPr>
          <w:rFonts w:hint="default" w:ascii="Times New Roman" w:hAnsi="Times New Roman" w:eastAsia="黑体" w:cs="Times New Roman"/>
          <w:b w:val="0"/>
          <w:color w:val="auto"/>
          <w:sz w:val="24"/>
          <w:szCs w:val="24"/>
          <w:highlight w:val="none"/>
        </w:rPr>
        <w:t>4.7 撤换承包人项目经理和其他人员</w:t>
      </w:r>
      <w:bookmarkEnd w:id="1308"/>
      <w:bookmarkEnd w:id="1309"/>
      <w:bookmarkEnd w:id="1310"/>
      <w:bookmarkEnd w:id="1311"/>
      <w:bookmarkEnd w:id="1312"/>
    </w:p>
    <w:p w14:paraId="7519513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6BE6D62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2279769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3" w:name="_Toc22693"/>
      <w:bookmarkStart w:id="1314" w:name="_Toc234833141"/>
      <w:bookmarkStart w:id="1315" w:name="_Toc5979"/>
      <w:bookmarkStart w:id="1316" w:name="_Toc4005"/>
      <w:bookmarkStart w:id="1317" w:name="_Toc6730"/>
      <w:r>
        <w:rPr>
          <w:rFonts w:hint="default" w:ascii="Times New Roman" w:hAnsi="Times New Roman" w:eastAsia="黑体" w:cs="Times New Roman"/>
          <w:b w:val="0"/>
          <w:color w:val="auto"/>
          <w:sz w:val="24"/>
          <w:szCs w:val="24"/>
          <w:highlight w:val="none"/>
        </w:rPr>
        <w:t>4.9 工程价款应专款专用</w:t>
      </w:r>
      <w:bookmarkEnd w:id="1313"/>
      <w:bookmarkEnd w:id="1314"/>
      <w:bookmarkEnd w:id="1315"/>
      <w:bookmarkEnd w:id="1316"/>
      <w:bookmarkEnd w:id="1317"/>
    </w:p>
    <w:p w14:paraId="256385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314D07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3D7A18C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8" w:name="_Toc2824"/>
      <w:bookmarkStart w:id="1319" w:name="_Toc14913"/>
      <w:bookmarkStart w:id="1320" w:name="_Toc5299"/>
      <w:bookmarkStart w:id="1321" w:name="_Toc23321"/>
      <w:bookmarkStart w:id="1322" w:name="_Toc234833142"/>
      <w:r>
        <w:rPr>
          <w:rFonts w:hint="default" w:ascii="Times New Roman" w:hAnsi="Times New Roman" w:eastAsia="黑体" w:cs="Times New Roman"/>
          <w:b w:val="0"/>
          <w:color w:val="auto"/>
          <w:sz w:val="24"/>
          <w:szCs w:val="24"/>
          <w:highlight w:val="none"/>
        </w:rPr>
        <w:t>4.10 承包人现场查勘</w:t>
      </w:r>
      <w:bookmarkEnd w:id="1318"/>
      <w:bookmarkEnd w:id="1319"/>
      <w:bookmarkEnd w:id="1320"/>
      <w:bookmarkEnd w:id="1321"/>
      <w:bookmarkEnd w:id="1322"/>
      <w:r>
        <w:rPr>
          <w:rFonts w:hint="default" w:ascii="Times New Roman" w:hAnsi="Times New Roman" w:eastAsia="黑体" w:cs="Times New Roman"/>
          <w:b w:val="0"/>
          <w:color w:val="auto"/>
          <w:sz w:val="24"/>
          <w:szCs w:val="24"/>
          <w:highlight w:val="none"/>
        </w:rPr>
        <w:t xml:space="preserve">    </w:t>
      </w:r>
    </w:p>
    <w:p w14:paraId="36DF5A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第4.10.1项细化为：</w:t>
      </w:r>
      <w:r>
        <w:rPr>
          <w:rStyle w:val="47"/>
          <w:rFonts w:hint="default" w:ascii="Times New Roman" w:hAnsi="Times New Roman" w:cs="Times New Roman"/>
          <w:color w:val="auto"/>
          <w:sz w:val="24"/>
          <w:highlight w:val="none"/>
        </w:rPr>
        <w:footnoteReference w:id="34"/>
      </w:r>
    </w:p>
    <w:p w14:paraId="2CE4F6F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52CD05F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23" w:name="_Toc234833143"/>
      <w:bookmarkStart w:id="1324" w:name="_Toc15362"/>
      <w:bookmarkStart w:id="1325" w:name="_Toc29003"/>
      <w:bookmarkStart w:id="1326" w:name="_Toc29737"/>
      <w:bookmarkStart w:id="1327" w:name="_Toc26327"/>
      <w:r>
        <w:rPr>
          <w:rFonts w:hint="default" w:ascii="Times New Roman" w:hAnsi="Times New Roman" w:eastAsia="黑体" w:cs="Times New Roman"/>
          <w:b w:val="0"/>
          <w:color w:val="auto"/>
          <w:sz w:val="24"/>
          <w:szCs w:val="24"/>
          <w:highlight w:val="none"/>
        </w:rPr>
        <w:t>4.11 不利物质条件</w:t>
      </w:r>
      <w:bookmarkEnd w:id="1323"/>
      <w:bookmarkEnd w:id="1324"/>
      <w:bookmarkEnd w:id="1325"/>
      <w:bookmarkEnd w:id="1326"/>
      <w:bookmarkEnd w:id="1327"/>
    </w:p>
    <w:p w14:paraId="067ED4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第4.11.2项细化为：</w:t>
      </w:r>
    </w:p>
    <w:p w14:paraId="4F96AD1C">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6B417FF4">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本款补充第4.11.3项：</w:t>
      </w:r>
    </w:p>
    <w:p w14:paraId="44149F92">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4.11.3 可预见的不利物质条件</w:t>
      </w:r>
    </w:p>
    <w:p w14:paraId="2FB0E3B0">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（1）对于项目专用合同条款中已经明确指出的不利物质条件无论承包人是否有其经历和经验均视为承包人在接受合同时已预见其影响，并已在签约合同价中计入因其影响而可能发生的一切费用。</w:t>
      </w:r>
    </w:p>
    <w:p w14:paraId="02AD7561">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（2）对于项目专用合同条款未明确指出，但是在不利物质条件发生之前，监理人已经指示承包人有可能发生，但承包人未能及时采取有效措施，而导致的损失和后果均由承包人承担。</w:t>
      </w:r>
    </w:p>
    <w:p w14:paraId="2C5DF6A5">
      <w:pPr>
        <w:pageBreakBefore w:val="0"/>
        <w:kinsoku/>
        <w:wordWrap w:val="0"/>
        <w:bidi w:val="0"/>
        <w:spacing w:line="400" w:lineRule="atLeast"/>
        <w:rPr>
          <w:rFonts w:hint="default" w:ascii="Times New Roman" w:hAnsi="Times New Roman" w:cs="Times New Roman"/>
          <w:color w:val="auto"/>
          <w:sz w:val="24"/>
          <w:highlight w:val="none"/>
        </w:rPr>
      </w:pPr>
    </w:p>
    <w:p w14:paraId="3471776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补充第4.12款、第4.13款：</w:t>
      </w:r>
    </w:p>
    <w:p w14:paraId="65703BE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28" w:name="_Toc6244"/>
      <w:bookmarkStart w:id="1329" w:name="_Toc30842"/>
      <w:bookmarkStart w:id="1330" w:name="_Toc4142"/>
      <w:bookmarkStart w:id="1331" w:name="_Toc13171"/>
      <w:bookmarkStart w:id="1332" w:name="_Toc234833144"/>
      <w:r>
        <w:rPr>
          <w:rFonts w:hint="default" w:ascii="Times New Roman" w:hAnsi="Times New Roman" w:eastAsia="黑体" w:cs="Times New Roman"/>
          <w:b w:val="0"/>
          <w:color w:val="auto"/>
          <w:sz w:val="24"/>
          <w:szCs w:val="24"/>
          <w:highlight w:val="none"/>
        </w:rPr>
        <w:t>4.12 投标文件的完备性</w:t>
      </w:r>
      <w:bookmarkEnd w:id="1328"/>
      <w:bookmarkEnd w:id="1329"/>
      <w:bookmarkEnd w:id="1330"/>
      <w:bookmarkEnd w:id="1331"/>
      <w:bookmarkEnd w:id="1332"/>
    </w:p>
    <w:p w14:paraId="234234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36353F1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33" w:name="_Toc18033"/>
      <w:bookmarkStart w:id="1334" w:name="_Toc14467"/>
      <w:bookmarkStart w:id="1335" w:name="_Toc4019"/>
      <w:bookmarkStart w:id="1336" w:name="_Toc31801"/>
      <w:r>
        <w:rPr>
          <w:rFonts w:hint="default" w:ascii="Times New Roman" w:hAnsi="Times New Roman" w:eastAsia="黑体" w:cs="Times New Roman"/>
          <w:b w:val="0"/>
          <w:color w:val="auto"/>
          <w:sz w:val="24"/>
          <w:szCs w:val="24"/>
          <w:highlight w:val="none"/>
        </w:rPr>
        <w:t>4.13 开展党建工作要求</w:t>
      </w:r>
      <w:bookmarkEnd w:id="1333"/>
      <w:bookmarkEnd w:id="1334"/>
      <w:bookmarkEnd w:id="1335"/>
      <w:bookmarkEnd w:id="1336"/>
    </w:p>
    <w:p w14:paraId="2C15DFB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40C611A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0042E63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37" w:name="_Toc21286"/>
      <w:bookmarkStart w:id="1338" w:name="_Toc17097"/>
      <w:bookmarkStart w:id="1339" w:name="_Toc26645"/>
      <w:bookmarkStart w:id="1340" w:name="_Toc234833145"/>
      <w:bookmarkStart w:id="1341" w:name="_Toc29830"/>
      <w:r>
        <w:rPr>
          <w:rFonts w:hint="default" w:ascii="Times New Roman" w:hAnsi="Times New Roman" w:eastAsia="黑体" w:cs="Times New Roman"/>
          <w:b w:val="0"/>
          <w:color w:val="auto"/>
          <w:sz w:val="28"/>
          <w:szCs w:val="28"/>
          <w:highlight w:val="none"/>
        </w:rPr>
        <w:t>5. 材料和工程设备</w:t>
      </w:r>
      <w:bookmarkEnd w:id="1337"/>
      <w:bookmarkEnd w:id="1338"/>
      <w:bookmarkEnd w:id="1339"/>
      <w:bookmarkEnd w:id="1340"/>
      <w:bookmarkEnd w:id="1341"/>
    </w:p>
    <w:p w14:paraId="0BB1280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42" w:name="_Toc24736"/>
      <w:bookmarkStart w:id="1343" w:name="_Toc25319"/>
      <w:bookmarkStart w:id="1344" w:name="_Toc234833146"/>
      <w:bookmarkStart w:id="1345" w:name="_Toc25834"/>
      <w:bookmarkStart w:id="1346" w:name="_Toc6846"/>
      <w:r>
        <w:rPr>
          <w:rFonts w:hint="default" w:ascii="Times New Roman" w:hAnsi="Times New Roman" w:eastAsia="黑体" w:cs="Times New Roman"/>
          <w:b w:val="0"/>
          <w:color w:val="auto"/>
          <w:sz w:val="24"/>
          <w:szCs w:val="24"/>
          <w:highlight w:val="none"/>
        </w:rPr>
        <w:t>5.2 发包人提供的材料和工程设备</w:t>
      </w:r>
      <w:bookmarkEnd w:id="1342"/>
      <w:bookmarkEnd w:id="1343"/>
      <w:bookmarkEnd w:id="1344"/>
      <w:bookmarkEnd w:id="1345"/>
      <w:bookmarkEnd w:id="1346"/>
    </w:p>
    <w:p w14:paraId="45A68A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第5.2.3项补充：</w:t>
      </w:r>
    </w:p>
    <w:p w14:paraId="35890C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2339B1D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47" w:name="_Toc7033"/>
      <w:bookmarkStart w:id="1348" w:name="_Toc234833147"/>
      <w:bookmarkStart w:id="1349" w:name="_Toc11578"/>
      <w:bookmarkStart w:id="1350" w:name="_Toc19827"/>
      <w:bookmarkStart w:id="1351" w:name="_Toc11315"/>
      <w:r>
        <w:rPr>
          <w:rFonts w:hint="default" w:ascii="Times New Roman" w:hAnsi="Times New Roman" w:eastAsia="黑体" w:cs="Times New Roman"/>
          <w:b w:val="0"/>
          <w:color w:val="auto"/>
          <w:sz w:val="28"/>
          <w:szCs w:val="28"/>
          <w:highlight w:val="none"/>
        </w:rPr>
        <w:t>6. 施工设备和临时设施</w:t>
      </w:r>
      <w:bookmarkEnd w:id="1347"/>
      <w:bookmarkEnd w:id="1348"/>
      <w:bookmarkEnd w:id="1349"/>
      <w:bookmarkEnd w:id="1350"/>
      <w:bookmarkEnd w:id="1351"/>
      <w:r>
        <w:rPr>
          <w:rFonts w:hint="default" w:ascii="Times New Roman" w:hAnsi="Times New Roman" w:eastAsia="黑体" w:cs="Times New Roman"/>
          <w:b w:val="0"/>
          <w:color w:val="auto"/>
          <w:sz w:val="28"/>
          <w:szCs w:val="28"/>
          <w:highlight w:val="none"/>
        </w:rPr>
        <w:t xml:space="preserve"> </w:t>
      </w:r>
    </w:p>
    <w:p w14:paraId="7F97711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52" w:name="_Toc24564"/>
      <w:bookmarkStart w:id="1353" w:name="_Toc13056"/>
      <w:bookmarkStart w:id="1354" w:name="_Toc234833148"/>
      <w:bookmarkStart w:id="1355" w:name="_Toc24822"/>
      <w:bookmarkStart w:id="1356" w:name="_Toc26020"/>
      <w:r>
        <w:rPr>
          <w:rFonts w:hint="default" w:ascii="Times New Roman" w:hAnsi="Times New Roman" w:eastAsia="黑体" w:cs="Times New Roman"/>
          <w:b w:val="0"/>
          <w:color w:val="auto"/>
          <w:sz w:val="24"/>
          <w:szCs w:val="24"/>
          <w:highlight w:val="none"/>
        </w:rPr>
        <w:t>6.1 承包人提供的施工设备和临时设施</w:t>
      </w:r>
      <w:bookmarkEnd w:id="1352"/>
      <w:bookmarkEnd w:id="1353"/>
      <w:bookmarkEnd w:id="1354"/>
      <w:bookmarkEnd w:id="1355"/>
      <w:bookmarkEnd w:id="1356"/>
    </w:p>
    <w:p w14:paraId="3D151922">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第6.1.2项约定为：</w:t>
      </w:r>
    </w:p>
    <w:p w14:paraId="40EB37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承包人应自行承担修建临时设施的费用，需要临时占地的，应由承包人按第4.1.10项（1）目的规定办理。</w:t>
      </w:r>
    </w:p>
    <w:p w14:paraId="1A1CC01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57" w:name="_Toc10697"/>
      <w:bookmarkStart w:id="1358" w:name="_Toc28402"/>
      <w:bookmarkStart w:id="1359" w:name="_Toc15629"/>
      <w:bookmarkStart w:id="1360" w:name="_Toc17575"/>
      <w:bookmarkStart w:id="1361" w:name="_Toc234833149"/>
      <w:r>
        <w:rPr>
          <w:rFonts w:hint="default" w:ascii="Times New Roman" w:hAnsi="Times New Roman" w:eastAsia="黑体" w:cs="Times New Roman"/>
          <w:b w:val="0"/>
          <w:color w:val="auto"/>
          <w:sz w:val="24"/>
          <w:szCs w:val="24"/>
          <w:highlight w:val="none"/>
        </w:rPr>
        <w:t>6.3 要求承包人增加或更换施工设备</w:t>
      </w:r>
      <w:bookmarkEnd w:id="1357"/>
      <w:bookmarkEnd w:id="1358"/>
      <w:bookmarkEnd w:id="1359"/>
      <w:bookmarkEnd w:id="1360"/>
      <w:bookmarkEnd w:id="1361"/>
    </w:p>
    <w:p w14:paraId="52170A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332427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085776B5">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62" w:name="_Toc28894"/>
      <w:bookmarkStart w:id="1363" w:name="_Toc234833150"/>
      <w:bookmarkStart w:id="1364" w:name="_Toc30626"/>
      <w:bookmarkStart w:id="1365" w:name="_Toc13743"/>
      <w:bookmarkStart w:id="1366" w:name="_Toc31348"/>
      <w:r>
        <w:rPr>
          <w:rFonts w:hint="default" w:ascii="Times New Roman" w:hAnsi="Times New Roman" w:eastAsia="黑体" w:cs="Times New Roman"/>
          <w:b w:val="0"/>
          <w:color w:val="auto"/>
          <w:sz w:val="28"/>
          <w:szCs w:val="28"/>
          <w:highlight w:val="none"/>
        </w:rPr>
        <w:t>7. 交通运输</w:t>
      </w:r>
      <w:bookmarkEnd w:id="1362"/>
      <w:bookmarkEnd w:id="1363"/>
      <w:bookmarkEnd w:id="1364"/>
      <w:bookmarkEnd w:id="1365"/>
      <w:bookmarkEnd w:id="1366"/>
      <w:r>
        <w:rPr>
          <w:rFonts w:hint="default" w:ascii="Times New Roman" w:hAnsi="Times New Roman" w:eastAsia="黑体" w:cs="Times New Roman"/>
          <w:b w:val="0"/>
          <w:color w:val="auto"/>
          <w:sz w:val="28"/>
          <w:szCs w:val="28"/>
          <w:highlight w:val="none"/>
        </w:rPr>
        <w:t xml:space="preserve"> </w:t>
      </w:r>
    </w:p>
    <w:p w14:paraId="4368E3A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67" w:name="_Toc3580"/>
      <w:bookmarkStart w:id="1368" w:name="_Toc234833151"/>
      <w:bookmarkStart w:id="1369" w:name="_Toc9360"/>
      <w:bookmarkStart w:id="1370" w:name="_Toc24391"/>
      <w:bookmarkStart w:id="1371" w:name="_Toc23400"/>
      <w:r>
        <w:rPr>
          <w:rFonts w:hint="default" w:ascii="Times New Roman" w:hAnsi="Times New Roman" w:eastAsia="黑体" w:cs="Times New Roman"/>
          <w:b w:val="0"/>
          <w:color w:val="auto"/>
          <w:sz w:val="24"/>
          <w:szCs w:val="24"/>
          <w:highlight w:val="none"/>
        </w:rPr>
        <w:t>7.1 道路通行权和场外设施</w:t>
      </w:r>
      <w:bookmarkEnd w:id="1367"/>
      <w:bookmarkEnd w:id="1368"/>
      <w:bookmarkEnd w:id="1369"/>
      <w:bookmarkEnd w:id="1370"/>
      <w:bookmarkEnd w:id="1371"/>
    </w:p>
    <w:p w14:paraId="0A3E8767">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15C67C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34747C5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72" w:name="_Toc5379"/>
      <w:bookmarkStart w:id="1373" w:name="_Toc13868"/>
      <w:bookmarkStart w:id="1374" w:name="_Toc6333"/>
      <w:bookmarkStart w:id="1375" w:name="_Toc234833152"/>
      <w:bookmarkStart w:id="1376" w:name="_Toc31528"/>
      <w:r>
        <w:rPr>
          <w:rFonts w:hint="default" w:ascii="Times New Roman" w:hAnsi="Times New Roman" w:eastAsia="黑体" w:cs="Times New Roman"/>
          <w:b w:val="0"/>
          <w:color w:val="auto"/>
          <w:sz w:val="28"/>
          <w:szCs w:val="28"/>
          <w:highlight w:val="none"/>
        </w:rPr>
        <w:t>8. 测量放线</w:t>
      </w:r>
      <w:bookmarkEnd w:id="1372"/>
      <w:bookmarkEnd w:id="1373"/>
      <w:bookmarkEnd w:id="1374"/>
      <w:bookmarkEnd w:id="1375"/>
      <w:bookmarkEnd w:id="1376"/>
    </w:p>
    <w:p w14:paraId="34B789B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77" w:name="_Toc14863"/>
      <w:bookmarkStart w:id="1378" w:name="_Toc6917"/>
      <w:bookmarkStart w:id="1379" w:name="_Toc26266"/>
      <w:bookmarkStart w:id="1380" w:name="_Toc26436"/>
      <w:bookmarkStart w:id="1381" w:name="_Toc234833153"/>
      <w:r>
        <w:rPr>
          <w:rFonts w:hint="default" w:ascii="Times New Roman" w:hAnsi="Times New Roman" w:eastAsia="黑体" w:cs="Times New Roman"/>
          <w:b w:val="0"/>
          <w:color w:val="auto"/>
          <w:sz w:val="24"/>
          <w:szCs w:val="24"/>
          <w:highlight w:val="none"/>
        </w:rPr>
        <w:t>8.4 监理人使用施工控制网</w:t>
      </w:r>
      <w:bookmarkEnd w:id="1377"/>
      <w:bookmarkEnd w:id="1378"/>
      <w:bookmarkEnd w:id="1379"/>
      <w:bookmarkEnd w:id="1380"/>
      <w:bookmarkEnd w:id="1381"/>
    </w:p>
    <w:p w14:paraId="7AD1FB7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4FC8B68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经监理人批准，其他相关承包人也可免费使用施工控制网。</w:t>
      </w:r>
    </w:p>
    <w:p w14:paraId="52F0E3E0">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82" w:name="_Toc22517"/>
      <w:bookmarkStart w:id="1383" w:name="_Toc13649"/>
      <w:bookmarkStart w:id="1384" w:name="_Toc31525"/>
      <w:bookmarkStart w:id="1385" w:name="_Toc18932"/>
      <w:bookmarkStart w:id="1386" w:name="_Toc234833154"/>
      <w:r>
        <w:rPr>
          <w:rFonts w:hint="default" w:ascii="Times New Roman" w:hAnsi="Times New Roman" w:eastAsia="黑体" w:cs="Times New Roman"/>
          <w:b w:val="0"/>
          <w:color w:val="auto"/>
          <w:sz w:val="28"/>
          <w:szCs w:val="28"/>
          <w:highlight w:val="none"/>
        </w:rPr>
        <w:t>9. 施工安全、治安保卫和环境保护</w:t>
      </w:r>
      <w:bookmarkEnd w:id="1382"/>
      <w:bookmarkEnd w:id="1383"/>
      <w:bookmarkEnd w:id="1384"/>
      <w:bookmarkEnd w:id="1385"/>
      <w:bookmarkEnd w:id="1386"/>
    </w:p>
    <w:p w14:paraId="7965977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87" w:name="_Toc12442"/>
      <w:bookmarkStart w:id="1388" w:name="_Toc234833155"/>
      <w:bookmarkStart w:id="1389" w:name="_Toc15856"/>
      <w:bookmarkStart w:id="1390" w:name="_Toc13960"/>
      <w:bookmarkStart w:id="1391" w:name="_Toc22581"/>
      <w:r>
        <w:rPr>
          <w:rFonts w:hint="default" w:ascii="Times New Roman" w:hAnsi="Times New Roman" w:eastAsia="黑体" w:cs="Times New Roman"/>
          <w:b w:val="0"/>
          <w:color w:val="auto"/>
          <w:sz w:val="24"/>
          <w:szCs w:val="24"/>
          <w:highlight w:val="none"/>
        </w:rPr>
        <w:t>9.2 承包人的施工安全责任</w:t>
      </w:r>
      <w:bookmarkEnd w:id="1387"/>
      <w:bookmarkEnd w:id="1388"/>
      <w:bookmarkEnd w:id="1389"/>
      <w:bookmarkEnd w:id="1390"/>
      <w:bookmarkEnd w:id="1391"/>
    </w:p>
    <w:p w14:paraId="7130684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第9.2.1项细化为：</w:t>
      </w:r>
    </w:p>
    <w:p w14:paraId="70D783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24892E9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1B6986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本项目需要编制专项施工方案的工程包括但不限于以下内容：</w:t>
      </w:r>
    </w:p>
    <w:p w14:paraId="09D667D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（1）不良地质条件下有潜在危险性的土方、石方开挖；</w:t>
      </w:r>
    </w:p>
    <w:p w14:paraId="2DFC78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（2）滑坡和高边坡处理；</w:t>
      </w:r>
    </w:p>
    <w:p w14:paraId="0E33AB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（3）桩基础、挡墙基础、深水基础及围堰工程；</w:t>
      </w:r>
    </w:p>
    <w:p w14:paraId="592D5F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（4）桥梁工程中的梁、拱、柱等构件施工等；</w:t>
      </w:r>
    </w:p>
    <w:p w14:paraId="6C87D8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（5）隧道工程中的不良地质隧道、高瓦斯隧道等；</w:t>
      </w:r>
    </w:p>
    <w:p w14:paraId="61EFFD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（6）水上工程中的打桩船作业、施工船作业、外海孤岛作业、边通航边施工作业等；</w:t>
      </w:r>
    </w:p>
    <w:p w14:paraId="1DF32B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（7）水下工程中的水下焊接、混凝土浇筑、爆破工程等；</w:t>
      </w:r>
    </w:p>
    <w:p w14:paraId="356903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（8）爆破工程；</w:t>
      </w:r>
    </w:p>
    <w:p w14:paraId="2A94DD5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（9）大型临时工程中的大型支架、模板、便桥的架设与拆除；桥梁、码头的加固与拆除；</w:t>
      </w:r>
    </w:p>
    <w:p w14:paraId="4825E11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（10）其他危险性较大的工程。</w:t>
      </w:r>
    </w:p>
    <w:p w14:paraId="3397DEF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监理人和发包人在检查中发现有安全问题或有违反安全管理规章制度的情况时，可视为承包人违约，应按第22.1款的规定办理。</w:t>
      </w:r>
    </w:p>
    <w:p w14:paraId="49E3EBCA">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第9.2.5项细化为：</w:t>
      </w:r>
    </w:p>
    <w:p w14:paraId="45D2CE2D">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60D7E7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本款补充第9.2.8项~第9.2.11项：</w:t>
      </w:r>
    </w:p>
    <w:p w14:paraId="27BD53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9.2.8 承包人应充分关注和保障所有在现场工作的人员的安全，采取以下有效措施，使现场和本合同工程的实施保持有条不紊，以免使上述人员的安全受到威胁。</w:t>
      </w:r>
    </w:p>
    <w:p w14:paraId="2C2B95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（1）按《公路水运工程安全生产监督管理办法》规定的最低数量和资质条件配备专职安全生产管理人员；</w:t>
      </w:r>
    </w:p>
    <w:p w14:paraId="1D283E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3A4E0F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（3）所有施工机具设备和高空作业设备均应定期检查，并有安全员的签字记录；</w:t>
      </w:r>
    </w:p>
    <w:p w14:paraId="3E40C79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（4）根据本合同各单位工程的施工特点，严格执行《公路水运工程安全生产监督管理办法》《公路工程施工安全技术规范》等有关规定。</w:t>
      </w:r>
    </w:p>
    <w:p w14:paraId="70DB6F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9.2.9 为了保护本合同工程免遭损坏，或为了现场附近和过往群众的安全与方便，在确有必要的时候和地方，或当监理人或有关主管部门要求时，承包人应自费提供照明、警卫、护栅、警告标志等安全防护设施。</w:t>
      </w:r>
    </w:p>
    <w:p w14:paraId="6BF5D82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9.2.10 在通航水域施工时，承包人应与当地主管部门取得联系，设置必要的导航标志，及时发布航行通告，确保施工水域安全。</w:t>
      </w:r>
    </w:p>
    <w:p w14:paraId="1CF4A42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06C6DCD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92" w:name="_Toc22668"/>
      <w:bookmarkStart w:id="1393" w:name="_Toc4067"/>
      <w:bookmarkStart w:id="1394" w:name="_Toc3892"/>
      <w:bookmarkStart w:id="1395" w:name="_Toc23200"/>
      <w:bookmarkStart w:id="1396" w:name="_Toc234833156"/>
      <w:r>
        <w:rPr>
          <w:rFonts w:hint="default" w:ascii="Times New Roman" w:hAnsi="Times New Roman" w:eastAsia="黑体" w:cs="Times New Roman"/>
          <w:b w:val="0"/>
          <w:color w:val="auto"/>
          <w:sz w:val="24"/>
          <w:szCs w:val="24"/>
          <w:highlight w:val="none"/>
        </w:rPr>
        <w:t>9.4 环境保护</w:t>
      </w:r>
      <w:bookmarkEnd w:id="1392"/>
      <w:bookmarkEnd w:id="1393"/>
      <w:bookmarkEnd w:id="1394"/>
      <w:bookmarkEnd w:id="1395"/>
      <w:bookmarkEnd w:id="1396"/>
    </w:p>
    <w:p w14:paraId="1DE105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本款补充第9.4.7项~第9.4.11项：</w:t>
      </w:r>
    </w:p>
    <w:p w14:paraId="7F2FA0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9.4.7 承包人应切实执行技术规范中有关环境保护方面的条款和规定。</w:t>
      </w:r>
    </w:p>
    <w:p w14:paraId="4CEED2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6E3090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（2）对于公路施工中粉尘污染的主要污染源――灰土拌和、施工车辆和筑路机械运行及运输产生的扬尘，应采取有效措施减轻其对施工现场的大气污染，保护人民健康，如：</w:t>
      </w:r>
    </w:p>
    <w:p w14:paraId="03B047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拌和设备应有较好的密封，或有防尘设备。</w:t>
      </w:r>
    </w:p>
    <w:p w14:paraId="668D502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施工通道、沥青混凝土拌和站及灰土拌和站应经常进行洒水降尘。</w:t>
      </w:r>
    </w:p>
    <w:p w14:paraId="430E31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路面施工应注意保持水分，以免扬尘。</w:t>
      </w:r>
    </w:p>
    <w:p w14:paraId="246E10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 隧道出渣和桥梁钻孔灌注桩施工时排出的泥浆要进行妥善处理，严禁向河流或农田排放。</w:t>
      </w:r>
    </w:p>
    <w:p w14:paraId="54452A9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（3）采取可靠措施保证原有交通的正常通行，维持沿线村镇的居民饮水、农田灌溉、生产生活用电及通信等管线的正常使用。</w:t>
      </w:r>
    </w:p>
    <w:p w14:paraId="6F2141F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9.4.8 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6AAF2B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9.4.9在施工期间，承包人应随时保持现场整洁，施工设备和材料、工程设备应整齐妥善存放和储存，废料与垃圾及不再需要的临时设施应及时从现场清除、拆除并运走。</w:t>
      </w:r>
    </w:p>
    <w:p w14:paraId="7CEAB8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7A551A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4FE42A1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97" w:name="_Toc14910"/>
      <w:bookmarkStart w:id="1398" w:name="_Toc2443"/>
      <w:bookmarkStart w:id="1399" w:name="_Toc234833157"/>
      <w:bookmarkStart w:id="1400" w:name="_Toc4201"/>
      <w:bookmarkStart w:id="1401" w:name="_Toc31300"/>
      <w:r>
        <w:rPr>
          <w:rFonts w:hint="default" w:ascii="Times New Roman" w:hAnsi="Times New Roman" w:eastAsia="黑体" w:cs="Times New Roman"/>
          <w:b w:val="0"/>
          <w:color w:val="auto"/>
          <w:sz w:val="28"/>
          <w:szCs w:val="28"/>
          <w:highlight w:val="none"/>
        </w:rPr>
        <w:t>10. 进度计划</w:t>
      </w:r>
      <w:bookmarkEnd w:id="1397"/>
      <w:bookmarkEnd w:id="1398"/>
      <w:bookmarkEnd w:id="1399"/>
      <w:bookmarkEnd w:id="1400"/>
      <w:bookmarkEnd w:id="1401"/>
    </w:p>
    <w:p w14:paraId="1298D08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02" w:name="_Toc31463"/>
      <w:bookmarkStart w:id="1403" w:name="_Toc13304"/>
      <w:bookmarkStart w:id="1404" w:name="_Toc30665"/>
      <w:bookmarkStart w:id="1405" w:name="_Toc19701"/>
      <w:bookmarkStart w:id="1406" w:name="_Toc234833158"/>
      <w:r>
        <w:rPr>
          <w:rFonts w:hint="default" w:ascii="Times New Roman" w:hAnsi="Times New Roman" w:eastAsia="黑体" w:cs="Times New Roman"/>
          <w:b w:val="0"/>
          <w:color w:val="auto"/>
          <w:sz w:val="24"/>
          <w:szCs w:val="24"/>
          <w:highlight w:val="none"/>
        </w:rPr>
        <w:t>10.1 合同进度计划</w:t>
      </w:r>
      <w:bookmarkEnd w:id="1402"/>
      <w:bookmarkEnd w:id="1403"/>
      <w:bookmarkEnd w:id="1404"/>
      <w:bookmarkEnd w:id="1405"/>
      <w:bookmarkEnd w:id="1406"/>
    </w:p>
    <w:p w14:paraId="58247C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57342A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承包人编制施工方案说明的内容见项目专用合同条款。</w:t>
      </w:r>
    </w:p>
    <w:p w14:paraId="3F8208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承包人向监理人报送施工进度计划和施工方案说明的期限：签订合同协议书后28天之内。</w:t>
      </w:r>
    </w:p>
    <w:p w14:paraId="006F13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监理人应在14天内对承包人施工进度计划和施工方案说明予以批复或提出修改意见。</w:t>
      </w:r>
    </w:p>
    <w:p w14:paraId="48840D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合同进度计划应按照关键线路网络图和主要工作横道图两种形式分别编绘，并应包括每月预计完成的工作量和形象进度。</w:t>
      </w:r>
    </w:p>
    <w:p w14:paraId="4E837A2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07" w:name="_Toc24615"/>
      <w:bookmarkStart w:id="1408" w:name="_Toc234833159"/>
      <w:bookmarkStart w:id="1409" w:name="_Toc22600"/>
      <w:bookmarkStart w:id="1410" w:name="_Toc6817"/>
      <w:bookmarkStart w:id="1411" w:name="_Toc16914"/>
      <w:r>
        <w:rPr>
          <w:rFonts w:hint="default" w:ascii="Times New Roman" w:hAnsi="Times New Roman" w:eastAsia="黑体" w:cs="Times New Roman"/>
          <w:b w:val="0"/>
          <w:color w:val="auto"/>
          <w:sz w:val="24"/>
          <w:szCs w:val="24"/>
          <w:highlight w:val="none"/>
        </w:rPr>
        <w:t>10.2 合同进度计划的修订</w:t>
      </w:r>
      <w:bookmarkEnd w:id="1407"/>
      <w:bookmarkEnd w:id="1408"/>
      <w:bookmarkEnd w:id="1409"/>
      <w:bookmarkEnd w:id="1410"/>
      <w:bookmarkEnd w:id="1411"/>
    </w:p>
    <w:p w14:paraId="74795DD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46E0F1E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承包人提交合同进度计划修订申请报告，并附有关措施和相关资料的期限：实际进度发生滞后的当月25日前。</w:t>
      </w:r>
    </w:p>
    <w:p w14:paraId="095AB73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监理人批复修订合同进度计划的期限：收到修订合同进度计划后14天内。</w:t>
      </w:r>
    </w:p>
    <w:p w14:paraId="73D9D3FC">
      <w:pPr>
        <w:pageBreakBefore w:val="0"/>
        <w:kinsoku/>
        <w:wordWrap w:val="0"/>
        <w:bidi w:val="0"/>
        <w:spacing w:before="240" w:beforeLines="10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本条补充第10.3款、第10.4款：</w:t>
      </w:r>
    </w:p>
    <w:p w14:paraId="123727D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12" w:name="_Toc6499"/>
      <w:bookmarkStart w:id="1413" w:name="_Toc12343"/>
      <w:bookmarkStart w:id="1414" w:name="_Toc234833160"/>
      <w:bookmarkStart w:id="1415" w:name="_Toc5845"/>
      <w:bookmarkStart w:id="1416" w:name="_Toc638"/>
      <w:r>
        <w:rPr>
          <w:rFonts w:hint="default" w:ascii="Times New Roman" w:hAnsi="Times New Roman" w:eastAsia="黑体" w:cs="Times New Roman"/>
          <w:b w:val="0"/>
          <w:color w:val="auto"/>
          <w:sz w:val="24"/>
          <w:szCs w:val="24"/>
          <w:highlight w:val="none"/>
        </w:rPr>
        <w:t>10.3 年度施工计划</w:t>
      </w:r>
      <w:bookmarkEnd w:id="1412"/>
      <w:bookmarkEnd w:id="1413"/>
      <w:bookmarkEnd w:id="1414"/>
      <w:bookmarkEnd w:id="1415"/>
      <w:bookmarkEnd w:id="1416"/>
    </w:p>
    <w:p w14:paraId="726155C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15949EA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17" w:name="_Toc28266"/>
      <w:bookmarkStart w:id="1418" w:name="_Toc20652"/>
      <w:bookmarkStart w:id="1419" w:name="_Toc234833161"/>
      <w:bookmarkStart w:id="1420" w:name="_Toc3557"/>
      <w:bookmarkStart w:id="1421" w:name="_Toc26059"/>
      <w:r>
        <w:rPr>
          <w:rFonts w:hint="default" w:ascii="Times New Roman" w:hAnsi="Times New Roman" w:eastAsia="黑体" w:cs="Times New Roman"/>
          <w:b w:val="0"/>
          <w:color w:val="auto"/>
          <w:sz w:val="24"/>
          <w:szCs w:val="24"/>
          <w:highlight w:val="none"/>
        </w:rPr>
        <w:t>10.4 合同用款计划</w:t>
      </w:r>
      <w:bookmarkEnd w:id="1417"/>
      <w:bookmarkEnd w:id="1418"/>
      <w:bookmarkEnd w:id="1419"/>
      <w:bookmarkEnd w:id="1420"/>
      <w:bookmarkEnd w:id="1421"/>
    </w:p>
    <w:p w14:paraId="207DE3D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727FFB7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22" w:name="_Toc234833162"/>
      <w:bookmarkStart w:id="1423" w:name="_Toc29145"/>
      <w:bookmarkStart w:id="1424" w:name="_Toc16858"/>
      <w:bookmarkStart w:id="1425" w:name="_Toc5080"/>
      <w:bookmarkStart w:id="1426" w:name="_Toc24381"/>
      <w:r>
        <w:rPr>
          <w:rFonts w:hint="default" w:ascii="Times New Roman" w:hAnsi="Times New Roman" w:eastAsia="黑体" w:cs="Times New Roman"/>
          <w:b w:val="0"/>
          <w:color w:val="auto"/>
          <w:sz w:val="28"/>
          <w:szCs w:val="28"/>
          <w:highlight w:val="none"/>
        </w:rPr>
        <w:t>11. 开工和交工</w:t>
      </w:r>
      <w:bookmarkEnd w:id="1422"/>
      <w:bookmarkEnd w:id="1423"/>
      <w:bookmarkEnd w:id="1424"/>
      <w:bookmarkEnd w:id="1425"/>
      <w:bookmarkEnd w:id="1426"/>
    </w:p>
    <w:p w14:paraId="29D159F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27" w:name="_Toc234833163"/>
      <w:bookmarkStart w:id="1428" w:name="_Toc23342"/>
      <w:bookmarkStart w:id="1429" w:name="_Toc17449"/>
      <w:bookmarkStart w:id="1430" w:name="_Toc21034"/>
      <w:bookmarkStart w:id="1431" w:name="_Toc211"/>
      <w:r>
        <w:rPr>
          <w:rFonts w:hint="default" w:ascii="Times New Roman" w:hAnsi="Times New Roman" w:eastAsia="黑体" w:cs="Times New Roman"/>
          <w:b w:val="0"/>
          <w:color w:val="auto"/>
          <w:sz w:val="24"/>
          <w:szCs w:val="24"/>
          <w:highlight w:val="none"/>
        </w:rPr>
        <w:t>11.1 开工</w:t>
      </w:r>
      <w:bookmarkEnd w:id="1427"/>
      <w:bookmarkEnd w:id="1428"/>
      <w:bookmarkEnd w:id="1429"/>
      <w:bookmarkEnd w:id="1430"/>
      <w:bookmarkEnd w:id="1431"/>
    </w:p>
    <w:p w14:paraId="55CD5D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第11.1.2项补充：</w:t>
      </w:r>
    </w:p>
    <w:p w14:paraId="5104DB0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承包人应在分部工程开工前14天向监理人提交分部工程开工报审表，若承包人的开工准备、工作计划和质量控制方法是可接受的且已获得批准，则经监理人书面同意，分部工程才能开工。</w:t>
      </w:r>
    </w:p>
    <w:p w14:paraId="68FF5B2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32" w:name="_Toc234833164"/>
      <w:bookmarkStart w:id="1433" w:name="_Toc2188"/>
      <w:bookmarkStart w:id="1434" w:name="_Toc26339"/>
      <w:bookmarkStart w:id="1435" w:name="_Toc8362"/>
      <w:bookmarkStart w:id="1436" w:name="_Toc4642"/>
      <w:r>
        <w:rPr>
          <w:rFonts w:hint="default" w:ascii="Times New Roman" w:hAnsi="Times New Roman" w:eastAsia="黑体" w:cs="Times New Roman"/>
          <w:b w:val="0"/>
          <w:color w:val="auto"/>
          <w:sz w:val="24"/>
          <w:szCs w:val="24"/>
          <w:highlight w:val="none"/>
        </w:rPr>
        <w:t>11.3 发包人的工期延误</w:t>
      </w:r>
      <w:bookmarkEnd w:id="1432"/>
      <w:bookmarkEnd w:id="1433"/>
      <w:bookmarkEnd w:id="1434"/>
      <w:bookmarkEnd w:id="1435"/>
      <w:bookmarkEnd w:id="1436"/>
    </w:p>
    <w:p w14:paraId="0814DA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1E2B855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即使由于上述原因造成工期延误，如果受影响的工程并非处在工程施工进度网络计划的关键线路上，则承包人无权要求延长总工期。</w:t>
      </w:r>
    </w:p>
    <w:p w14:paraId="4381DFD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37" w:name="_Toc3372"/>
      <w:bookmarkStart w:id="1438" w:name="_Toc16417"/>
      <w:bookmarkStart w:id="1439" w:name="_Toc2448"/>
      <w:bookmarkStart w:id="1440" w:name="_Toc234833165"/>
      <w:bookmarkStart w:id="1441" w:name="_Toc26694"/>
      <w:r>
        <w:rPr>
          <w:rFonts w:hint="default" w:ascii="Times New Roman" w:hAnsi="Times New Roman" w:eastAsia="黑体" w:cs="Times New Roman"/>
          <w:b w:val="0"/>
          <w:color w:val="auto"/>
          <w:sz w:val="24"/>
          <w:szCs w:val="24"/>
          <w:highlight w:val="none"/>
        </w:rPr>
        <w:t>11.4异常恶劣的气候条件</w:t>
      </w:r>
      <w:bookmarkEnd w:id="1437"/>
      <w:bookmarkEnd w:id="1438"/>
      <w:bookmarkEnd w:id="1439"/>
      <w:bookmarkEnd w:id="1440"/>
      <w:bookmarkEnd w:id="1441"/>
    </w:p>
    <w:p w14:paraId="272C7B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058FFA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异常气候是指项目所在地30年以上一遇的罕见气候现象（包括</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"http://baike.baidu.com/view/8193.htm" \t "_blank"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温度</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、降水、降雪、风等）。异常恶劣的气候条件在项目专用合同条款中作具体约定。</w:t>
      </w:r>
    </w:p>
    <w:p w14:paraId="7A6ECBB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42" w:name="_Toc7083"/>
      <w:bookmarkStart w:id="1443" w:name="_Toc13242"/>
      <w:bookmarkStart w:id="1444" w:name="_Toc234833166"/>
      <w:bookmarkStart w:id="1445" w:name="_Toc19354"/>
      <w:bookmarkStart w:id="1446" w:name="_Toc6870"/>
      <w:r>
        <w:rPr>
          <w:rFonts w:hint="default" w:ascii="Times New Roman" w:hAnsi="Times New Roman" w:eastAsia="黑体" w:cs="Times New Roman"/>
          <w:b w:val="0"/>
          <w:color w:val="auto"/>
          <w:sz w:val="24"/>
          <w:szCs w:val="24"/>
          <w:highlight w:val="none"/>
        </w:rPr>
        <w:t>11.5 承包人的工期延误</w:t>
      </w:r>
      <w:bookmarkEnd w:id="1442"/>
      <w:bookmarkEnd w:id="1443"/>
      <w:bookmarkEnd w:id="1444"/>
      <w:bookmarkEnd w:id="1445"/>
      <w:bookmarkEnd w:id="1446"/>
    </w:p>
    <w:p w14:paraId="5B3351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215A8C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1C15CD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0B57BA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759A959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（4）承包人支付逾期交工违约金，不免除承包人完成工程及修补缺陷的义务。</w:t>
      </w:r>
    </w:p>
    <w:p w14:paraId="7AFA06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4AE0A01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47" w:name="_Toc25459"/>
      <w:bookmarkStart w:id="1448" w:name="_Toc8201"/>
      <w:bookmarkStart w:id="1449" w:name="_Toc21733"/>
      <w:bookmarkStart w:id="1450" w:name="_Toc5977"/>
      <w:bookmarkStart w:id="1451" w:name="_Toc234833167"/>
      <w:r>
        <w:rPr>
          <w:rFonts w:hint="default" w:ascii="Times New Roman" w:hAnsi="Times New Roman" w:eastAsia="黑体" w:cs="Times New Roman"/>
          <w:b w:val="0"/>
          <w:color w:val="auto"/>
          <w:sz w:val="24"/>
          <w:szCs w:val="24"/>
          <w:highlight w:val="none"/>
        </w:rPr>
        <w:t>11.6 工期提前</w:t>
      </w:r>
      <w:bookmarkEnd w:id="1447"/>
      <w:bookmarkEnd w:id="1448"/>
      <w:bookmarkEnd w:id="1449"/>
      <w:bookmarkEnd w:id="1450"/>
      <w:bookmarkEnd w:id="1451"/>
    </w:p>
    <w:p w14:paraId="0D6DBD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318147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发包人不得随意要求承包人提前交工，承包人也不得随意提出提前交工的建议。如遇特殊情况，确需将工期提前的，发包人和承包人必须采取有效措施，确保工程质量。</w:t>
      </w:r>
    </w:p>
    <w:p w14:paraId="3F17C9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6A48E1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503D92E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本条补充第11.7款：</w:t>
      </w:r>
    </w:p>
    <w:p w14:paraId="518EEC3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52" w:name="_Toc14155"/>
      <w:bookmarkStart w:id="1453" w:name="_Toc11965"/>
      <w:bookmarkStart w:id="1454" w:name="_Toc29501"/>
      <w:bookmarkStart w:id="1455" w:name="_Toc234833168"/>
      <w:bookmarkStart w:id="1456" w:name="_Toc31771"/>
      <w:r>
        <w:rPr>
          <w:rFonts w:hint="default" w:ascii="Times New Roman" w:hAnsi="Times New Roman" w:eastAsia="黑体" w:cs="Times New Roman"/>
          <w:b w:val="0"/>
          <w:color w:val="auto"/>
          <w:sz w:val="24"/>
          <w:szCs w:val="24"/>
          <w:highlight w:val="none"/>
        </w:rPr>
        <w:t>11.7 工作时间的限制</w:t>
      </w:r>
      <w:bookmarkEnd w:id="1452"/>
      <w:bookmarkEnd w:id="1453"/>
      <w:bookmarkEnd w:id="1454"/>
      <w:bookmarkEnd w:id="1455"/>
      <w:bookmarkEnd w:id="1456"/>
    </w:p>
    <w:p w14:paraId="5E0CA9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承包人在夜间或国家规定的节假日进行永久工程的施工，应向监理人报告，以便监理人履行监理职责和义务。</w:t>
      </w:r>
    </w:p>
    <w:p w14:paraId="6308F3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但是，为了抢救生命或保护财产，或为了工程的安全、质量而不可避免地短暂作业，则不必事先向监理人报告。但承包人应在事后立即向监理人报告。</w:t>
      </w:r>
    </w:p>
    <w:p w14:paraId="72A180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本款规定不适用于习惯上或施工本身要求实行连续生产的作业。</w:t>
      </w:r>
    </w:p>
    <w:p w14:paraId="4EA6739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57" w:name="_Toc234833169"/>
      <w:bookmarkStart w:id="1458" w:name="_Toc32362"/>
      <w:bookmarkStart w:id="1459" w:name="_Toc10095"/>
      <w:bookmarkStart w:id="1460" w:name="_Toc10404"/>
      <w:bookmarkStart w:id="1461" w:name="_Toc21568"/>
      <w:r>
        <w:rPr>
          <w:rFonts w:hint="default" w:ascii="Times New Roman" w:hAnsi="Times New Roman" w:eastAsia="黑体" w:cs="Times New Roman"/>
          <w:b w:val="0"/>
          <w:color w:val="auto"/>
          <w:sz w:val="28"/>
          <w:szCs w:val="28"/>
          <w:highlight w:val="none"/>
        </w:rPr>
        <w:t>12. 暂停施工</w:t>
      </w:r>
      <w:bookmarkEnd w:id="1457"/>
      <w:bookmarkEnd w:id="1458"/>
      <w:bookmarkEnd w:id="1459"/>
      <w:bookmarkEnd w:id="1460"/>
      <w:bookmarkEnd w:id="1461"/>
    </w:p>
    <w:p w14:paraId="280CB3C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62" w:name="_Toc26479"/>
      <w:bookmarkStart w:id="1463" w:name="_Toc234833170"/>
      <w:bookmarkStart w:id="1464" w:name="_Toc19976"/>
      <w:bookmarkStart w:id="1465" w:name="_Toc686"/>
      <w:bookmarkStart w:id="1466" w:name="_Toc24281"/>
      <w:r>
        <w:rPr>
          <w:rFonts w:hint="default" w:ascii="Times New Roman" w:hAnsi="Times New Roman" w:eastAsia="黑体" w:cs="Times New Roman"/>
          <w:b w:val="0"/>
          <w:color w:val="auto"/>
          <w:sz w:val="24"/>
          <w:szCs w:val="24"/>
          <w:highlight w:val="none"/>
        </w:rPr>
        <w:t>12.1 承包人暂停施工的责任</w:t>
      </w:r>
      <w:bookmarkEnd w:id="1462"/>
      <w:bookmarkEnd w:id="1463"/>
      <w:bookmarkEnd w:id="1464"/>
      <w:bookmarkEnd w:id="1465"/>
      <w:bookmarkEnd w:id="1466"/>
    </w:p>
    <w:p w14:paraId="42630C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本款第（5）项细化为：</w:t>
      </w:r>
    </w:p>
    <w:p w14:paraId="47FAFC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（5）现场气候条件导致的必要停工（第11.4款约定的异常恶劣的气候条件除外）；</w:t>
      </w:r>
    </w:p>
    <w:p w14:paraId="5137DC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（6）项目专用合同条款可能约定的由承包人承担的其他暂停施工。</w:t>
      </w:r>
    </w:p>
    <w:p w14:paraId="29C0841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67" w:name="_Toc22379"/>
      <w:bookmarkStart w:id="1468" w:name="_Toc12288"/>
      <w:bookmarkStart w:id="1469" w:name="_Toc234833171"/>
      <w:bookmarkStart w:id="1470" w:name="_Toc139"/>
      <w:bookmarkStart w:id="1471" w:name="_Toc6010"/>
      <w:r>
        <w:rPr>
          <w:rFonts w:hint="default" w:ascii="Times New Roman" w:hAnsi="Times New Roman" w:eastAsia="黑体" w:cs="Times New Roman"/>
          <w:b w:val="0"/>
          <w:color w:val="auto"/>
          <w:sz w:val="28"/>
          <w:szCs w:val="28"/>
          <w:highlight w:val="none"/>
        </w:rPr>
        <w:t>13. 工程质量</w:t>
      </w:r>
      <w:bookmarkEnd w:id="1467"/>
      <w:bookmarkEnd w:id="1468"/>
      <w:bookmarkEnd w:id="1469"/>
      <w:bookmarkEnd w:id="1470"/>
      <w:bookmarkEnd w:id="1471"/>
    </w:p>
    <w:p w14:paraId="59855FD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72" w:name="_Toc30210"/>
      <w:bookmarkStart w:id="1473" w:name="_Toc25773"/>
      <w:bookmarkStart w:id="1474" w:name="_Toc21819"/>
      <w:bookmarkStart w:id="1475" w:name="_Toc14295"/>
      <w:bookmarkStart w:id="1476" w:name="_Toc234833172"/>
      <w:r>
        <w:rPr>
          <w:rFonts w:hint="default" w:ascii="Times New Roman" w:hAnsi="Times New Roman" w:eastAsia="黑体" w:cs="Times New Roman"/>
          <w:b w:val="0"/>
          <w:color w:val="auto"/>
          <w:sz w:val="24"/>
          <w:szCs w:val="24"/>
          <w:highlight w:val="none"/>
        </w:rPr>
        <w:t>13.1 工程质量要求</w:t>
      </w:r>
      <w:bookmarkEnd w:id="1472"/>
      <w:bookmarkEnd w:id="1473"/>
      <w:bookmarkEnd w:id="1474"/>
      <w:bookmarkEnd w:id="1475"/>
      <w:bookmarkEnd w:id="1476"/>
    </w:p>
    <w:p w14:paraId="0A1699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第13.1.1项约定为：</w:t>
      </w:r>
    </w:p>
    <w:p w14:paraId="392B93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工程质量验收按技术规范及《公路工程质量检验评定标准》执行。</w:t>
      </w:r>
    </w:p>
    <w:p w14:paraId="17AC76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本款补充第13.1.4项、第13.1.5项：</w:t>
      </w:r>
    </w:p>
    <w:p w14:paraId="40497F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13.1.4 发包人和承包人应严格遵守《关于严格落实公路工程质量责任制的若干意见》的相关规定，认真执行工程质量责任登记制度并</w:t>
      </w:r>
      <w:r>
        <w:rPr>
          <w:rFonts w:hint="default" w:ascii="Times New Roman" w:hAnsi="Times New Roman" w:cs="Times New Roman"/>
          <w:color w:val="auto"/>
          <w:kern w:val="0"/>
          <w:sz w:val="24"/>
          <w:highlight w:val="none"/>
        </w:rPr>
        <w:t>按要求填写工程质量责任登记表</w:t>
      </w:r>
      <w:r>
        <w:rPr>
          <w:rFonts w:hint="default" w:ascii="Times New Roman" w:hAnsi="Times New Roman" w:cs="Times New Roman"/>
          <w:color w:val="auto"/>
          <w:sz w:val="24"/>
          <w:highlight w:val="none"/>
        </w:rPr>
        <w:t>。</w:t>
      </w:r>
    </w:p>
    <w:p w14:paraId="1AFE4F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13.1.5 本项目严格执行质量责任追究制度。质量事故处理实行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原则：事故原因调查不清不放过；事故责任者没有受到教育不放过；没有防范措施不放过；相关责任人没受到处理不放过。</w:t>
      </w:r>
    </w:p>
    <w:p w14:paraId="711D01B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77" w:name="_Toc19759"/>
      <w:bookmarkStart w:id="1478" w:name="_Toc1003"/>
      <w:bookmarkStart w:id="1479" w:name="_Toc8253"/>
      <w:bookmarkStart w:id="1480" w:name="_Toc17602"/>
      <w:bookmarkStart w:id="1481" w:name="_Toc234833173"/>
      <w:r>
        <w:rPr>
          <w:rFonts w:hint="default" w:ascii="Times New Roman" w:hAnsi="Times New Roman" w:eastAsia="黑体" w:cs="Times New Roman"/>
          <w:b w:val="0"/>
          <w:color w:val="auto"/>
          <w:sz w:val="24"/>
          <w:szCs w:val="24"/>
          <w:highlight w:val="none"/>
        </w:rPr>
        <w:t>13.2 承包人的质量管理</w:t>
      </w:r>
      <w:bookmarkEnd w:id="1477"/>
      <w:bookmarkEnd w:id="1478"/>
      <w:bookmarkEnd w:id="1479"/>
      <w:bookmarkEnd w:id="1480"/>
      <w:bookmarkEnd w:id="1481"/>
    </w:p>
    <w:p w14:paraId="375263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第13.2.1项补充：</w:t>
      </w:r>
    </w:p>
    <w:p w14:paraId="0D40EC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承包人提交工程质量保证措施文件的期限：签订合同协议书后28天之内。</w:t>
      </w:r>
    </w:p>
    <w:p w14:paraId="0C296B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本款补充第13.2.3项~第13.2.10项：</w:t>
      </w:r>
    </w:p>
    <w:p w14:paraId="5C9427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13.2.3 公路工程施行质量责任终身制。承包人应当书面明确相应的项目负责人和质量负责人。承包人的相关人员按照国家法律法规和有关规定在工程合理使用年限内承担相应的质量责任。</w:t>
      </w:r>
    </w:p>
    <w:p w14:paraId="1526773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52FB932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13.2.5 承包人对工程施工质量负责，应当按合同约定设立现场质量管理机构、配备工程技术人员和质量管理人员，落实工程施工质量责任制。</w:t>
      </w:r>
    </w:p>
    <w:p w14:paraId="2C11CE4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418F34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5A46B9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49AD94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13.2.9 承包人应当依法规范分包行为，并对承担的工程质量负总责，分包单位对分包合同范围内的工程质量负责。</w:t>
      </w:r>
    </w:p>
    <w:p w14:paraId="12F086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13.2.10 承包人驻工程现场机构应在现场驻地和重要的分部、分项工程施工现场设置明显的工程质量责任登记表公示牌。</w:t>
      </w:r>
    </w:p>
    <w:p w14:paraId="7100286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82" w:name="_Toc17725"/>
      <w:bookmarkStart w:id="1483" w:name="_Toc234833174"/>
      <w:bookmarkStart w:id="1484" w:name="_Toc1148"/>
      <w:bookmarkStart w:id="1485" w:name="_Toc21708"/>
      <w:bookmarkStart w:id="1486" w:name="_Toc20957"/>
      <w:r>
        <w:rPr>
          <w:rFonts w:hint="default" w:ascii="Times New Roman" w:hAnsi="Times New Roman" w:eastAsia="黑体" w:cs="Times New Roman"/>
          <w:b w:val="0"/>
          <w:color w:val="auto"/>
          <w:sz w:val="24"/>
          <w:szCs w:val="24"/>
          <w:highlight w:val="none"/>
        </w:rPr>
        <w:t>13.4 监理人的质量检查</w:t>
      </w:r>
      <w:bookmarkEnd w:id="1482"/>
      <w:bookmarkEnd w:id="1483"/>
      <w:bookmarkEnd w:id="1484"/>
      <w:bookmarkEnd w:id="1485"/>
      <w:bookmarkEnd w:id="1486"/>
    </w:p>
    <w:p w14:paraId="2AB159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16D304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监理人及其委派的检验人员，应能进入工程现场，以及材料或工程设备的制造、加工或制配的车间和场所，包括不属于承包人的车间或场所进行检查，承包人应为此提供便利和协助。</w:t>
      </w:r>
    </w:p>
    <w:p w14:paraId="5D0A7DD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63CD8BC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87" w:name="_Toc31604"/>
      <w:bookmarkStart w:id="1488" w:name="_Toc234833175"/>
      <w:bookmarkStart w:id="1489" w:name="_Toc24829"/>
      <w:bookmarkStart w:id="1490" w:name="_Toc25352"/>
      <w:bookmarkStart w:id="1491" w:name="_Toc16459"/>
      <w:r>
        <w:rPr>
          <w:rFonts w:hint="default" w:ascii="Times New Roman" w:hAnsi="Times New Roman" w:eastAsia="黑体" w:cs="Times New Roman"/>
          <w:b w:val="0"/>
          <w:color w:val="auto"/>
          <w:sz w:val="24"/>
          <w:szCs w:val="24"/>
          <w:highlight w:val="none"/>
        </w:rPr>
        <w:t>13.5 工程隐蔽部位覆盖前的检查</w:t>
      </w:r>
      <w:bookmarkEnd w:id="1487"/>
      <w:bookmarkEnd w:id="1488"/>
      <w:bookmarkEnd w:id="1489"/>
      <w:bookmarkEnd w:id="1490"/>
      <w:bookmarkEnd w:id="1491"/>
    </w:p>
    <w:p w14:paraId="574E02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第13.5.1项补充：</w:t>
      </w:r>
    </w:p>
    <w:p w14:paraId="04C2069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098963F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92" w:name="_Toc19441"/>
      <w:bookmarkStart w:id="1493" w:name="_Toc20396"/>
      <w:bookmarkStart w:id="1494" w:name="_Toc234833176"/>
      <w:bookmarkStart w:id="1495" w:name="_Toc27156"/>
      <w:bookmarkStart w:id="1496" w:name="_Toc1659"/>
      <w:r>
        <w:rPr>
          <w:rFonts w:hint="default" w:ascii="Times New Roman" w:hAnsi="Times New Roman" w:eastAsia="黑体" w:cs="Times New Roman"/>
          <w:b w:val="0"/>
          <w:color w:val="auto"/>
          <w:sz w:val="24"/>
          <w:szCs w:val="24"/>
          <w:highlight w:val="none"/>
        </w:rPr>
        <w:t>13.6 清除不合格工程</w:t>
      </w:r>
      <w:bookmarkEnd w:id="1492"/>
      <w:bookmarkEnd w:id="1493"/>
      <w:bookmarkEnd w:id="1494"/>
      <w:bookmarkEnd w:id="1495"/>
      <w:bookmarkEnd w:id="1496"/>
    </w:p>
    <w:p w14:paraId="593F13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第13.6.1项细化为：</w:t>
      </w:r>
    </w:p>
    <w:p w14:paraId="3057AA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72BF0D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（2）如果承包人未在规定时间内执行监理人的指示，发包人有权雇用他人执行，由此增加的费用和（或）工期延误由承包人承担。</w:t>
      </w:r>
    </w:p>
    <w:p w14:paraId="70F91F9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97" w:name="_Toc10886"/>
      <w:bookmarkStart w:id="1498" w:name="_Toc17523"/>
      <w:bookmarkStart w:id="1499" w:name="_Toc26653"/>
      <w:bookmarkStart w:id="1500" w:name="_Toc234833177"/>
      <w:bookmarkStart w:id="1501" w:name="_Toc12972"/>
      <w:r>
        <w:rPr>
          <w:rFonts w:hint="default" w:ascii="Times New Roman" w:hAnsi="Times New Roman" w:eastAsia="黑体" w:cs="Times New Roman"/>
          <w:b w:val="0"/>
          <w:color w:val="auto"/>
          <w:sz w:val="28"/>
          <w:szCs w:val="28"/>
          <w:highlight w:val="none"/>
        </w:rPr>
        <w:t>14. 试验和检验</w:t>
      </w:r>
      <w:bookmarkEnd w:id="1497"/>
      <w:bookmarkEnd w:id="1498"/>
      <w:bookmarkEnd w:id="1499"/>
      <w:bookmarkEnd w:id="1500"/>
      <w:bookmarkEnd w:id="1501"/>
    </w:p>
    <w:p w14:paraId="2FEC7C8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本条补充第14.4款：</w:t>
      </w:r>
    </w:p>
    <w:p w14:paraId="600BA37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02" w:name="_Toc234833178"/>
      <w:bookmarkStart w:id="1503" w:name="_Toc18957"/>
      <w:bookmarkStart w:id="1504" w:name="_Toc9837"/>
      <w:bookmarkStart w:id="1505" w:name="_Toc8486"/>
      <w:bookmarkStart w:id="1506" w:name="_Toc28540"/>
      <w:r>
        <w:rPr>
          <w:rFonts w:hint="default" w:ascii="Times New Roman" w:hAnsi="Times New Roman" w:eastAsia="黑体" w:cs="Times New Roman"/>
          <w:b w:val="0"/>
          <w:color w:val="auto"/>
          <w:sz w:val="24"/>
          <w:szCs w:val="24"/>
          <w:highlight w:val="none"/>
        </w:rPr>
        <w:t>14.4 试验和检验费用</w:t>
      </w:r>
      <w:bookmarkEnd w:id="1502"/>
      <w:bookmarkEnd w:id="1503"/>
      <w:bookmarkEnd w:id="1504"/>
      <w:bookmarkEnd w:id="1505"/>
      <w:bookmarkEnd w:id="1506"/>
    </w:p>
    <w:p w14:paraId="284A5E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（1）承包人应负责提供合同和技术规范规定的试验和检验所需的全部样品，并承担其费用。</w:t>
      </w:r>
    </w:p>
    <w:p w14:paraId="4CF727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（2）在合同中明确规定的试验和检验，包括无须在工程量清单中单独列项和已在工程量清单中单独列项的试验和检验，其试验和检验的费用由承包人承担。</w:t>
      </w:r>
    </w:p>
    <w:p w14:paraId="1820BCE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6CEE0E99">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07" w:name="_Toc3751"/>
      <w:bookmarkStart w:id="1508" w:name="_Toc9387"/>
      <w:bookmarkStart w:id="1509" w:name="_Toc234833179"/>
      <w:bookmarkStart w:id="1510" w:name="_Toc24940"/>
      <w:bookmarkStart w:id="1511" w:name="_Toc8627"/>
      <w:r>
        <w:rPr>
          <w:rFonts w:hint="default" w:ascii="Times New Roman" w:hAnsi="Times New Roman" w:eastAsia="黑体" w:cs="Times New Roman"/>
          <w:b w:val="0"/>
          <w:color w:val="auto"/>
          <w:sz w:val="28"/>
          <w:szCs w:val="28"/>
          <w:highlight w:val="none"/>
        </w:rPr>
        <w:t>15. 变更</w:t>
      </w:r>
      <w:bookmarkEnd w:id="1507"/>
      <w:bookmarkEnd w:id="1508"/>
      <w:bookmarkEnd w:id="1509"/>
      <w:bookmarkEnd w:id="1510"/>
      <w:bookmarkEnd w:id="1511"/>
    </w:p>
    <w:p w14:paraId="383F841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12" w:name="_Toc9262"/>
      <w:bookmarkStart w:id="1513" w:name="_Toc5311"/>
      <w:bookmarkStart w:id="1514" w:name="_Toc234833180"/>
      <w:bookmarkStart w:id="1515" w:name="_Toc11885"/>
      <w:bookmarkStart w:id="1516" w:name="_Toc25196"/>
      <w:r>
        <w:rPr>
          <w:rFonts w:hint="default" w:ascii="Times New Roman" w:hAnsi="Times New Roman" w:eastAsia="黑体" w:cs="Times New Roman"/>
          <w:b w:val="0"/>
          <w:color w:val="auto"/>
          <w:sz w:val="24"/>
          <w:szCs w:val="24"/>
          <w:highlight w:val="none"/>
        </w:rPr>
        <w:t>15.1 变更的范围和内容</w:t>
      </w:r>
      <w:bookmarkEnd w:id="1512"/>
      <w:bookmarkEnd w:id="1513"/>
      <w:bookmarkEnd w:id="1514"/>
      <w:bookmarkEnd w:id="1515"/>
      <w:bookmarkEnd w:id="1516"/>
    </w:p>
    <w:p w14:paraId="630EE8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本款第（1）项细化为：</w:t>
      </w:r>
    </w:p>
    <w:p w14:paraId="300D6BF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（1）取消合同中任何一项工作，但被取消的工作不能转由发包人或其他人实施，由于承包人违约造成的情况除外；</w:t>
      </w:r>
    </w:p>
    <w:p w14:paraId="22CD5D4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17" w:name="_Toc11045"/>
      <w:bookmarkStart w:id="1518" w:name="_Toc4853"/>
      <w:bookmarkStart w:id="1519" w:name="_Toc26890"/>
      <w:bookmarkStart w:id="1520" w:name="_Toc234833181"/>
      <w:bookmarkStart w:id="1521" w:name="_Toc15909"/>
      <w:r>
        <w:rPr>
          <w:rFonts w:hint="default" w:ascii="Times New Roman" w:hAnsi="Times New Roman" w:eastAsia="黑体" w:cs="Times New Roman"/>
          <w:b w:val="0"/>
          <w:color w:val="auto"/>
          <w:sz w:val="24"/>
          <w:szCs w:val="24"/>
          <w:highlight w:val="none"/>
        </w:rPr>
        <w:t>15.3 变更程序</w:t>
      </w:r>
      <w:bookmarkEnd w:id="1517"/>
      <w:bookmarkEnd w:id="1518"/>
      <w:bookmarkEnd w:id="1519"/>
      <w:bookmarkEnd w:id="1520"/>
      <w:bookmarkEnd w:id="1521"/>
    </w:p>
    <w:p w14:paraId="7DA705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本款补充第15.3.4项：</w:t>
      </w:r>
    </w:p>
    <w:p w14:paraId="09848B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15.3.4 设计变更程序应执行《公路工程设计变更管理办法》的相关规定。</w:t>
      </w:r>
    </w:p>
    <w:p w14:paraId="7309B45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22" w:name="_Toc10432"/>
      <w:bookmarkStart w:id="1523" w:name="_Toc31295"/>
      <w:bookmarkStart w:id="1524" w:name="_Toc24386"/>
      <w:bookmarkStart w:id="1525" w:name="_Toc234833182"/>
      <w:bookmarkStart w:id="1526" w:name="_Toc16771"/>
      <w:r>
        <w:rPr>
          <w:rFonts w:hint="default" w:ascii="Times New Roman" w:hAnsi="Times New Roman" w:eastAsia="黑体" w:cs="Times New Roman"/>
          <w:b w:val="0"/>
          <w:color w:val="auto"/>
          <w:sz w:val="24"/>
          <w:szCs w:val="24"/>
          <w:highlight w:val="none"/>
        </w:rPr>
        <w:t>15.4 变更的估价原则</w:t>
      </w:r>
      <w:bookmarkEnd w:id="1522"/>
      <w:bookmarkEnd w:id="1523"/>
      <w:bookmarkEnd w:id="1524"/>
      <w:bookmarkEnd w:id="1525"/>
      <w:bookmarkEnd w:id="1526"/>
      <w:r>
        <w:rPr>
          <w:rFonts w:hint="default" w:ascii="Times New Roman" w:hAnsi="Times New Roman" w:eastAsia="黑体" w:cs="Times New Roman"/>
          <w:b w:val="0"/>
          <w:color w:val="auto"/>
          <w:sz w:val="24"/>
          <w:szCs w:val="24"/>
          <w:highlight w:val="none"/>
        </w:rPr>
        <w:t xml:space="preserve"> </w:t>
      </w:r>
    </w:p>
    <w:p w14:paraId="2FA884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4DC644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除项目专用合同条款另有约定外，因变更引起的价格调整按照本款约定处理。</w:t>
      </w:r>
    </w:p>
    <w:p w14:paraId="27B05F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如果取消某项工作，则该项工作的总额价不予支付。</w:t>
      </w:r>
    </w:p>
    <w:p w14:paraId="4F1922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已标价工程量清单中有适用于变更工作的子目的，采用该子目的单价。</w:t>
      </w:r>
    </w:p>
    <w:p w14:paraId="6DA52F4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已标价工程量清单中无适用于变更工作的子目，但有类似子目的，可在合理范围内参照类似子目的单价，由监理人按第3.5款商定或确定变更工作的单价。</w:t>
      </w:r>
    </w:p>
    <w:p w14:paraId="66822AD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15.4.4 已标价工程量清单中无适用或类似子目的单价，可在综合考虑承包人在投标时所提供的单价分析表的基础上，由监理人按第3.5款商定或确定变更工作的单价。</w:t>
      </w:r>
    </w:p>
    <w:p w14:paraId="6A72EA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15.4.5 如果本工程的变更指示是因承包人过错、承包人违反合同或承包人责任造成的，则这种违约引起的任何额外费用应由承包人承担。</w:t>
      </w:r>
    </w:p>
    <w:p w14:paraId="6B9BC6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27" w:name="_Toc24348"/>
      <w:bookmarkStart w:id="1528" w:name="_Toc234833183"/>
      <w:bookmarkStart w:id="1529" w:name="_Toc11214"/>
      <w:bookmarkStart w:id="1530" w:name="_Toc31843"/>
      <w:bookmarkStart w:id="1531" w:name="_Toc31098"/>
      <w:r>
        <w:rPr>
          <w:rFonts w:hint="default" w:ascii="Times New Roman" w:hAnsi="Times New Roman" w:eastAsia="黑体" w:cs="Times New Roman"/>
          <w:b w:val="0"/>
          <w:color w:val="auto"/>
          <w:sz w:val="24"/>
          <w:szCs w:val="24"/>
          <w:highlight w:val="none"/>
        </w:rPr>
        <w:t>15.5 承包人的合理化建议</w:t>
      </w:r>
      <w:bookmarkEnd w:id="1527"/>
      <w:bookmarkEnd w:id="1528"/>
      <w:bookmarkEnd w:id="1529"/>
      <w:bookmarkEnd w:id="1530"/>
      <w:bookmarkEnd w:id="1531"/>
    </w:p>
    <w:p w14:paraId="2C23E49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第15.5.2项约定为：</w:t>
      </w:r>
    </w:p>
    <w:p w14:paraId="68F0F97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承包人提出的合理化建议缩短了工期，发包人按第11.6款的规定给予奖励。</w:t>
      </w:r>
    </w:p>
    <w:p w14:paraId="5A92D84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承包人提出的合理化建议降低了合同价格或者提高了工程经济效益的，发包人按项目专用合同条款数据表中规定的金额给予奖励。</w:t>
      </w:r>
    </w:p>
    <w:p w14:paraId="4C9A676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32" w:name="_Toc4473"/>
      <w:bookmarkStart w:id="1533" w:name="_Toc18139"/>
      <w:bookmarkStart w:id="1534" w:name="_Toc234833184"/>
      <w:bookmarkStart w:id="1535" w:name="_Toc10877"/>
      <w:bookmarkStart w:id="1536" w:name="_Toc31508"/>
      <w:r>
        <w:rPr>
          <w:rFonts w:hint="default" w:ascii="Times New Roman" w:hAnsi="Times New Roman" w:eastAsia="黑体" w:cs="Times New Roman"/>
          <w:b w:val="0"/>
          <w:color w:val="auto"/>
          <w:sz w:val="24"/>
          <w:szCs w:val="24"/>
          <w:highlight w:val="none"/>
        </w:rPr>
        <w:t>15.6暂列金额</w:t>
      </w:r>
      <w:bookmarkEnd w:id="1532"/>
      <w:bookmarkEnd w:id="1533"/>
      <w:bookmarkEnd w:id="1534"/>
      <w:bookmarkEnd w:id="1535"/>
      <w:bookmarkEnd w:id="1536"/>
    </w:p>
    <w:p w14:paraId="1B1E87C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66C1AFF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15.6.1 暂列金额应由监理人报发包人批准后指令全部或部分地使用，或者根本不予动用。</w:t>
      </w:r>
    </w:p>
    <w:p w14:paraId="23B305A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15.6.2 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16305D6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15.6.3 当监理人提出要求时，承包人应提供有关暂列金额支出的所有报价单、发票、凭证和账单或收据，除非该工作是根据已标价工程量清单列明的单价或总额价进行的估价。</w:t>
      </w:r>
    </w:p>
    <w:p w14:paraId="5280418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37" w:name="_Toc234833185"/>
      <w:bookmarkStart w:id="1538" w:name="_Toc25734"/>
      <w:bookmarkStart w:id="1539" w:name="_Toc3192"/>
      <w:bookmarkStart w:id="1540" w:name="_Toc6229"/>
      <w:bookmarkStart w:id="1541" w:name="_Toc10292"/>
      <w:r>
        <w:rPr>
          <w:rFonts w:hint="default" w:ascii="Times New Roman" w:hAnsi="Times New Roman" w:eastAsia="黑体" w:cs="Times New Roman"/>
          <w:b w:val="0"/>
          <w:color w:val="auto"/>
          <w:sz w:val="28"/>
          <w:szCs w:val="28"/>
          <w:highlight w:val="none"/>
        </w:rPr>
        <w:t>16. 价格调整</w:t>
      </w:r>
      <w:bookmarkEnd w:id="1537"/>
      <w:bookmarkEnd w:id="1538"/>
      <w:bookmarkEnd w:id="1539"/>
      <w:bookmarkEnd w:id="1540"/>
      <w:bookmarkEnd w:id="1541"/>
    </w:p>
    <w:p w14:paraId="12F5E87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42" w:name="_Toc11157"/>
      <w:bookmarkStart w:id="1543" w:name="_Toc25323"/>
      <w:bookmarkStart w:id="1544" w:name="_Toc925"/>
      <w:bookmarkStart w:id="1545" w:name="_Toc234833186"/>
      <w:bookmarkStart w:id="1546" w:name="_Toc11540"/>
      <w:r>
        <w:rPr>
          <w:rFonts w:hint="default" w:ascii="Times New Roman" w:hAnsi="Times New Roman" w:eastAsia="黑体" w:cs="Times New Roman"/>
          <w:b w:val="0"/>
          <w:color w:val="auto"/>
          <w:sz w:val="24"/>
          <w:szCs w:val="24"/>
          <w:highlight w:val="none"/>
        </w:rPr>
        <w:t>16.1 物价波动引起的价格调整</w:t>
      </w:r>
      <w:bookmarkEnd w:id="1542"/>
      <w:bookmarkEnd w:id="1543"/>
      <w:bookmarkEnd w:id="1544"/>
      <w:bookmarkEnd w:id="1545"/>
      <w:bookmarkEnd w:id="1546"/>
    </w:p>
    <w:p w14:paraId="3EFEB4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2AC8C5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（1）除项目专用合同条款另有约定外，因物价波动引起的价格调整应按项目专用合同条款数据表的规定，按照第16.1.1项或第16.1.2项约定的原则处理；或者</w:t>
      </w:r>
    </w:p>
    <w:p w14:paraId="22A6DF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（2）在合同执行期间（包括工期拖延期间）由于人工、材料和设备价格的上涨而引起工程施工成本增加的风险由承包人自行承担，合同价格不会因此而调整。</w:t>
      </w:r>
    </w:p>
    <w:p w14:paraId="6CC5DBE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47814F0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16.1.1.1 价格调整公式</w:t>
      </w:r>
    </w:p>
    <w:p w14:paraId="757539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价格调整公式后增加备注如下：</w:t>
      </w:r>
    </w:p>
    <w:p w14:paraId="458696EE">
      <w:pPr>
        <w:pageBreakBefore w:val="0"/>
        <w:kinsoku/>
        <w:wordWrap w:val="0"/>
        <w:bidi w:val="0"/>
        <w:spacing w:line="400" w:lineRule="atLeast"/>
        <w:ind w:firstLine="746" w:firstLineChars="311"/>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式中，</w:t>
      </w:r>
      <w:r>
        <w:rPr>
          <w:rFonts w:hint="default" w:ascii="Times New Roman" w:hAnsi="Times New Roman" w:cs="Times New Roman"/>
          <w:b/>
          <w:bCs/>
          <w:color w:val="auto"/>
          <w:sz w:val="24"/>
          <w:highlight w:val="none"/>
        </w:rPr>
        <w:t>A=1－（B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vertAlign w:val="subscript"/>
        </w:rPr>
        <w:t>……</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n</w:t>
      </w:r>
      <w:r>
        <w:rPr>
          <w:rFonts w:hint="default" w:ascii="Times New Roman" w:hAnsi="Times New Roman" w:cs="Times New Roman"/>
          <w:b/>
          <w:bCs/>
          <w:color w:val="auto"/>
          <w:sz w:val="24"/>
          <w:highlight w:val="none"/>
        </w:rPr>
        <w:t>）</w:t>
      </w:r>
      <w:r>
        <w:rPr>
          <w:rFonts w:hint="default" w:ascii="Times New Roman" w:hAnsi="Times New Roman" w:cs="Times New Roman"/>
          <w:color w:val="auto"/>
          <w:sz w:val="24"/>
          <w:highlight w:val="none"/>
        </w:rPr>
        <w:t>。</w:t>
      </w:r>
    </w:p>
    <w:p w14:paraId="5A6DA6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本目最后一段文字细化为：</w:t>
      </w:r>
    </w:p>
    <w:p w14:paraId="781F73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在采用价格调整公式进行调价时，还应遵守以下规定：</w:t>
      </w:r>
    </w:p>
    <w:p w14:paraId="63156353">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6E3313A2">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63E42DB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47" w:name="_Toc29558"/>
      <w:bookmarkStart w:id="1548" w:name="_Toc13648"/>
      <w:bookmarkStart w:id="1549" w:name="_Toc12404"/>
      <w:bookmarkStart w:id="1550" w:name="_Toc234833187"/>
      <w:bookmarkStart w:id="1551" w:name="_Toc18133"/>
      <w:r>
        <w:rPr>
          <w:rFonts w:hint="default" w:ascii="Times New Roman" w:hAnsi="Times New Roman" w:eastAsia="黑体" w:cs="Times New Roman"/>
          <w:b w:val="0"/>
          <w:color w:val="auto"/>
          <w:sz w:val="28"/>
          <w:szCs w:val="28"/>
          <w:highlight w:val="none"/>
        </w:rPr>
        <w:t>17. 计量与支付</w:t>
      </w:r>
      <w:bookmarkEnd w:id="1547"/>
      <w:bookmarkEnd w:id="1548"/>
      <w:bookmarkEnd w:id="1549"/>
      <w:bookmarkEnd w:id="1550"/>
      <w:bookmarkEnd w:id="1551"/>
    </w:p>
    <w:p w14:paraId="5BA1307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52" w:name="_Toc23776"/>
      <w:bookmarkStart w:id="1553" w:name="_Toc30341"/>
      <w:bookmarkStart w:id="1554" w:name="_Toc22272"/>
      <w:bookmarkStart w:id="1555" w:name="_Toc10995"/>
      <w:bookmarkStart w:id="1556" w:name="_Toc234833188"/>
      <w:r>
        <w:rPr>
          <w:rFonts w:hint="default" w:ascii="Times New Roman" w:hAnsi="Times New Roman" w:eastAsia="黑体" w:cs="Times New Roman"/>
          <w:b w:val="0"/>
          <w:color w:val="auto"/>
          <w:sz w:val="24"/>
          <w:szCs w:val="24"/>
          <w:highlight w:val="none"/>
        </w:rPr>
        <w:t>17.1 计量</w:t>
      </w:r>
      <w:bookmarkEnd w:id="1552"/>
      <w:bookmarkEnd w:id="1553"/>
      <w:bookmarkEnd w:id="1554"/>
      <w:bookmarkEnd w:id="1555"/>
      <w:bookmarkEnd w:id="1556"/>
      <w:r>
        <w:rPr>
          <w:rFonts w:hint="default" w:ascii="Times New Roman" w:hAnsi="Times New Roman" w:eastAsia="黑体" w:cs="Times New Roman"/>
          <w:b w:val="0"/>
          <w:color w:val="auto"/>
          <w:sz w:val="24"/>
          <w:szCs w:val="24"/>
          <w:highlight w:val="none"/>
        </w:rPr>
        <w:t xml:space="preserve"> </w:t>
      </w:r>
    </w:p>
    <w:p w14:paraId="5B618FB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75C145F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53FB4B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工程的计量应以净值为准，除非项目专用合同条款另有约定。工程量清单中各个子目的具体计量方法按本合同文件工程量清单计量规则中的规定执行。</w:t>
      </w:r>
    </w:p>
    <w:p w14:paraId="3B0AF17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74E69D4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335A21B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（7）承包人未在已标价工程量清单中填入单价或总额价的工程子目，将被认为其已包含在本合同的其他子目的单价和总额价中，发包人将不另行支付。</w:t>
      </w:r>
    </w:p>
    <w:p w14:paraId="6E1A029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5275EB5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本项补充：</w:t>
      </w:r>
    </w:p>
    <w:p w14:paraId="40B04FEC">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本项目工程量清单中要求承包人以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总额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方式报价的子目，各子目的支付原则和支付进度按项目专用合同条款的规定执行。</w:t>
      </w:r>
    </w:p>
    <w:p w14:paraId="2AB9452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57" w:name="_Toc234833189"/>
      <w:bookmarkStart w:id="1558" w:name="_Toc1940"/>
      <w:bookmarkStart w:id="1559" w:name="_Toc23977"/>
      <w:bookmarkStart w:id="1560" w:name="_Toc15810"/>
      <w:bookmarkStart w:id="1561" w:name="_Toc10842"/>
      <w:r>
        <w:rPr>
          <w:rFonts w:hint="default" w:ascii="Times New Roman" w:hAnsi="Times New Roman" w:eastAsia="黑体" w:cs="Times New Roman"/>
          <w:b w:val="0"/>
          <w:color w:val="auto"/>
          <w:sz w:val="24"/>
          <w:szCs w:val="24"/>
          <w:highlight w:val="none"/>
        </w:rPr>
        <w:t>17.2 预付款</w:t>
      </w:r>
      <w:bookmarkEnd w:id="1557"/>
      <w:bookmarkEnd w:id="1558"/>
      <w:bookmarkEnd w:id="1559"/>
      <w:bookmarkEnd w:id="1560"/>
      <w:bookmarkEnd w:id="1561"/>
    </w:p>
    <w:p w14:paraId="526AC4E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164F95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E2D96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预付款包括开工预付款和材料、设备预付款。具体额度和预付办法如下：</w:t>
      </w:r>
    </w:p>
    <w:p w14:paraId="74F079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（1）开工预付款的金额在项目专用合同条款数据表中约定。在承包人签订了合同协议书且承包人承诺的主要设备进场后，监理人应在当期进度付款证书中向承包人支付开工预付款。</w:t>
      </w:r>
    </w:p>
    <w:p w14:paraId="21E994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承包人不得将该预付款用于与本工程无关的支出，监理人有权监督承包人对该项费用的使用，如经查实承包人滥用开工预付款，发包人有权立即向银行索赔履约保证金，并解除合同。</w:t>
      </w:r>
    </w:p>
    <w:p w14:paraId="073429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（2）材料、设备预付款按项目专用合同条款数据表中所列主要材料、设备单据费用（进口的材料、设备为到岸价，国内采购的为出厂价或销售价，地方材料为堆场价）的百分比支付。其预付条件为：</w:t>
      </w:r>
    </w:p>
    <w:p w14:paraId="34A74DE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材料、设备符合规范要求并经监理人认可；</w:t>
      </w:r>
    </w:p>
    <w:p w14:paraId="345262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承包人已出具材料、设备费用凭证或支付单据；</w:t>
      </w:r>
    </w:p>
    <w:p w14:paraId="591451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材料、设备已在现场交货，且存储良好，监理人认为材料、设备的存储方法符合要求。</w:t>
      </w:r>
    </w:p>
    <w:p w14:paraId="50E56B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则监理人应将此项金额作为材料、设备预付款计入下一次的进度付款证书中。在预计交工前3个月，将不再支付材料、设备预付款。</w:t>
      </w:r>
    </w:p>
    <w:p w14:paraId="10AB83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35106C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5A71601C">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承包人无须向发包人提交预付款保函。发包人向承包人支付的预付款，应按照本合同第17.2.1项规定使用，承包人提交的履约保证金对预付款的正常使用承担保证责任。</w:t>
      </w:r>
    </w:p>
    <w:p w14:paraId="5B8A1D88">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1E5F874A">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54A7E75A">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1690A8F3">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（2）当材料、设备已用于或安装在永久工程之中时，材料、设备预付款应从进度付款证书中扣回，扣回期不超过3个月。已经支付材料、设备预付款的材料、设备的所有权应属于发包人。</w:t>
      </w:r>
    </w:p>
    <w:p w14:paraId="4E26B88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62" w:name="_Toc32286"/>
      <w:bookmarkStart w:id="1563" w:name="_Toc234833190"/>
      <w:bookmarkStart w:id="1564" w:name="_Toc27923"/>
      <w:bookmarkStart w:id="1565" w:name="_Toc24114"/>
      <w:bookmarkStart w:id="1566" w:name="_Toc30179"/>
      <w:r>
        <w:rPr>
          <w:rFonts w:hint="default" w:ascii="Times New Roman" w:hAnsi="Times New Roman" w:eastAsia="黑体" w:cs="Times New Roman"/>
          <w:b w:val="0"/>
          <w:color w:val="auto"/>
          <w:sz w:val="24"/>
          <w:szCs w:val="24"/>
          <w:highlight w:val="none"/>
        </w:rPr>
        <w:t>17.3 工程进度付款</w:t>
      </w:r>
      <w:bookmarkEnd w:id="1562"/>
      <w:bookmarkEnd w:id="1563"/>
      <w:bookmarkEnd w:id="1564"/>
      <w:bookmarkEnd w:id="1565"/>
      <w:bookmarkEnd w:id="1566"/>
    </w:p>
    <w:p w14:paraId="4EFB653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329F1D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本项（1）目补充：</w:t>
      </w:r>
    </w:p>
    <w:p w14:paraId="7CA9D1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738E0A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4BF6D3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发包人应在监理人收到进度付款申请单且承包人提交了合格的增值税专用发票后的28天内，将进度应付款支付给承包人。</w:t>
      </w:r>
    </w:p>
    <w:p w14:paraId="1D663B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发包人不按期支付的，按项目专用合同条款数据表中约定的利率向承包人支付逾期付款违约金。违约金计算基数为发包人的全部未付款额，时间从应付而未付该款额之日算起（不计复利）。</w:t>
      </w:r>
    </w:p>
    <w:p w14:paraId="4B0111E9">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本款补充第17.3.5项：</w:t>
      </w:r>
    </w:p>
    <w:p w14:paraId="03066C7F">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17.3.5 </w:t>
      </w:r>
      <w:r>
        <w:rPr>
          <w:rFonts w:hint="default" w:ascii="Times New Roman" w:hAnsi="Times New Roman" w:eastAsia="黑体" w:cs="Times New Roman"/>
          <w:color w:val="auto"/>
          <w:sz w:val="24"/>
          <w:highlight w:val="none"/>
        </w:rPr>
        <w:t>农民工工资保证金</w:t>
      </w:r>
    </w:p>
    <w:p w14:paraId="0C81696D">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（1）为确保施工过程中农民工工资实时、足额发放到位，承包人应按照项目专用合同条款约定的时间和金额缴存农民工工资保证金。</w:t>
      </w:r>
    </w:p>
    <w:p w14:paraId="4C9E33CF">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（2）农民工工资保证金可采用银行保函或现金、支票形式。采用银行保函时，出具保函的银行须具有相应担保能力，且按照发包人批准的格式出具，所需费用由承包人承担。</w:t>
      </w:r>
    </w:p>
    <w:p w14:paraId="0346D387">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（3）农民工工资保证金的扣留条件、返还时间按照项目专用合同条款的约定执行。</w:t>
      </w:r>
    </w:p>
    <w:p w14:paraId="5E65176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67" w:name="_Toc29571"/>
      <w:bookmarkStart w:id="1568" w:name="_Toc29743"/>
      <w:bookmarkStart w:id="1569" w:name="_Toc31836"/>
      <w:bookmarkStart w:id="1570" w:name="_Toc234833191"/>
      <w:bookmarkStart w:id="1571" w:name="_Toc4893"/>
      <w:r>
        <w:rPr>
          <w:rFonts w:hint="default" w:ascii="Times New Roman" w:hAnsi="Times New Roman" w:eastAsia="黑体" w:cs="Times New Roman"/>
          <w:b w:val="0"/>
          <w:color w:val="auto"/>
          <w:sz w:val="24"/>
          <w:szCs w:val="24"/>
          <w:highlight w:val="none"/>
        </w:rPr>
        <w:t>17.4 质量保证金</w:t>
      </w:r>
      <w:bookmarkEnd w:id="1567"/>
      <w:bookmarkEnd w:id="1568"/>
      <w:bookmarkEnd w:id="1569"/>
      <w:bookmarkEnd w:id="1570"/>
      <w:bookmarkEnd w:id="1571"/>
    </w:p>
    <w:p w14:paraId="49177B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第17.4.1项、第17.4.2项细化为：</w:t>
      </w:r>
    </w:p>
    <w:p w14:paraId="40FB6C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7557F150">
      <w:pPr>
        <w:pageBreakBefore w:val="0"/>
        <w:kinsoku/>
        <w:wordWrap w:val="0"/>
        <w:bidi w:val="0"/>
        <w:spacing w:line="400" w:lineRule="atLeast"/>
        <w:ind w:firstLine="480" w:firstLineChars="200"/>
        <w:rPr>
          <w:rFonts w:hint="default" w:ascii="Times New Roman" w:hAnsi="Times New Roman" w:eastAsia="宋体 ，Arial" w:cs="Times New Roman"/>
          <w:color w:val="auto"/>
          <w:kern w:val="0"/>
          <w:sz w:val="24"/>
          <w:highlight w:val="none"/>
        </w:rPr>
      </w:pPr>
      <w:r>
        <w:rPr>
          <w:rFonts w:hint="default" w:ascii="Times New Roman" w:hAnsi="Times New Roman" w:cs="Times New Roman"/>
          <w:color w:val="auto"/>
          <w:sz w:val="24"/>
          <w:highlight w:val="none"/>
        </w:rPr>
        <w:t>质量保证金采用现金、支票形式提交的，发包人应在项目专用合同条款数据表中明确是否</w:t>
      </w:r>
      <w:r>
        <w:rPr>
          <w:rFonts w:hint="default" w:ascii="Times New Roman" w:hAnsi="Times New Roman" w:eastAsia="宋体 ，Arial" w:cs="Times New Roman"/>
          <w:color w:val="auto"/>
          <w:kern w:val="0"/>
          <w:sz w:val="24"/>
          <w:highlight w:val="none"/>
        </w:rPr>
        <w:t>计付利息以及利息的计算方式。</w:t>
      </w:r>
    </w:p>
    <w:p w14:paraId="6C6722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0C3AE4A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72" w:name="_Toc3090"/>
      <w:bookmarkStart w:id="1573" w:name="_Toc234833192"/>
      <w:bookmarkStart w:id="1574" w:name="_Toc1771"/>
      <w:bookmarkStart w:id="1575" w:name="_Toc1942"/>
      <w:bookmarkStart w:id="1576" w:name="_Toc14691"/>
      <w:r>
        <w:rPr>
          <w:rFonts w:hint="default" w:ascii="Times New Roman" w:hAnsi="Times New Roman" w:eastAsia="黑体" w:cs="Times New Roman"/>
          <w:b w:val="0"/>
          <w:color w:val="auto"/>
          <w:sz w:val="24"/>
          <w:szCs w:val="24"/>
          <w:highlight w:val="none"/>
        </w:rPr>
        <w:t>17.5 交工结算</w:t>
      </w:r>
      <w:bookmarkEnd w:id="1572"/>
      <w:bookmarkEnd w:id="1573"/>
      <w:bookmarkEnd w:id="1574"/>
      <w:bookmarkEnd w:id="1575"/>
      <w:bookmarkEnd w:id="1576"/>
    </w:p>
    <w:p w14:paraId="66C1B53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交工付款申请单</w:t>
      </w:r>
    </w:p>
    <w:p w14:paraId="35C6C0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7C02B0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承包人向监理人提交交工付款申请单（包括相关证明材料）的份数在项目专用合同条款数据表中约定；期限：交工验收证书签发后42天内。</w:t>
      </w:r>
    </w:p>
    <w:p w14:paraId="2D1E520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交工付款证书及支付时间</w:t>
      </w:r>
    </w:p>
    <w:p w14:paraId="7D09F3C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本项（2）目细化为：</w:t>
      </w:r>
    </w:p>
    <w:p w14:paraId="35DAD1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发包人应在监理人出具交工付款证书且承包人提交了合格的增值税专用发票后的14天内，将应支付款支付给承包人。发包人不按期支付的，按第17.3.3（2）目的约定，将逾期付款违约金支付给承包人。</w:t>
      </w:r>
    </w:p>
    <w:p w14:paraId="35563E3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77" w:name="_Toc234833193"/>
      <w:bookmarkStart w:id="1578" w:name="_Toc11950"/>
      <w:bookmarkStart w:id="1579" w:name="_Toc19025"/>
      <w:bookmarkStart w:id="1580" w:name="_Toc11156"/>
      <w:bookmarkStart w:id="1581" w:name="_Toc792"/>
      <w:r>
        <w:rPr>
          <w:rFonts w:hint="default" w:ascii="Times New Roman" w:hAnsi="Times New Roman" w:eastAsia="黑体" w:cs="Times New Roman"/>
          <w:b w:val="0"/>
          <w:color w:val="auto"/>
          <w:sz w:val="24"/>
          <w:szCs w:val="24"/>
          <w:highlight w:val="none"/>
        </w:rPr>
        <w:t>17.6 最终结清</w:t>
      </w:r>
      <w:bookmarkEnd w:id="1577"/>
      <w:bookmarkEnd w:id="1578"/>
      <w:bookmarkEnd w:id="1579"/>
      <w:bookmarkEnd w:id="1580"/>
      <w:bookmarkEnd w:id="1581"/>
    </w:p>
    <w:p w14:paraId="51BB54C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6C1E66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61399B3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承包人向监理人提交最终结清申请单（包括相关证明材料）的份数在项目专用合同条款数据表中约定；期限：缺陷责任期终止证书签发后28天内。</w:t>
      </w:r>
    </w:p>
    <w:p w14:paraId="5B2B5B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最终结清申请单中的总金额应认为是代表了根据合同规定应付给承包人的全部款项的最后结算。</w:t>
      </w:r>
    </w:p>
    <w:p w14:paraId="3E6D1EDA">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7F3345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31E331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（2）发包人应在监理人出具最终结清证书且承包人提交了合格的增值税专用发票后的14天内，将应支付款支付给承包人。发包人不按期支付的，按第17.3.3（2）目的约定，将逾期付款违约金支付给承包人。</w:t>
      </w:r>
    </w:p>
    <w:p w14:paraId="0F546300">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82" w:name="_Toc22331"/>
      <w:bookmarkStart w:id="1583" w:name="_Toc12621"/>
      <w:bookmarkStart w:id="1584" w:name="_Toc8009"/>
      <w:bookmarkStart w:id="1585" w:name="_Toc234833194"/>
      <w:bookmarkStart w:id="1586" w:name="_Toc24563"/>
      <w:r>
        <w:rPr>
          <w:rFonts w:hint="default" w:ascii="Times New Roman" w:hAnsi="Times New Roman" w:eastAsia="黑体" w:cs="Times New Roman"/>
          <w:b w:val="0"/>
          <w:color w:val="auto"/>
          <w:sz w:val="28"/>
          <w:szCs w:val="28"/>
          <w:highlight w:val="none"/>
        </w:rPr>
        <w:t>18. 交工验收</w:t>
      </w:r>
      <w:bookmarkEnd w:id="1582"/>
      <w:bookmarkEnd w:id="1583"/>
      <w:bookmarkEnd w:id="1584"/>
      <w:bookmarkEnd w:id="1585"/>
      <w:bookmarkEnd w:id="1586"/>
    </w:p>
    <w:p w14:paraId="1D325E0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87" w:name="_Toc29033"/>
      <w:bookmarkStart w:id="1588" w:name="_Toc14002"/>
      <w:bookmarkStart w:id="1589" w:name="_Toc11196"/>
      <w:bookmarkStart w:id="1590" w:name="_Toc234833195"/>
      <w:bookmarkStart w:id="1591" w:name="_Toc13694"/>
      <w:r>
        <w:rPr>
          <w:rFonts w:hint="default" w:ascii="Times New Roman" w:hAnsi="Times New Roman" w:eastAsia="黑体" w:cs="Times New Roman"/>
          <w:b w:val="0"/>
          <w:color w:val="auto"/>
          <w:sz w:val="24"/>
          <w:szCs w:val="24"/>
          <w:highlight w:val="none"/>
        </w:rPr>
        <w:t>18.2 交工验收申请报告</w:t>
      </w:r>
      <w:bookmarkEnd w:id="1587"/>
      <w:bookmarkEnd w:id="1588"/>
      <w:bookmarkEnd w:id="1589"/>
      <w:bookmarkEnd w:id="1590"/>
      <w:bookmarkEnd w:id="1591"/>
    </w:p>
    <w:p w14:paraId="3840F1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本款第（2）项约定为：</w:t>
      </w:r>
    </w:p>
    <w:p w14:paraId="139883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竣工资料的内容：承包人应按照《公路工程竣（交）工验收办法》和相关规定编制竣工资料。</w:t>
      </w:r>
    </w:p>
    <w:p w14:paraId="692D9D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竣工资料的份数在项目专用合同条款数据表中约定。</w:t>
      </w:r>
    </w:p>
    <w:p w14:paraId="489D011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92" w:name="_Toc11830"/>
      <w:bookmarkStart w:id="1593" w:name="_Toc4025"/>
      <w:bookmarkStart w:id="1594" w:name="_Toc2589"/>
      <w:bookmarkStart w:id="1595" w:name="_Toc234833196"/>
      <w:bookmarkStart w:id="1596" w:name="_Toc15493"/>
      <w:r>
        <w:rPr>
          <w:rFonts w:hint="default" w:ascii="Times New Roman" w:hAnsi="Times New Roman" w:eastAsia="黑体" w:cs="Times New Roman"/>
          <w:b w:val="0"/>
          <w:color w:val="auto"/>
          <w:sz w:val="24"/>
          <w:szCs w:val="24"/>
          <w:highlight w:val="none"/>
        </w:rPr>
        <w:t>18.3 验收</w:t>
      </w:r>
      <w:bookmarkEnd w:id="1592"/>
      <w:bookmarkEnd w:id="1593"/>
      <w:bookmarkEnd w:id="1594"/>
      <w:bookmarkEnd w:id="1595"/>
      <w:bookmarkEnd w:id="1596"/>
    </w:p>
    <w:p w14:paraId="1ED9BC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第18.3.2项补充：</w:t>
      </w:r>
    </w:p>
    <w:p w14:paraId="446AEF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33AE7E3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第18.3.5项约定为：</w:t>
      </w:r>
    </w:p>
    <w:p w14:paraId="2081E6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经验收合格工程的实际交工日期，以最终提交交工验收申请报告的日期为准，并在交工验收证书中写明。</w:t>
      </w:r>
    </w:p>
    <w:p w14:paraId="31184C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本款补充第18.3.7项：</w:t>
      </w:r>
    </w:p>
    <w:p w14:paraId="544CC7E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组织办理交工验收和签发交工验收证书的费用由发包人承担。但按照第18.3.4项规定达不到合格标准的交工验收费用由承包人承担。</w:t>
      </w:r>
    </w:p>
    <w:p w14:paraId="14A2EF9B">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本条补充第18.9款：</w:t>
      </w:r>
    </w:p>
    <w:p w14:paraId="68225EC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97" w:name="_Toc3682"/>
      <w:bookmarkStart w:id="1598" w:name="_Toc234833197"/>
      <w:bookmarkStart w:id="1599" w:name="_Toc7218"/>
      <w:bookmarkStart w:id="1600" w:name="_Toc21991"/>
      <w:bookmarkStart w:id="1601" w:name="_Toc25110"/>
      <w:r>
        <w:rPr>
          <w:rFonts w:hint="default" w:ascii="Times New Roman" w:hAnsi="Times New Roman" w:eastAsia="黑体" w:cs="Times New Roman"/>
          <w:b w:val="0"/>
          <w:color w:val="auto"/>
          <w:sz w:val="24"/>
          <w:szCs w:val="24"/>
          <w:highlight w:val="none"/>
        </w:rPr>
        <w:t>18.9 竣工文件</w:t>
      </w:r>
      <w:bookmarkEnd w:id="1597"/>
      <w:bookmarkEnd w:id="1598"/>
      <w:bookmarkEnd w:id="1599"/>
      <w:bookmarkEnd w:id="1600"/>
      <w:bookmarkEnd w:id="1601"/>
    </w:p>
    <w:p w14:paraId="689330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承包人应按照《公路工程竣（交）工验收办法》的相关规定，在缺陷责任期内为竣工验收补充竣工资料，并在签发缺陷责任期终止证书之前提交。</w:t>
      </w:r>
    </w:p>
    <w:p w14:paraId="1E5B42A0">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02" w:name="_Toc234833198"/>
      <w:bookmarkStart w:id="1603" w:name="_Toc11360"/>
      <w:bookmarkStart w:id="1604" w:name="_Toc27071"/>
      <w:bookmarkStart w:id="1605" w:name="_Toc5229"/>
      <w:bookmarkStart w:id="1606" w:name="_Toc16481"/>
      <w:r>
        <w:rPr>
          <w:rFonts w:hint="default" w:ascii="Times New Roman" w:hAnsi="Times New Roman" w:eastAsia="黑体" w:cs="Times New Roman"/>
          <w:b w:val="0"/>
          <w:color w:val="auto"/>
          <w:sz w:val="28"/>
          <w:szCs w:val="28"/>
          <w:highlight w:val="none"/>
        </w:rPr>
        <w:t>19. 缺陷责任与保修责任</w:t>
      </w:r>
      <w:bookmarkEnd w:id="1602"/>
      <w:bookmarkEnd w:id="1603"/>
      <w:bookmarkEnd w:id="1604"/>
      <w:bookmarkEnd w:id="1605"/>
      <w:bookmarkEnd w:id="1606"/>
    </w:p>
    <w:p w14:paraId="6F9FDC9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07" w:name="_Toc4936"/>
      <w:bookmarkStart w:id="1608" w:name="_Toc32462"/>
      <w:bookmarkStart w:id="1609" w:name="_Toc13979"/>
      <w:bookmarkStart w:id="1610" w:name="_Toc234833199"/>
      <w:bookmarkStart w:id="1611" w:name="_Toc28049"/>
      <w:r>
        <w:rPr>
          <w:rFonts w:hint="default" w:ascii="Times New Roman" w:hAnsi="Times New Roman" w:eastAsia="黑体" w:cs="Times New Roman"/>
          <w:b w:val="0"/>
          <w:color w:val="auto"/>
          <w:sz w:val="24"/>
          <w:szCs w:val="24"/>
          <w:highlight w:val="none"/>
        </w:rPr>
        <w:t>19.2 缺陷责任</w:t>
      </w:r>
      <w:bookmarkEnd w:id="1607"/>
      <w:bookmarkEnd w:id="1608"/>
      <w:bookmarkEnd w:id="1609"/>
      <w:bookmarkEnd w:id="1610"/>
      <w:bookmarkEnd w:id="1611"/>
    </w:p>
    <w:p w14:paraId="59B229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第19.2.2项补充：</w:t>
      </w:r>
    </w:p>
    <w:p w14:paraId="60F252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在缺陷责任期内，承包人应尽快完成在交工验收证书中写明的未完成工作，并完成对本工程缺陷的修复或监理人指令的修补工作。</w:t>
      </w:r>
    </w:p>
    <w:p w14:paraId="06C1E80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12" w:name="_Toc17405"/>
      <w:bookmarkStart w:id="1613" w:name="_Toc234833200"/>
      <w:bookmarkStart w:id="1614" w:name="_Toc6222"/>
      <w:bookmarkStart w:id="1615" w:name="_Toc17860"/>
      <w:bookmarkStart w:id="1616" w:name="_Toc8826"/>
      <w:r>
        <w:rPr>
          <w:rFonts w:hint="default" w:ascii="Times New Roman" w:hAnsi="Times New Roman" w:eastAsia="黑体" w:cs="Times New Roman"/>
          <w:b w:val="0"/>
          <w:color w:val="auto"/>
          <w:sz w:val="24"/>
          <w:szCs w:val="24"/>
          <w:highlight w:val="none"/>
        </w:rPr>
        <w:t>19.5 承包人的进入权</w:t>
      </w:r>
      <w:bookmarkEnd w:id="1612"/>
      <w:bookmarkEnd w:id="1613"/>
      <w:bookmarkEnd w:id="1614"/>
      <w:bookmarkEnd w:id="1615"/>
      <w:bookmarkEnd w:id="1616"/>
      <w:r>
        <w:rPr>
          <w:rFonts w:hint="default" w:ascii="Times New Roman" w:hAnsi="Times New Roman" w:eastAsia="黑体" w:cs="Times New Roman"/>
          <w:b w:val="0"/>
          <w:color w:val="auto"/>
          <w:sz w:val="24"/>
          <w:szCs w:val="24"/>
          <w:highlight w:val="none"/>
        </w:rPr>
        <w:t xml:space="preserve"> </w:t>
      </w:r>
    </w:p>
    <w:p w14:paraId="56B793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DFAF1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承包人在缺陷修复施工过程中，应服从管养单位的有关安全管理规定，由于承包人自身原因造成的人员伤亡、设备和材料的损毁及罚款等责任由承包人自负。</w:t>
      </w:r>
    </w:p>
    <w:p w14:paraId="5FA2706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17" w:name="_Toc7118"/>
      <w:bookmarkStart w:id="1618" w:name="_Toc22662"/>
      <w:bookmarkStart w:id="1619" w:name="_Toc17931"/>
      <w:bookmarkStart w:id="1620" w:name="_Toc13835"/>
      <w:bookmarkStart w:id="1621" w:name="_Toc234833201"/>
      <w:r>
        <w:rPr>
          <w:rFonts w:hint="default" w:ascii="Times New Roman" w:hAnsi="Times New Roman" w:eastAsia="黑体" w:cs="Times New Roman"/>
          <w:b w:val="0"/>
          <w:color w:val="auto"/>
          <w:sz w:val="24"/>
          <w:szCs w:val="24"/>
          <w:highlight w:val="none"/>
        </w:rPr>
        <w:t>19.7 保修责任</w:t>
      </w:r>
      <w:bookmarkEnd w:id="1617"/>
      <w:bookmarkEnd w:id="1618"/>
      <w:bookmarkEnd w:id="1619"/>
      <w:bookmarkEnd w:id="1620"/>
      <w:bookmarkEnd w:id="1621"/>
    </w:p>
    <w:p w14:paraId="1175F2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602D05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4BD08F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（2）在全部工程交工验收前，已经发包人提前验收的单位工程，其保修期的起算日期相应提前。</w:t>
      </w:r>
    </w:p>
    <w:p w14:paraId="098142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（3）工程保修期终止后28天内，监理人签发保修期终止证书。</w:t>
      </w:r>
    </w:p>
    <w:p w14:paraId="7931DE6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（4）若承包人不履行保修义务和责任，则承包人应承担由于违约造成的法律后果，并由发包人将其违约行为上报省级交通运输主管部门，作为不良记录纳入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1F130C8">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22" w:name="_Toc21318"/>
      <w:bookmarkStart w:id="1623" w:name="_Toc22022"/>
      <w:bookmarkStart w:id="1624" w:name="_Toc23441"/>
      <w:bookmarkStart w:id="1625" w:name="_Toc234833202"/>
      <w:bookmarkStart w:id="1626" w:name="_Toc27979"/>
      <w:r>
        <w:rPr>
          <w:rFonts w:hint="default" w:ascii="Times New Roman" w:hAnsi="Times New Roman" w:eastAsia="黑体" w:cs="Times New Roman"/>
          <w:b w:val="0"/>
          <w:color w:val="auto"/>
          <w:sz w:val="28"/>
          <w:szCs w:val="28"/>
          <w:highlight w:val="none"/>
        </w:rPr>
        <w:t>20. 保险</w:t>
      </w:r>
      <w:bookmarkEnd w:id="1622"/>
      <w:bookmarkEnd w:id="1623"/>
      <w:bookmarkEnd w:id="1624"/>
      <w:bookmarkEnd w:id="1625"/>
      <w:bookmarkEnd w:id="1626"/>
    </w:p>
    <w:p w14:paraId="48A4947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27" w:name="_Toc27757"/>
      <w:bookmarkStart w:id="1628" w:name="_Toc20820"/>
      <w:bookmarkStart w:id="1629" w:name="_Toc234833203"/>
      <w:bookmarkStart w:id="1630" w:name="_Toc14820"/>
      <w:bookmarkStart w:id="1631" w:name="_Toc18588"/>
      <w:r>
        <w:rPr>
          <w:rFonts w:hint="default" w:ascii="Times New Roman" w:hAnsi="Times New Roman" w:eastAsia="黑体" w:cs="Times New Roman"/>
          <w:b w:val="0"/>
          <w:color w:val="auto"/>
          <w:sz w:val="24"/>
          <w:szCs w:val="24"/>
          <w:highlight w:val="none"/>
        </w:rPr>
        <w:t>20.1工程保险</w:t>
      </w:r>
      <w:bookmarkEnd w:id="1627"/>
      <w:bookmarkEnd w:id="1628"/>
      <w:bookmarkEnd w:id="1629"/>
      <w:bookmarkEnd w:id="1630"/>
      <w:bookmarkEnd w:id="1631"/>
    </w:p>
    <w:p w14:paraId="254950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32AFED3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建筑工程一切险的投保内容：为本合同工程的永久工程、临时工程和设备及已运至施工工地用于永久工程的材料和设备所投的保险。</w:t>
      </w:r>
    </w:p>
    <w:p w14:paraId="3D8ED9A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保险金额：工程量清单第100章（不含建筑工程一切险及第三者责任险的保险费）至第700章的合计金额。</w:t>
      </w:r>
    </w:p>
    <w:p w14:paraId="6E59CE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保险费率：在项目专用合同条款数据表中约定。</w:t>
      </w:r>
    </w:p>
    <w:p w14:paraId="0E4C22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保险期限：开工日起直至本合同工程签发缺陷责任期终止证书止（即合同工期＋缺陷责任期）。</w:t>
      </w:r>
    </w:p>
    <w:p w14:paraId="0FC59D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承包人应以发包人和承包人的共同名义投保建筑工程一切险。建筑工程一切险的保险费由承包人报价时列入工程量清单第100章内。发包人在接到保险单后，将按照保险单的费用直接向承包人支付。</w:t>
      </w:r>
    </w:p>
    <w:p w14:paraId="62130C2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32" w:name="_Toc234833204"/>
      <w:bookmarkStart w:id="1633" w:name="_Toc9762"/>
      <w:bookmarkStart w:id="1634" w:name="_Toc28327"/>
      <w:bookmarkStart w:id="1635" w:name="_Toc1174"/>
      <w:bookmarkStart w:id="1636" w:name="_Toc6160"/>
      <w:r>
        <w:rPr>
          <w:rFonts w:hint="default" w:ascii="Times New Roman" w:hAnsi="Times New Roman" w:eastAsia="黑体" w:cs="Times New Roman"/>
          <w:b w:val="0"/>
          <w:color w:val="auto"/>
          <w:sz w:val="24"/>
          <w:szCs w:val="24"/>
          <w:highlight w:val="none"/>
        </w:rPr>
        <w:t>20.4 第三者责任险</w:t>
      </w:r>
      <w:bookmarkEnd w:id="1632"/>
      <w:bookmarkEnd w:id="1633"/>
      <w:bookmarkEnd w:id="1634"/>
      <w:bookmarkEnd w:id="1635"/>
      <w:bookmarkEnd w:id="1636"/>
    </w:p>
    <w:p w14:paraId="6B626DA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第20.4.2项补充：</w:t>
      </w:r>
    </w:p>
    <w:p w14:paraId="77B84CE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第三者责任险的保险费由承包人报价时列入工程量清单第100章内。发包人在接到保险单后，将按照保险单的费用直接向承包人支付。</w:t>
      </w:r>
    </w:p>
    <w:p w14:paraId="5614757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37" w:name="_Toc4864"/>
      <w:bookmarkStart w:id="1638" w:name="_Toc13808"/>
      <w:bookmarkStart w:id="1639" w:name="_Toc27537"/>
      <w:bookmarkStart w:id="1640" w:name="_Toc234833205"/>
      <w:bookmarkStart w:id="1641" w:name="_Toc5754"/>
      <w:r>
        <w:rPr>
          <w:rFonts w:hint="default" w:ascii="Times New Roman" w:hAnsi="Times New Roman" w:eastAsia="黑体" w:cs="Times New Roman"/>
          <w:b w:val="0"/>
          <w:color w:val="auto"/>
          <w:sz w:val="24"/>
          <w:szCs w:val="24"/>
          <w:highlight w:val="none"/>
        </w:rPr>
        <w:t>20.5 其他保险</w:t>
      </w:r>
      <w:bookmarkEnd w:id="1637"/>
      <w:bookmarkEnd w:id="1638"/>
      <w:bookmarkEnd w:id="1639"/>
      <w:bookmarkEnd w:id="1640"/>
      <w:bookmarkEnd w:id="1641"/>
    </w:p>
    <w:p w14:paraId="441B2F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1F8E154B">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承包人应为其施工设备等办理保险，其投保金额应足以现场重置。办理本款保险的一切费用均由承包人承担，并包括在工程量清单的单价及总额价中，发包人不单独支付。</w:t>
      </w:r>
    </w:p>
    <w:p w14:paraId="475084E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42" w:name="_Toc19524"/>
      <w:bookmarkStart w:id="1643" w:name="_Toc234833206"/>
      <w:bookmarkStart w:id="1644" w:name="_Toc22712"/>
      <w:bookmarkStart w:id="1645" w:name="_Toc1959"/>
      <w:bookmarkStart w:id="1646" w:name="_Toc32122"/>
      <w:r>
        <w:rPr>
          <w:rFonts w:hint="default" w:ascii="Times New Roman" w:hAnsi="Times New Roman" w:eastAsia="黑体" w:cs="Times New Roman"/>
          <w:b w:val="0"/>
          <w:color w:val="auto"/>
          <w:sz w:val="24"/>
          <w:szCs w:val="24"/>
          <w:highlight w:val="none"/>
        </w:rPr>
        <w:t>20.6 对各项保险的一般要求</w:t>
      </w:r>
      <w:bookmarkEnd w:id="1642"/>
      <w:bookmarkEnd w:id="1643"/>
      <w:bookmarkEnd w:id="1644"/>
      <w:bookmarkEnd w:id="1645"/>
      <w:bookmarkEnd w:id="1646"/>
    </w:p>
    <w:p w14:paraId="0DC38AF3">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20.6.1 保险凭证</w:t>
      </w:r>
    </w:p>
    <w:p w14:paraId="328A946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366207B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承包人向发包人提交各项保险生效的证据和保险单副本的期限：开工后56天内。</w:t>
      </w:r>
    </w:p>
    <w:p w14:paraId="6CEDB9F0">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20.6.3 持续保险</w:t>
      </w:r>
    </w:p>
    <w:p w14:paraId="229D42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15E3A0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在整个合同期内，承包人应按合同条款规定保证足够的保险额。</w:t>
      </w:r>
    </w:p>
    <w:p w14:paraId="685F9F33">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20.6.4 保险金不足的补偿</w:t>
      </w:r>
    </w:p>
    <w:p w14:paraId="2024DF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333665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保险金不足以补偿损失的（包括免赔额和超过赔偿限额的部分），应由承包人和（或）发包人按合同约定负责补偿。</w:t>
      </w:r>
    </w:p>
    <w:p w14:paraId="68CADDFC">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20.6.5 未按约定投保的补救</w:t>
      </w:r>
    </w:p>
    <w:p w14:paraId="3DB83D2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7D15F7A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0BB91E5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47" w:name="_Toc10087"/>
      <w:bookmarkStart w:id="1648" w:name="_Toc24331"/>
      <w:bookmarkStart w:id="1649" w:name="_Toc25592"/>
      <w:bookmarkStart w:id="1650" w:name="_Toc23861"/>
      <w:bookmarkStart w:id="1651" w:name="_Toc234833207"/>
      <w:r>
        <w:rPr>
          <w:rFonts w:hint="default" w:ascii="Times New Roman" w:hAnsi="Times New Roman" w:eastAsia="黑体" w:cs="Times New Roman"/>
          <w:b w:val="0"/>
          <w:color w:val="auto"/>
          <w:sz w:val="28"/>
          <w:szCs w:val="28"/>
          <w:highlight w:val="none"/>
        </w:rPr>
        <w:t>21. 不可抗力</w:t>
      </w:r>
      <w:bookmarkEnd w:id="1647"/>
      <w:bookmarkEnd w:id="1648"/>
      <w:bookmarkEnd w:id="1649"/>
      <w:bookmarkEnd w:id="1650"/>
      <w:bookmarkEnd w:id="1651"/>
    </w:p>
    <w:p w14:paraId="5CBEF09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52" w:name="_Toc1192"/>
      <w:bookmarkStart w:id="1653" w:name="_Toc30052"/>
      <w:bookmarkStart w:id="1654" w:name="_Toc234833208"/>
      <w:bookmarkStart w:id="1655" w:name="_Toc25698"/>
      <w:bookmarkStart w:id="1656" w:name="_Toc31397"/>
      <w:r>
        <w:rPr>
          <w:rFonts w:hint="default" w:ascii="Times New Roman" w:hAnsi="Times New Roman" w:eastAsia="黑体" w:cs="Times New Roman"/>
          <w:b w:val="0"/>
          <w:color w:val="auto"/>
          <w:sz w:val="24"/>
          <w:szCs w:val="24"/>
          <w:highlight w:val="none"/>
        </w:rPr>
        <w:t>21.1 不可抗力的确认</w:t>
      </w:r>
      <w:bookmarkEnd w:id="1652"/>
      <w:bookmarkEnd w:id="1653"/>
      <w:bookmarkEnd w:id="1654"/>
      <w:bookmarkEnd w:id="1655"/>
      <w:bookmarkEnd w:id="1656"/>
    </w:p>
    <w:p w14:paraId="7932C2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第21.1.1项细化为：</w:t>
      </w:r>
    </w:p>
    <w:p w14:paraId="3BCE83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不可抗力是指承包人和发包人在订立合同时不可预见，在工程施工过程中不可避免发生并不能克服的自然灾害和社会性突发事件。包括但不限于：</w:t>
      </w:r>
    </w:p>
    <w:p w14:paraId="1C6BAA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（1）地震、海啸、火山爆发、泥石流、暴雨（雪）、台风、龙卷风、水灾等自然灾害；</w:t>
      </w:r>
    </w:p>
    <w:p w14:paraId="639CA4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（2）战争、骚乱、暴动，但纯属承包人或其分包人派遣与雇用的人员由于本合同工程施工原因引起者除外；</w:t>
      </w:r>
    </w:p>
    <w:p w14:paraId="777CC4F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（3）核反应、辐射或放射性污染；</w:t>
      </w:r>
    </w:p>
    <w:p w14:paraId="4D595E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（4）空中飞行物体坠落或非发包人或承包人责任造成的爆炸、火灾；</w:t>
      </w:r>
    </w:p>
    <w:p w14:paraId="75504A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（5）瘟疫；</w:t>
      </w:r>
    </w:p>
    <w:p w14:paraId="796022E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（6）项目专用合同条款约定的其他情形。</w:t>
      </w:r>
    </w:p>
    <w:p w14:paraId="7C4783B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57" w:name="_Toc26115"/>
      <w:bookmarkStart w:id="1658" w:name="_Toc30802"/>
      <w:bookmarkStart w:id="1659" w:name="_Toc5219"/>
      <w:bookmarkStart w:id="1660" w:name="_Toc1492"/>
      <w:bookmarkStart w:id="1661" w:name="_Toc234833209"/>
      <w:r>
        <w:rPr>
          <w:rFonts w:hint="default" w:ascii="Times New Roman" w:hAnsi="Times New Roman" w:eastAsia="黑体" w:cs="Times New Roman"/>
          <w:b w:val="0"/>
          <w:color w:val="auto"/>
          <w:sz w:val="24"/>
          <w:szCs w:val="24"/>
          <w:highlight w:val="none"/>
        </w:rPr>
        <w:t>21.3 不可抗力后果及其处理</w:t>
      </w:r>
      <w:bookmarkEnd w:id="1657"/>
      <w:bookmarkEnd w:id="1658"/>
      <w:bookmarkEnd w:id="1659"/>
      <w:bookmarkEnd w:id="1660"/>
      <w:bookmarkEnd w:id="1661"/>
    </w:p>
    <w:p w14:paraId="0B4F678C">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4558C1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56D0F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572F980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62" w:name="_Toc23055"/>
      <w:bookmarkStart w:id="1663" w:name="_Toc14650"/>
      <w:bookmarkStart w:id="1664" w:name="_Toc3129"/>
      <w:bookmarkStart w:id="1665" w:name="_Toc234833210"/>
      <w:bookmarkStart w:id="1666" w:name="_Toc18919"/>
      <w:r>
        <w:rPr>
          <w:rFonts w:hint="default" w:ascii="Times New Roman" w:hAnsi="Times New Roman" w:eastAsia="黑体" w:cs="Times New Roman"/>
          <w:b w:val="0"/>
          <w:color w:val="auto"/>
          <w:sz w:val="28"/>
          <w:szCs w:val="28"/>
          <w:highlight w:val="none"/>
        </w:rPr>
        <w:t>22. 违约</w:t>
      </w:r>
      <w:bookmarkEnd w:id="1662"/>
      <w:bookmarkEnd w:id="1663"/>
      <w:bookmarkEnd w:id="1664"/>
      <w:bookmarkEnd w:id="1665"/>
      <w:bookmarkEnd w:id="1666"/>
    </w:p>
    <w:p w14:paraId="72E6799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67" w:name="_Toc234833211"/>
      <w:bookmarkStart w:id="1668" w:name="_Toc1580"/>
      <w:bookmarkStart w:id="1669" w:name="_Toc3439"/>
      <w:bookmarkStart w:id="1670" w:name="_Toc7490"/>
      <w:bookmarkStart w:id="1671" w:name="_Toc6115"/>
      <w:r>
        <w:rPr>
          <w:rFonts w:hint="default" w:ascii="Times New Roman" w:hAnsi="Times New Roman" w:eastAsia="黑体" w:cs="Times New Roman"/>
          <w:b w:val="0"/>
          <w:color w:val="auto"/>
          <w:sz w:val="24"/>
          <w:szCs w:val="24"/>
          <w:highlight w:val="none"/>
        </w:rPr>
        <w:t>22.1 承包人违约</w:t>
      </w:r>
      <w:bookmarkEnd w:id="1667"/>
      <w:bookmarkEnd w:id="1668"/>
      <w:bookmarkEnd w:id="1669"/>
      <w:bookmarkEnd w:id="1670"/>
      <w:bookmarkEnd w:id="1671"/>
    </w:p>
    <w:p w14:paraId="684F706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7D0DA0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43BA2F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（2）承包人违反第5.3款或第6.4款的约定，未经监理人批准，私自将已按合同约定进入施工场地的施工设备、临时设施、材料或工程设备撤离施工场地；</w:t>
      </w:r>
    </w:p>
    <w:p w14:paraId="122115D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本项（7）目细化为：</w:t>
      </w:r>
    </w:p>
    <w:p w14:paraId="4D8ADF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（7）承包人未能按期开工；</w:t>
      </w:r>
    </w:p>
    <w:p w14:paraId="6625FDA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（8）承包人违反第4.6款或第6.3款的规定，未按承诺或未按监理人的要求及时配备称职的主要管理人员、技术骨干或关键施工设备；</w:t>
      </w:r>
    </w:p>
    <w:p w14:paraId="4D1C35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（9）经监理人和发包人检查，发现承包人有安全问题或有违反安全管理规章制度的情况；</w:t>
      </w:r>
    </w:p>
    <w:p w14:paraId="25B792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（10）承包人不按合同约定履行义务的其他情况。</w:t>
      </w:r>
    </w:p>
    <w:p w14:paraId="32C9C39C">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7C31642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220D9B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（4）承包人发生第22.1.1项约定的违约情况时，无论发包人是否解除合同，发包人均有权向承包人课以项目专用合同条款中规定的违约金，并由发包人将其违约行为上报省级交通运输主管部门，作为不良记录纳入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492AE70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72" w:name="_Toc15822"/>
      <w:bookmarkStart w:id="1673" w:name="_Toc3432"/>
      <w:bookmarkStart w:id="1674" w:name="_Toc30636"/>
      <w:bookmarkStart w:id="1675" w:name="_Toc29380"/>
      <w:bookmarkStart w:id="1676" w:name="_Toc234833212"/>
      <w:r>
        <w:rPr>
          <w:rFonts w:hint="default" w:ascii="Times New Roman" w:hAnsi="Times New Roman" w:eastAsia="黑体" w:cs="Times New Roman"/>
          <w:b w:val="0"/>
          <w:color w:val="auto"/>
          <w:sz w:val="24"/>
          <w:szCs w:val="24"/>
          <w:highlight w:val="none"/>
        </w:rPr>
        <w:t>22.2 发包人违约</w:t>
      </w:r>
      <w:bookmarkEnd w:id="1672"/>
      <w:bookmarkEnd w:id="1673"/>
      <w:bookmarkEnd w:id="1674"/>
      <w:bookmarkEnd w:id="1675"/>
      <w:bookmarkEnd w:id="1676"/>
    </w:p>
    <w:p w14:paraId="06B753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451D22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本项（5）目细化为：</w:t>
      </w:r>
    </w:p>
    <w:p w14:paraId="5B8555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（5）发包人无正当理由不按时返还履约保证金、质量保证金或农民工工资保证金的；</w:t>
      </w:r>
    </w:p>
    <w:p w14:paraId="533357A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（6）发包人不履行合同约定其他义务的。</w:t>
      </w:r>
    </w:p>
    <w:p w14:paraId="4917402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501F590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C07CAC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7053BE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2EC7A6B8">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6F7020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F4C3DB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（2）承包人为该工程施工订购并已付款的材料、工程设备和其他物品的金额。发包人付款后，该材料、工程设备和其他物品归发包人所有；</w:t>
      </w:r>
    </w:p>
    <w:p w14:paraId="08692370">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77" w:name="_Toc1579"/>
      <w:bookmarkStart w:id="1678" w:name="_Toc4428"/>
      <w:bookmarkStart w:id="1679" w:name="_Toc27505"/>
      <w:bookmarkStart w:id="1680" w:name="_Toc26887"/>
      <w:bookmarkStart w:id="1681" w:name="_Toc234833213"/>
      <w:r>
        <w:rPr>
          <w:rFonts w:hint="default" w:ascii="Times New Roman" w:hAnsi="Times New Roman" w:eastAsia="黑体" w:cs="Times New Roman"/>
          <w:b w:val="0"/>
          <w:color w:val="auto"/>
          <w:sz w:val="28"/>
          <w:szCs w:val="28"/>
          <w:highlight w:val="none"/>
        </w:rPr>
        <w:t>23. 索赔</w:t>
      </w:r>
      <w:bookmarkEnd w:id="1677"/>
      <w:bookmarkEnd w:id="1678"/>
      <w:bookmarkEnd w:id="1679"/>
      <w:bookmarkEnd w:id="1680"/>
      <w:bookmarkEnd w:id="1681"/>
    </w:p>
    <w:p w14:paraId="1D09911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82" w:name="_Toc234833214"/>
      <w:bookmarkStart w:id="1683" w:name="_Toc5503"/>
      <w:bookmarkStart w:id="1684" w:name="_Toc1551"/>
      <w:bookmarkStart w:id="1685" w:name="_Toc7676"/>
      <w:bookmarkStart w:id="1686" w:name="_Toc16220"/>
      <w:r>
        <w:rPr>
          <w:rFonts w:hint="default" w:ascii="Times New Roman" w:hAnsi="Times New Roman" w:eastAsia="黑体" w:cs="Times New Roman"/>
          <w:b w:val="0"/>
          <w:color w:val="auto"/>
          <w:sz w:val="24"/>
          <w:szCs w:val="24"/>
          <w:highlight w:val="none"/>
        </w:rPr>
        <w:t>23.1 承包人索赔的提出</w:t>
      </w:r>
      <w:bookmarkEnd w:id="1682"/>
      <w:bookmarkEnd w:id="1683"/>
      <w:bookmarkEnd w:id="1684"/>
      <w:bookmarkEnd w:id="1685"/>
      <w:bookmarkEnd w:id="1686"/>
    </w:p>
    <w:p w14:paraId="71DC00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本款第（4）项细化为：</w:t>
      </w:r>
    </w:p>
    <w:p w14:paraId="587FAC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（4）在索赔事件影响结束后的28天内，承包人应向监理人递交最终索赔通知书，说明最终要求索赔的追加付款金额和（或）延长的工期，并附必要的记录和证明材料。</w:t>
      </w:r>
    </w:p>
    <w:p w14:paraId="705C024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87" w:name="_Toc12793"/>
      <w:bookmarkStart w:id="1688" w:name="_Toc29342"/>
      <w:bookmarkStart w:id="1689" w:name="_Toc26842"/>
      <w:bookmarkStart w:id="1690" w:name="_Toc16608"/>
      <w:bookmarkStart w:id="1691" w:name="_Toc234833215"/>
      <w:r>
        <w:rPr>
          <w:rFonts w:hint="default" w:ascii="Times New Roman" w:hAnsi="Times New Roman" w:eastAsia="黑体" w:cs="Times New Roman"/>
          <w:b w:val="0"/>
          <w:color w:val="auto"/>
          <w:sz w:val="24"/>
          <w:szCs w:val="24"/>
          <w:highlight w:val="none"/>
        </w:rPr>
        <w:t>23.2 承包人索赔处理程序</w:t>
      </w:r>
      <w:bookmarkEnd w:id="1687"/>
      <w:bookmarkEnd w:id="1688"/>
      <w:bookmarkEnd w:id="1689"/>
      <w:bookmarkEnd w:id="1690"/>
      <w:bookmarkEnd w:id="1691"/>
    </w:p>
    <w:p w14:paraId="0451EF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本款第（2）项细化为：</w:t>
      </w:r>
    </w:p>
    <w:p w14:paraId="3A6DC1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4179F31A">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92" w:name="_Toc11561"/>
      <w:bookmarkStart w:id="1693" w:name="_Toc30770"/>
      <w:bookmarkStart w:id="1694" w:name="_Toc18749"/>
      <w:bookmarkStart w:id="1695" w:name="_Toc18247"/>
      <w:bookmarkStart w:id="1696" w:name="_Toc234833216"/>
      <w:r>
        <w:rPr>
          <w:rFonts w:hint="default" w:ascii="Times New Roman" w:hAnsi="Times New Roman" w:eastAsia="黑体" w:cs="Times New Roman"/>
          <w:b w:val="0"/>
          <w:color w:val="auto"/>
          <w:sz w:val="28"/>
          <w:szCs w:val="28"/>
          <w:highlight w:val="none"/>
        </w:rPr>
        <w:t>24. 争议的解决</w:t>
      </w:r>
      <w:bookmarkEnd w:id="1692"/>
      <w:bookmarkEnd w:id="1693"/>
      <w:bookmarkEnd w:id="1694"/>
      <w:bookmarkEnd w:id="1695"/>
      <w:bookmarkEnd w:id="1696"/>
    </w:p>
    <w:p w14:paraId="546C610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97" w:name="_Toc3289"/>
      <w:bookmarkStart w:id="1698" w:name="_Toc18858"/>
      <w:bookmarkStart w:id="1699" w:name="_Toc234833217"/>
      <w:bookmarkStart w:id="1700" w:name="_Toc26371"/>
      <w:bookmarkStart w:id="1701" w:name="_Toc29697"/>
      <w:r>
        <w:rPr>
          <w:rFonts w:hint="default" w:ascii="Times New Roman" w:hAnsi="Times New Roman" w:eastAsia="黑体" w:cs="Times New Roman"/>
          <w:b w:val="0"/>
          <w:color w:val="auto"/>
          <w:sz w:val="24"/>
          <w:szCs w:val="24"/>
          <w:highlight w:val="none"/>
        </w:rPr>
        <w:t>24.3 争议评审</w:t>
      </w:r>
      <w:bookmarkEnd w:id="1697"/>
      <w:bookmarkEnd w:id="1698"/>
      <w:bookmarkEnd w:id="1699"/>
      <w:bookmarkEnd w:id="1700"/>
      <w:bookmarkEnd w:id="1701"/>
    </w:p>
    <w:p w14:paraId="654E2C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第24.3.1项补充：</w:t>
      </w:r>
    </w:p>
    <w:p w14:paraId="58F3DA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72F7E356">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本条补充第24.4款、第24.5款（适用于采用仲裁方式最终解决争议的项目）：</w:t>
      </w:r>
    </w:p>
    <w:p w14:paraId="4447308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02" w:name="_Toc13339"/>
      <w:bookmarkStart w:id="1703" w:name="_Toc22012"/>
      <w:bookmarkStart w:id="1704" w:name="_Toc32419"/>
      <w:bookmarkStart w:id="1705" w:name="_Toc234833218"/>
      <w:bookmarkStart w:id="1706" w:name="_Toc24990"/>
      <w:r>
        <w:rPr>
          <w:rFonts w:hint="default" w:ascii="Times New Roman" w:hAnsi="Times New Roman" w:eastAsia="黑体" w:cs="Times New Roman"/>
          <w:b w:val="0"/>
          <w:color w:val="auto"/>
          <w:sz w:val="24"/>
          <w:szCs w:val="24"/>
          <w:highlight w:val="none"/>
        </w:rPr>
        <w:t>24.4 仲裁</w:t>
      </w:r>
      <w:bookmarkEnd w:id="1702"/>
      <w:bookmarkEnd w:id="1703"/>
      <w:bookmarkEnd w:id="1704"/>
      <w:bookmarkEnd w:id="1705"/>
      <w:bookmarkEnd w:id="1706"/>
    </w:p>
    <w:p w14:paraId="14D1155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（1）对于未能友好解决或未能通过争议评审解决的争议，发包人或承包人任一方均有权提交给第24.1款约定的仲裁委员会仲裁。</w:t>
      </w:r>
    </w:p>
    <w:p w14:paraId="2A9239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1943B9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（3）仲裁裁决是终局性的并对发包人和承包人双方具有约束力。</w:t>
      </w:r>
    </w:p>
    <w:p w14:paraId="066304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（4）全部仲裁费用应由败诉方承担；或按仲裁委员会裁决的比例分担。</w:t>
      </w:r>
    </w:p>
    <w:p w14:paraId="3F341E1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07" w:name="_Toc20967"/>
      <w:bookmarkStart w:id="1708" w:name="_Toc2028"/>
      <w:bookmarkStart w:id="1709" w:name="_Toc30469"/>
      <w:bookmarkStart w:id="1710" w:name="_Toc9071"/>
      <w:bookmarkStart w:id="1711" w:name="_Toc234833219"/>
      <w:r>
        <w:rPr>
          <w:rFonts w:hint="default" w:ascii="Times New Roman" w:hAnsi="Times New Roman" w:eastAsia="黑体" w:cs="Times New Roman"/>
          <w:b w:val="0"/>
          <w:color w:val="auto"/>
          <w:sz w:val="24"/>
          <w:szCs w:val="24"/>
          <w:highlight w:val="none"/>
        </w:rPr>
        <w:t>24.5 仲裁的执行</w:t>
      </w:r>
      <w:bookmarkEnd w:id="1707"/>
      <w:bookmarkEnd w:id="1708"/>
      <w:bookmarkEnd w:id="1709"/>
      <w:bookmarkEnd w:id="1710"/>
      <w:bookmarkEnd w:id="1711"/>
    </w:p>
    <w:p w14:paraId="3FF441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（1）任何一方不履行仲裁机构的裁决的，对方可以向有管辖权的人民法院申请执行。</w:t>
      </w:r>
    </w:p>
    <w:p w14:paraId="4CD90A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7365E25A">
      <w:pPr>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4"/>
          <w:highlight w:val="none"/>
        </w:rPr>
        <w:br w:type="page"/>
      </w:r>
      <w:bookmarkStart w:id="1712" w:name="_Toc234833220"/>
      <w:bookmarkStart w:id="1713" w:name="_Toc10610"/>
      <w:bookmarkStart w:id="1714" w:name="_Toc3230"/>
      <w:r>
        <w:rPr>
          <w:rFonts w:hint="default" w:ascii="Times New Roman" w:hAnsi="Times New Roman" w:eastAsia="黑体" w:cs="Times New Roman"/>
          <w:b w:val="0"/>
          <w:color w:val="auto"/>
          <w:sz w:val="32"/>
          <w:szCs w:val="32"/>
          <w:highlight w:val="none"/>
        </w:rPr>
        <w:t>B. 项目专用合同条款</w:t>
      </w:r>
      <w:bookmarkEnd w:id="1712"/>
      <w:bookmarkEnd w:id="1713"/>
      <w:bookmarkEnd w:id="1714"/>
    </w:p>
    <w:p w14:paraId="7246D34F">
      <w:pPr>
        <w:pageBreakBefore w:val="0"/>
        <w:kinsoku/>
        <w:wordWrap w:val="0"/>
        <w:bidi w:val="0"/>
        <w:spacing w:line="440" w:lineRule="exact"/>
        <w:rPr>
          <w:rFonts w:hint="default" w:ascii="Times New Roman" w:hAnsi="Times New Roman" w:eastAsia="黑体" w:cs="Times New Roman"/>
          <w:color w:val="auto"/>
          <w:sz w:val="27"/>
          <w:szCs w:val="27"/>
          <w:highlight w:val="none"/>
        </w:rPr>
      </w:pPr>
    </w:p>
    <w:p w14:paraId="60D0DFF9">
      <w:pPr>
        <w:pStyle w:val="17"/>
        <w:pageBreakBefore w:val="0"/>
        <w:kinsoku/>
        <w:wordWrap w:val="0"/>
        <w:bidi w:val="0"/>
        <w:snapToGrid w:val="0"/>
        <w:spacing w:line="400" w:lineRule="atLeast"/>
        <w:ind w:left="0" w:leftChars="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  明：</w:t>
      </w:r>
    </w:p>
    <w:p w14:paraId="28520724">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1.招标人在根据《</w:t>
      </w:r>
      <w:r>
        <w:rPr>
          <w:rFonts w:hint="default" w:ascii="Times New Roman" w:hAnsi="Times New Roman" w:eastAsia="楷体_GB2312" w:cs="Times New Roman"/>
          <w:color w:val="auto"/>
          <w:sz w:val="24"/>
          <w:highlight w:val="none"/>
          <w:lang w:val="en-US" w:eastAsia="zh-CN"/>
        </w:rPr>
        <w:t>标准文件</w:t>
      </w:r>
      <w:r>
        <w:rPr>
          <w:rFonts w:hint="default" w:ascii="Times New Roman" w:hAnsi="Times New Roman" w:eastAsia="楷体_GB2312" w:cs="Times New Roman"/>
          <w:color w:val="auto"/>
          <w:sz w:val="24"/>
          <w:highlight w:val="none"/>
        </w:rPr>
        <w:t>》编制项目招标文件中的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时，可根据招标项目的具体特点和实际需要，对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进行补充和细化，除</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可作出不同约定以及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可作出不同约定外，补充和细化的内容不得与</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强制性规定相抵触。同时，补充、细化或约定的内容，不得违反法律、行政法规的强制性规定和平等、自愿、公平和诚实信用原则。</w:t>
      </w:r>
    </w:p>
    <w:p w14:paraId="7B3EE134">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2.项目专用合同条款的编号应与通用合同条款和公路工程专用合同条款一致。</w:t>
      </w:r>
    </w:p>
    <w:p w14:paraId="297B28F3">
      <w:pPr>
        <w:pStyle w:val="17"/>
        <w:pageBreakBefore w:val="0"/>
        <w:kinsoku/>
        <w:wordWrap w:val="0"/>
        <w:bidi w:val="0"/>
        <w:snapToGrid w:val="0"/>
        <w:spacing w:line="400" w:lineRule="atLeast"/>
        <w:ind w:left="0" w:leftChars="0" w:firstLine="720" w:firstLineChars="300"/>
        <w:outlineLvl w:val="9"/>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3.项目专用合同条款可对下列内容进行补充和细化：</w:t>
      </w:r>
    </w:p>
    <w:p w14:paraId="58B163AC">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应按合同约定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应按专用合同条款约定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除合同另有约定外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在专用合同条款中约定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0743205B">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除项目专用合同条款另有约定外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项目专用合同条款可能约定的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项目专用合同条款约定的其他情形</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333A824D">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（3）其他需要补充、细化的内容。</w:t>
      </w:r>
    </w:p>
    <w:p w14:paraId="2BE08D11">
      <w:pPr>
        <w:pStyle w:val="17"/>
        <w:pageBreakBefore w:val="0"/>
        <w:kinsoku/>
        <w:wordWrap w:val="0"/>
        <w:bidi w:val="0"/>
        <w:snapToGrid w:val="0"/>
        <w:spacing w:line="400" w:lineRule="atLeast"/>
        <w:ind w:left="0" w:leftChars="0" w:firstLine="720" w:firstLineChars="300"/>
        <w:rPr>
          <w:rFonts w:hint="default" w:ascii="Times New Roman" w:hAnsi="Times New Roman" w:eastAsia="黑体" w:cs="Times New Roman"/>
          <w:color w:val="auto"/>
          <w:sz w:val="24"/>
          <w:highlight w:val="none"/>
        </w:rPr>
      </w:pPr>
    </w:p>
    <w:p w14:paraId="411E2593">
      <w:pPr>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8"/>
          <w:highlight w:val="none"/>
        </w:rPr>
        <w:br w:type="page"/>
      </w:r>
      <w:bookmarkStart w:id="1715" w:name="_Toc234833221"/>
      <w:bookmarkStart w:id="1716" w:name="_Toc21057"/>
      <w:bookmarkStart w:id="1717" w:name="_Toc7284"/>
      <w:bookmarkStart w:id="1718" w:name="_Toc30237"/>
      <w:r>
        <w:rPr>
          <w:rFonts w:hint="default" w:ascii="Times New Roman" w:hAnsi="Times New Roman" w:eastAsia="黑体" w:cs="Times New Roman"/>
          <w:b w:val="0"/>
          <w:color w:val="auto"/>
          <w:sz w:val="32"/>
          <w:szCs w:val="32"/>
          <w:highlight w:val="none"/>
        </w:rPr>
        <w:t>项目专用合同条款数据表</w:t>
      </w:r>
      <w:bookmarkEnd w:id="1715"/>
      <w:bookmarkEnd w:id="1716"/>
      <w:bookmarkEnd w:id="1717"/>
      <w:bookmarkEnd w:id="1718"/>
    </w:p>
    <w:p w14:paraId="005BC19A">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本数据表是项目专用合同条款中适用于本项目的信息和数据的归纳与提示，是项目专用合同条款的组成部分。第九章</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的投标函附录中的数据（供投标人确认）与本表所列有重复。编写招标文件的单位应仔细校核，不使数据出现差错或不一致。</w:t>
      </w:r>
    </w:p>
    <w:p w14:paraId="067F1B1D">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p>
    <w:tbl>
      <w:tblPr>
        <w:tblStyle w:val="39"/>
        <w:tblW w:w="9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4D46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29" w:type="dxa"/>
            <w:noWrap w:val="0"/>
            <w:vAlign w:val="center"/>
          </w:tcPr>
          <w:p w14:paraId="002D335F">
            <w:pPr>
              <w:pageBreakBefore w:val="0"/>
              <w:kinsoku/>
              <w:wordWrap w:val="0"/>
              <w:bidi w:val="0"/>
              <w:snapToGrid w:val="0"/>
              <w:spacing w:before="100" w:beforeAutospacing="1" w:line="36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111" w:type="dxa"/>
            <w:noWrap w:val="0"/>
            <w:vAlign w:val="center"/>
          </w:tcPr>
          <w:p w14:paraId="690276D3">
            <w:pPr>
              <w:pageBreakBefore w:val="0"/>
              <w:kinsoku/>
              <w:wordWrap w:val="0"/>
              <w:bidi w:val="0"/>
              <w:snapToGrid w:val="0"/>
              <w:spacing w:line="36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条目号</w:t>
            </w:r>
          </w:p>
        </w:tc>
        <w:tc>
          <w:tcPr>
            <w:tcW w:w="7304" w:type="dxa"/>
            <w:noWrap w:val="0"/>
            <w:vAlign w:val="center"/>
          </w:tcPr>
          <w:p w14:paraId="22F0043C">
            <w:pPr>
              <w:pageBreakBefore w:val="0"/>
              <w:kinsoku/>
              <w:wordWrap w:val="0"/>
              <w:bidi w:val="0"/>
              <w:snapToGrid w:val="0"/>
              <w:spacing w:line="36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信息或数据</w:t>
            </w:r>
          </w:p>
        </w:tc>
      </w:tr>
      <w:tr w14:paraId="3E99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17087541">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1111" w:type="dxa"/>
            <w:shd w:val="clear" w:color="auto" w:fill="auto"/>
            <w:noWrap w:val="0"/>
            <w:vAlign w:val="top"/>
          </w:tcPr>
          <w:p w14:paraId="28672EDE">
            <w:pPr>
              <w:spacing w:line="248" w:lineRule="auto"/>
              <w:rPr>
                <w:rFonts w:ascii="Arial"/>
                <w:sz w:val="21"/>
              </w:rPr>
            </w:pPr>
          </w:p>
          <w:p w14:paraId="27ACC556">
            <w:pPr>
              <w:spacing w:line="248" w:lineRule="auto"/>
              <w:rPr>
                <w:rFonts w:ascii="Arial"/>
                <w:sz w:val="21"/>
              </w:rPr>
            </w:pPr>
          </w:p>
          <w:p w14:paraId="0F2B5CE6">
            <w:pPr>
              <w:spacing w:line="248" w:lineRule="auto"/>
              <w:rPr>
                <w:rFonts w:ascii="Arial"/>
                <w:sz w:val="21"/>
              </w:rPr>
            </w:pPr>
          </w:p>
          <w:p w14:paraId="5AA1BBCE">
            <w:pPr>
              <w:spacing w:line="248" w:lineRule="auto"/>
              <w:rPr>
                <w:rFonts w:ascii="Arial"/>
                <w:sz w:val="21"/>
              </w:rPr>
            </w:pPr>
          </w:p>
          <w:p w14:paraId="76F02673">
            <w:pPr>
              <w:spacing w:line="249" w:lineRule="auto"/>
              <w:rPr>
                <w:rFonts w:ascii="Arial"/>
                <w:sz w:val="21"/>
              </w:rPr>
            </w:pPr>
          </w:p>
          <w:p w14:paraId="386013B3">
            <w:pPr>
              <w:spacing w:line="249" w:lineRule="auto"/>
              <w:rPr>
                <w:rFonts w:ascii="Arial"/>
                <w:sz w:val="21"/>
              </w:rPr>
            </w:pPr>
          </w:p>
          <w:p w14:paraId="772842CC">
            <w:pPr>
              <w:spacing w:line="249" w:lineRule="auto"/>
              <w:rPr>
                <w:rFonts w:ascii="Arial"/>
                <w:sz w:val="21"/>
              </w:rPr>
            </w:pPr>
          </w:p>
          <w:p w14:paraId="2B24F25B">
            <w:pPr>
              <w:spacing w:line="249" w:lineRule="auto"/>
              <w:rPr>
                <w:rFonts w:ascii="Arial"/>
                <w:sz w:val="21"/>
              </w:rPr>
            </w:pPr>
          </w:p>
          <w:p w14:paraId="7990EDFC">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rPr>
            </w:pPr>
          </w:p>
          <w:p w14:paraId="2AFC0F21">
            <w:pPr>
              <w:pageBreakBefore w:val="0"/>
              <w:kinsoku/>
              <w:wordWrap w:val="0"/>
              <w:bidi w:val="0"/>
              <w:snapToGrid w:val="0"/>
              <w:spacing w:line="360" w:lineRule="atLeast"/>
              <w:jc w:val="center"/>
              <w:rPr>
                <w:rFonts w:hint="default" w:ascii="宋体" w:hAnsi="宋体" w:eastAsia="宋体" w:cs="宋体"/>
                <w:kern w:val="2"/>
                <w:sz w:val="24"/>
                <w:szCs w:val="24"/>
                <w:lang w:val="en-US" w:eastAsia="en-US" w:bidi="ar-SA"/>
              </w:rPr>
            </w:pPr>
            <w:r>
              <w:rPr>
                <w:rFonts w:hint="default" w:ascii="Times New Roman" w:hAnsi="Times New Roman" w:eastAsia="宋体" w:cs="Times New Roman"/>
                <w:color w:val="auto"/>
                <w:szCs w:val="21"/>
                <w:highlight w:val="none"/>
              </w:rPr>
              <w:t>1.1.1.8</w:t>
            </w:r>
          </w:p>
        </w:tc>
        <w:tc>
          <w:tcPr>
            <w:tcW w:w="7304" w:type="dxa"/>
            <w:shd w:val="clear" w:color="auto" w:fill="auto"/>
            <w:noWrap w:val="0"/>
            <w:vAlign w:val="top"/>
          </w:tcPr>
          <w:p w14:paraId="21E48CE2">
            <w:pPr>
              <w:pStyle w:val="93"/>
              <w:spacing w:before="136" w:line="362" w:lineRule="auto"/>
              <w:ind w:left="132" w:right="118" w:firstLine="23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已标价工程量清单：指构成合同文件组成部分的根据发包人在招标阶段发出的 已明确各清单子目具体价格的工程量清单及承包人投标总价形成的工程量清单。</w:t>
            </w:r>
          </w:p>
          <w:p w14:paraId="79917F3A">
            <w:pPr>
              <w:pStyle w:val="93"/>
              <w:spacing w:before="6" w:line="218"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招标阶段的工程量清单中的数量仅为投标报价的基础，在工程开工前，在签约</w:t>
            </w:r>
          </w:p>
          <w:p w14:paraId="5022D9BF">
            <w:pPr>
              <w:pStyle w:val="93"/>
              <w:spacing w:before="140" w:line="352" w:lineRule="auto"/>
              <w:ind w:left="12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合同价中的“承包人工程施工价款”不变的前提下，根据施工图等合同组成文件，发包人或监理人将组织对已标价工程量清单进行核查，并有权对单价或总额价进行相应调整，承包人应予以配合。</w:t>
            </w:r>
          </w:p>
          <w:p w14:paraId="71AD977B">
            <w:pPr>
              <w:pStyle w:val="93"/>
              <w:spacing w:before="2" w:line="348" w:lineRule="auto"/>
              <w:ind w:left="122" w:right="159" w:firstLine="22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本工程合同价格中的“承包人工程施工价款”采用总价合同方式，已标价工程量清单作为履约过程中期中计量支付的参考，并作为确定变更工作单价的依据， 但不作为最终结算的依据。</w:t>
            </w:r>
          </w:p>
          <w:p w14:paraId="3DDF0D5C">
            <w:pPr>
              <w:pStyle w:val="93"/>
              <w:spacing w:before="2" w:line="304" w:lineRule="auto"/>
              <w:ind w:left="122" w:leftChars="0" w:firstLine="218" w:firstLineChars="0"/>
              <w:rPr>
                <w:rFonts w:hint="default" w:ascii="宋体" w:hAnsi="宋体" w:eastAsia="宋体" w:cs="宋体"/>
                <w:kern w:val="2"/>
                <w:sz w:val="24"/>
                <w:szCs w:val="24"/>
                <w:lang w:val="en-US" w:eastAsia="zh-CN" w:bidi="ar-SA"/>
              </w:rPr>
            </w:pPr>
            <w:r>
              <w:rPr>
                <w:rFonts w:hint="default" w:ascii="Times New Roman" w:hAnsi="Times New Roman" w:eastAsia="宋体" w:cs="Times New Roman"/>
                <w:color w:val="auto"/>
                <w:kern w:val="2"/>
                <w:sz w:val="21"/>
                <w:szCs w:val="21"/>
                <w:highlight w:val="none"/>
                <w:lang w:val="en-US" w:eastAsia="zh-CN" w:bidi="ar-SA"/>
              </w:rPr>
              <w:t>在工程验收前，在合同价格中的“承包人工程施工价款”结算价不变的前提下， 根据施工图和变更等合同组成文件，承包人、监理人、发包人将对实际完成工程量进行核查，并对单价或总额价进行相应调整，编制结算已标价工程量清单。</w:t>
            </w:r>
          </w:p>
        </w:tc>
      </w:tr>
      <w:tr w14:paraId="4584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4CED64E6">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1111" w:type="dxa"/>
            <w:shd w:val="clear" w:color="auto" w:fill="auto"/>
            <w:noWrap w:val="0"/>
            <w:vAlign w:val="center"/>
          </w:tcPr>
          <w:p w14:paraId="5C204D12">
            <w:pPr>
              <w:pageBreakBefore w:val="0"/>
              <w:kinsoku/>
              <w:wordWrap w:val="0"/>
              <w:bidi w:val="0"/>
              <w:snapToGrid w:val="0"/>
              <w:spacing w:line="36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1.1.2.2</w:t>
            </w:r>
          </w:p>
        </w:tc>
        <w:tc>
          <w:tcPr>
            <w:tcW w:w="7304" w:type="dxa"/>
            <w:shd w:val="clear" w:color="auto" w:fill="auto"/>
            <w:noWrap w:val="0"/>
            <w:vAlign w:val="center"/>
          </w:tcPr>
          <w:p w14:paraId="3C3F048A">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val="en-US" w:eastAsia="zh-CN"/>
              </w:rPr>
              <w:t>发 包 人：盖州市交通运输服务中心</w:t>
            </w:r>
          </w:p>
          <w:p w14:paraId="7D04C91F">
            <w:pPr>
              <w:pageBreakBefore w:val="0"/>
              <w:kinsoku/>
              <w:wordWrap w:val="0"/>
              <w:bidi w:val="0"/>
              <w:snapToGrid w:val="0"/>
              <w:spacing w:line="360" w:lineRule="atLeast"/>
              <w:ind w:firstLine="239" w:firstLineChars="114"/>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Cs w:val="21"/>
                <w:highlight w:val="none"/>
              </w:rPr>
              <w:t>地    址：</w:t>
            </w:r>
            <w:r>
              <w:rPr>
                <w:rFonts w:hint="default" w:ascii="Times New Roman" w:hAnsi="Times New Roman" w:cs="Times New Roman"/>
                <w:color w:val="auto"/>
                <w:szCs w:val="21"/>
                <w:highlight w:val="none"/>
                <w:lang w:val="en-US" w:eastAsia="zh-CN"/>
              </w:rPr>
              <w:t>营口市</w:t>
            </w:r>
            <w:r>
              <w:rPr>
                <w:rFonts w:hint="default" w:ascii="Times New Roman" w:hAnsi="Times New Roman" w:cs="Times New Roman"/>
                <w:color w:val="auto"/>
                <w:szCs w:val="21"/>
                <w:highlight w:val="none"/>
              </w:rPr>
              <w:t>盖州市盖州路108号    邮政编码：</w:t>
            </w:r>
            <w:r>
              <w:rPr>
                <w:rFonts w:hint="eastAsia" w:cs="Times New Roman"/>
                <w:color w:val="auto"/>
                <w:szCs w:val="21"/>
                <w:highlight w:val="none"/>
                <w:lang w:val="en-US" w:eastAsia="zh-CN"/>
              </w:rPr>
              <w:t>115200</w:t>
            </w:r>
          </w:p>
        </w:tc>
      </w:tr>
      <w:tr w14:paraId="4EF1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36F6888C">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111" w:type="dxa"/>
            <w:noWrap w:val="0"/>
            <w:vAlign w:val="center"/>
          </w:tcPr>
          <w:p w14:paraId="643AC346">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1.1.2.6</w:t>
            </w:r>
          </w:p>
        </w:tc>
        <w:tc>
          <w:tcPr>
            <w:tcW w:w="7304" w:type="dxa"/>
            <w:noWrap w:val="0"/>
            <w:vAlign w:val="center"/>
          </w:tcPr>
          <w:p w14:paraId="337BEAA7">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 理 人：</w:t>
            </w:r>
            <w:r>
              <w:rPr>
                <w:color w:val="auto"/>
                <w:spacing w:val="1"/>
              </w:rPr>
              <w:t>(发包人将在签订合同协议书后，将上述信息书面通知承包人)</w:t>
            </w:r>
            <w:r>
              <w:rPr>
                <w:rFonts w:hint="default" w:ascii="Times New Roman" w:hAnsi="Times New Roman" w:cs="Times New Roman"/>
                <w:color w:val="auto"/>
                <w:szCs w:val="21"/>
                <w:highlight w:val="none"/>
              </w:rPr>
              <w:t xml:space="preserve">    地    址：   </w:t>
            </w:r>
          </w:p>
        </w:tc>
      </w:tr>
      <w:tr w14:paraId="2468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16497F4D">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111" w:type="dxa"/>
            <w:shd w:val="clear" w:color="auto" w:fill="auto"/>
            <w:noWrap w:val="0"/>
            <w:vAlign w:val="center"/>
          </w:tcPr>
          <w:p w14:paraId="7B5FE8C3">
            <w:pPr>
              <w:pageBreakBefore w:val="0"/>
              <w:kinsoku/>
              <w:wordWrap w:val="0"/>
              <w:bidi w:val="0"/>
              <w:snapToGrid w:val="0"/>
              <w:spacing w:line="360" w:lineRule="atLeast"/>
              <w:ind w:firstLine="241" w:firstLineChars="114"/>
              <w:jc w:val="center"/>
              <w:rPr>
                <w:rFonts w:ascii="Times New Roman" w:hAnsi="Times New Roman" w:eastAsia="宋体" w:cs="Times New Roman"/>
                <w:color w:val="auto"/>
                <w:spacing w:val="1"/>
              </w:rPr>
            </w:pPr>
          </w:p>
          <w:p w14:paraId="2BE4079D">
            <w:pPr>
              <w:pageBreakBefore w:val="0"/>
              <w:kinsoku/>
              <w:wordWrap w:val="0"/>
              <w:bidi w:val="0"/>
              <w:snapToGrid w:val="0"/>
              <w:spacing w:line="360" w:lineRule="atLeast"/>
              <w:jc w:val="center"/>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t>1.1.2.9</w:t>
            </w:r>
          </w:p>
        </w:tc>
        <w:tc>
          <w:tcPr>
            <w:tcW w:w="7304" w:type="dxa"/>
            <w:shd w:val="clear" w:color="auto" w:fill="auto"/>
            <w:noWrap w:val="0"/>
            <w:vAlign w:val="top"/>
          </w:tcPr>
          <w:p w14:paraId="48C6E8ED">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t>项目法人：本项目的项目法人由项目出资人和项目管理法人组成，其中项目出资人为辽宁省交通运输厅；项目管理法人为辽宁省交通运输事业发展中心，是项目各项费用的支付主体及本合同工程的监督管理主体。</w:t>
            </w:r>
          </w:p>
        </w:tc>
      </w:tr>
      <w:tr w14:paraId="460B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F6B73EB">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1111" w:type="dxa"/>
            <w:shd w:val="clear" w:color="auto" w:fill="auto"/>
            <w:noWrap w:val="0"/>
            <w:vAlign w:val="center"/>
          </w:tcPr>
          <w:p w14:paraId="5EA89DD2">
            <w:pPr>
              <w:pageBreakBefore w:val="0"/>
              <w:kinsoku/>
              <w:wordWrap w:val="0"/>
              <w:bidi w:val="0"/>
              <w:snapToGrid w:val="0"/>
              <w:spacing w:line="360" w:lineRule="atLeast"/>
              <w:ind w:firstLine="241" w:firstLineChars="114"/>
              <w:jc w:val="center"/>
              <w:rPr>
                <w:rFonts w:ascii="Times New Roman" w:hAnsi="Times New Roman" w:eastAsia="宋体" w:cs="Times New Roman"/>
                <w:color w:val="auto"/>
                <w:spacing w:val="1"/>
              </w:rPr>
            </w:pPr>
          </w:p>
          <w:p w14:paraId="6C879E59">
            <w:pPr>
              <w:pageBreakBefore w:val="0"/>
              <w:kinsoku/>
              <w:wordWrap w:val="0"/>
              <w:bidi w:val="0"/>
              <w:snapToGrid w:val="0"/>
              <w:spacing w:line="360" w:lineRule="atLeast"/>
              <w:ind w:firstLine="241" w:firstLineChars="114"/>
              <w:jc w:val="center"/>
              <w:rPr>
                <w:rFonts w:ascii="Times New Roman" w:hAnsi="Times New Roman" w:eastAsia="宋体" w:cs="Times New Roman"/>
                <w:color w:val="auto"/>
                <w:spacing w:val="1"/>
              </w:rPr>
            </w:pPr>
          </w:p>
          <w:p w14:paraId="32CFF1F5">
            <w:pPr>
              <w:pageBreakBefore w:val="0"/>
              <w:kinsoku/>
              <w:wordWrap w:val="0"/>
              <w:bidi w:val="0"/>
              <w:snapToGrid w:val="0"/>
              <w:spacing w:line="360" w:lineRule="atLeast"/>
              <w:jc w:val="center"/>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fldChar w:fldCharType="begin"/>
            </w:r>
            <w:r>
              <w:rPr>
                <w:rFonts w:ascii="Times New Roman" w:hAnsi="Times New Roman" w:eastAsia="宋体" w:cs="Times New Roman"/>
                <w:color w:val="auto"/>
                <w:spacing w:val="1"/>
              </w:rPr>
              <w:instrText xml:space="preserve"> HYPERLINK "1.1.2.10" </w:instrText>
            </w:r>
            <w:r>
              <w:rPr>
                <w:rFonts w:ascii="Times New Roman" w:hAnsi="Times New Roman" w:eastAsia="宋体" w:cs="Times New Roman"/>
                <w:color w:val="auto"/>
                <w:spacing w:val="1"/>
              </w:rPr>
              <w:fldChar w:fldCharType="separate"/>
            </w:r>
            <w:r>
              <w:rPr>
                <w:rFonts w:ascii="Times New Roman" w:hAnsi="Times New Roman" w:eastAsia="宋体" w:cs="Times New Roman"/>
                <w:color w:val="auto"/>
                <w:spacing w:val="1"/>
              </w:rPr>
              <w:t>1.1.2.10</w:t>
            </w:r>
            <w:r>
              <w:rPr>
                <w:rFonts w:ascii="Times New Roman" w:hAnsi="Times New Roman" w:eastAsia="宋体" w:cs="Times New Roman"/>
                <w:color w:val="auto"/>
                <w:spacing w:val="1"/>
              </w:rPr>
              <w:fldChar w:fldCharType="end"/>
            </w:r>
          </w:p>
        </w:tc>
        <w:tc>
          <w:tcPr>
            <w:tcW w:w="7304" w:type="dxa"/>
            <w:shd w:val="clear" w:color="auto" w:fill="auto"/>
            <w:noWrap w:val="0"/>
            <w:vAlign w:val="top"/>
          </w:tcPr>
          <w:p w14:paraId="239AA601">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t>项目代建人：指本项目的发包人，是承担本合同工程质量、安全、投资及工期 等管理的责任主体。承包人应理解并接受，发包人是由项目管理法人以协议等方 式委托，全面负责本合同工程管理的执行机构，本合同仅约束发包人与承包人， 本合同效力不及于出资人及项目管理法人。</w:t>
            </w:r>
          </w:p>
        </w:tc>
      </w:tr>
      <w:tr w14:paraId="47A1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01CC821B">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1111" w:type="dxa"/>
            <w:shd w:val="clear" w:color="auto" w:fill="auto"/>
            <w:noWrap w:val="0"/>
            <w:vAlign w:val="center"/>
          </w:tcPr>
          <w:p w14:paraId="7CBEEFE1">
            <w:pPr>
              <w:pageBreakBefore w:val="0"/>
              <w:kinsoku/>
              <w:wordWrap w:val="0"/>
              <w:bidi w:val="0"/>
              <w:snapToGrid w:val="0"/>
              <w:spacing w:line="36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1.1.4.5</w:t>
            </w:r>
          </w:p>
        </w:tc>
        <w:tc>
          <w:tcPr>
            <w:tcW w:w="7304" w:type="dxa"/>
            <w:shd w:val="clear" w:color="auto" w:fill="auto"/>
            <w:noWrap w:val="0"/>
            <w:vAlign w:val="center"/>
          </w:tcPr>
          <w:p w14:paraId="054A646D">
            <w:pPr>
              <w:pageBreakBefore w:val="0"/>
              <w:kinsoku/>
              <w:wordWrap w:val="0"/>
              <w:bidi w:val="0"/>
              <w:snapToGrid w:val="0"/>
              <w:spacing w:line="360" w:lineRule="atLeast"/>
              <w:ind w:firstLine="239" w:firstLineChars="11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缺陷责任期：自实际交工日期起计算</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Style w:val="47"/>
                <w:rFonts w:hint="default" w:ascii="Times New Roman" w:hAnsi="Times New Roman" w:cs="Times New Roman"/>
                <w:color w:val="auto"/>
                <w:szCs w:val="21"/>
                <w:highlight w:val="none"/>
              </w:rPr>
              <w:footnoteReference w:id="35"/>
            </w:r>
          </w:p>
        </w:tc>
      </w:tr>
      <w:tr w14:paraId="5B60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24F683AA">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3FB140F5">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t>7</w:t>
            </w:r>
          </w:p>
        </w:tc>
        <w:tc>
          <w:tcPr>
            <w:tcW w:w="1111" w:type="dxa"/>
            <w:shd w:val="clear" w:color="auto" w:fill="auto"/>
            <w:noWrap w:val="0"/>
            <w:vAlign w:val="top"/>
          </w:tcPr>
          <w:p w14:paraId="29832DF4">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7891F588">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t>1.1.5.1</w:t>
            </w:r>
          </w:p>
        </w:tc>
        <w:tc>
          <w:tcPr>
            <w:tcW w:w="7304" w:type="dxa"/>
            <w:shd w:val="clear" w:color="auto" w:fill="auto"/>
            <w:noWrap w:val="0"/>
            <w:vAlign w:val="top"/>
          </w:tcPr>
          <w:p w14:paraId="6A560BF6">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hint="eastAsia" w:ascii="Times New Roman" w:hAnsi="Times New Roman" w:eastAsia="宋体" w:cs="Times New Roman"/>
                <w:color w:val="auto"/>
                <w:spacing w:val="1"/>
                <w:lang w:val="en-US" w:eastAsia="en-US"/>
              </w:rPr>
              <w:t>签约合同价：指签订合同时合同协议书中写明的，包括了暂列金额（如有）、暂估价（如有）的合同总金额。本项目签约合同价由项目管理法人应付给承包人的“承包人工程施工价款”、以及项目管理法人应付给沥青供应商的“基质沥青材料款”、“SBS改性沥青材料款（含SBS改性剂材料款及加工费，下同）”组成，其中：“基质沥青材料款”、“SBS改性沥青材料款”为材料暂估价，按照招标阶段发包人公布的出厂暂估单价及暂估数量计列。</w:t>
            </w:r>
          </w:p>
        </w:tc>
      </w:tr>
      <w:tr w14:paraId="751E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20D8593E">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7012AA3">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65DFD4A4">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692D37E3">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481556BA">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13F13DAB">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67C3353C">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23804337">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26ECF04D">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07C3C1E9">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7570E8F">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30AF73A7">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A73262A">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407A575B">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3CB0082F">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B4560EE">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0F9C816A">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10A2F582">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8D25428">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1201035F">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67556DF">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t>8</w:t>
            </w:r>
          </w:p>
        </w:tc>
        <w:tc>
          <w:tcPr>
            <w:tcW w:w="1111" w:type="dxa"/>
            <w:shd w:val="clear" w:color="auto" w:fill="auto"/>
            <w:noWrap w:val="0"/>
            <w:vAlign w:val="top"/>
          </w:tcPr>
          <w:p w14:paraId="0944A664">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4D5234F0">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3B80C18F">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43DBD103">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0031375A">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3E0FAA01">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086E8D4D">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65BF6EF2">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0AFE7224">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32B275ED">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03F85F99">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6737369B">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1D1A1E7A">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171DB3C7">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07685BBD">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321B96E">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1B0AA3F2">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48E4AFDF">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381C4698">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5B49B0A5">
            <w:pPr>
              <w:pageBreakBefore w:val="0"/>
              <w:kinsoku/>
              <w:wordWrap w:val="0"/>
              <w:bidi w:val="0"/>
              <w:snapToGrid w:val="0"/>
              <w:spacing w:line="360" w:lineRule="atLeast"/>
              <w:ind w:firstLine="241" w:firstLineChars="114"/>
              <w:rPr>
                <w:rFonts w:ascii="Times New Roman" w:hAnsi="Times New Roman" w:eastAsia="宋体" w:cs="Times New Roman"/>
                <w:color w:val="auto"/>
                <w:spacing w:val="1"/>
              </w:rPr>
            </w:pPr>
          </w:p>
          <w:p w14:paraId="6FDDB432">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ascii="Times New Roman" w:hAnsi="Times New Roman" w:eastAsia="宋体" w:cs="Times New Roman"/>
                <w:color w:val="auto"/>
                <w:spacing w:val="1"/>
              </w:rPr>
              <w:t>1.1.5.2</w:t>
            </w:r>
          </w:p>
        </w:tc>
        <w:tc>
          <w:tcPr>
            <w:tcW w:w="7304" w:type="dxa"/>
            <w:shd w:val="clear" w:color="auto" w:fill="auto"/>
            <w:noWrap w:val="0"/>
            <w:vAlign w:val="top"/>
          </w:tcPr>
          <w:p w14:paraId="1466AFC5">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hint="default" w:ascii="Times New Roman" w:hAnsi="Times New Roman" w:eastAsia="宋体" w:cs="Times New Roman"/>
                <w:color w:val="auto"/>
                <w:spacing w:val="1"/>
                <w:lang w:val="en-US" w:eastAsia="en-US"/>
              </w:rPr>
              <w:t>（1）合同价格是指承包人按合同约定完成了包括缺陷责任期内的全部承包工作后，项目管理法人应付给承包人的“承包人工程施工价款”、以及项目管理法人应付给沥青供应商的“基质沥青材料款”、“SBS改性沥青材料款”，包括在履行合同过程中按合同约定进行的变更和调整。</w:t>
            </w:r>
          </w:p>
          <w:p w14:paraId="47DB93B1">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hint="default" w:ascii="Times New Roman" w:hAnsi="Times New Roman" w:eastAsia="宋体" w:cs="Times New Roman"/>
                <w:color w:val="auto"/>
                <w:spacing w:val="1"/>
                <w:lang w:val="en-US" w:eastAsia="en-US"/>
              </w:rPr>
              <w:t>（2）合同价格中的“承包人工程施工价款”采用总价合同方式。指承包人按照施工图设计文件(含变更设计文件)完成本工程所有施工内容，按合同约定完成包括缺陷责任期内的全部合同义务且保证工程满足合同约定的质量要求及质量检验标准后，项目管理法人应付给承包人的工程施工价款，包括在履行合同过程中按专用合同条款第5.2款、第15.4款、第16.1款约定进行的变更和调整。除合同约定引起的变更和调整外，发包人以及承包人已充分考虑了在履约过程中的所有风险，签约合同价中的“承包人工程施工价款”即为项目管理法人最终支付给承包人的工程施工价款。</w:t>
            </w:r>
          </w:p>
          <w:p w14:paraId="348DE868">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hint="default" w:ascii="Times New Roman" w:hAnsi="Times New Roman" w:eastAsia="宋体" w:cs="Times New Roman"/>
                <w:color w:val="auto"/>
                <w:spacing w:val="1"/>
                <w:lang w:val="en-US" w:eastAsia="en-US"/>
              </w:rPr>
              <w:t>（3）“承包人工程施工价款”结算价：根据“签约合同价中的承包人工程施工价款”、“按专用合同条款第5.2款（或第15.4款或第16.1款）约定进行的变更和调整”进行计算，最终结算价以发包人、监理人、承包人共同核定的金额为准。在竣工决算经行业主管部门审查(如有)、审计方审计（如有）后，发包人将综合审查审计意见(如有)调整“承包人工程施工价款”结算价，承包人应予以接受。当行业主管部门和审计方对同一内容有不同意见的，以审查、审计两者最终核定工程价款较低金额为准。</w:t>
            </w:r>
          </w:p>
          <w:p w14:paraId="6A507BFA">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hint="default" w:ascii="Times New Roman" w:hAnsi="Times New Roman" w:eastAsia="宋体" w:cs="Times New Roman"/>
                <w:color w:val="auto"/>
                <w:spacing w:val="1"/>
                <w:lang w:val="en-US" w:eastAsia="en-US"/>
              </w:rPr>
              <w:t>依据审查、审计结论(如有)需承包人返还工程款时，承包人应按发包人要求的时限及时返还，否则，发包人有权扣减相应的质量保证金（或动用承包人的质量保证金保函）予以抵扣。质量保证金不足以抵扣承包人需返还工程款的，承包人应按发包人要求的时限及时补齐，否则，发包人将通过诉讼手段向承包人进行追索。</w:t>
            </w:r>
          </w:p>
          <w:p w14:paraId="698EB937">
            <w:pPr>
              <w:pageBreakBefore w:val="0"/>
              <w:kinsoku/>
              <w:wordWrap w:val="0"/>
              <w:bidi w:val="0"/>
              <w:snapToGrid w:val="0"/>
              <w:spacing w:line="360" w:lineRule="atLeast"/>
              <w:ind w:firstLine="241" w:firstLineChars="114"/>
              <w:rPr>
                <w:rFonts w:hint="default" w:ascii="Times New Roman" w:hAnsi="Times New Roman" w:eastAsia="宋体" w:cs="Times New Roman"/>
                <w:color w:val="auto"/>
                <w:spacing w:val="1"/>
                <w:lang w:val="en-US" w:eastAsia="en-US"/>
              </w:rPr>
            </w:pPr>
            <w:r>
              <w:rPr>
                <w:rFonts w:hint="default" w:ascii="Times New Roman" w:hAnsi="Times New Roman" w:eastAsia="宋体" w:cs="Times New Roman"/>
                <w:color w:val="auto"/>
                <w:spacing w:val="1"/>
                <w:lang w:val="en-US" w:eastAsia="en-US"/>
              </w:rPr>
              <w:t>（4）合同价格中的“基质沥青材料款”、“SBS改性沥青材料款”采用据实确价方式，按照合同履行过程中基质沥青、SBS改性沥青实际出厂单价及实际供应数量计算。</w:t>
            </w:r>
          </w:p>
        </w:tc>
      </w:tr>
      <w:tr w14:paraId="0CF0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5FEB0E4B">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6554725B">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1111" w:type="dxa"/>
            <w:noWrap w:val="0"/>
            <w:vAlign w:val="top"/>
          </w:tcPr>
          <w:p w14:paraId="4DBFE929">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331D54F3">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1.1.5.5</w:t>
            </w:r>
          </w:p>
        </w:tc>
        <w:tc>
          <w:tcPr>
            <w:tcW w:w="7304" w:type="dxa"/>
            <w:noWrap w:val="0"/>
            <w:vAlign w:val="top"/>
          </w:tcPr>
          <w:p w14:paraId="10FDD241">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暂估价：指对于合同中某些不确定价格的材料、设备以及专业工程的金额，发包人预先指定了一个价格作为投标人报价的依据。该作为暂估价的材料、设备以 及专业工程在合同执行过程中的实际价格按照合同条款规定执行。</w:t>
            </w:r>
          </w:p>
        </w:tc>
      </w:tr>
      <w:tr w14:paraId="1588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3960737B">
            <w:pPr>
              <w:pageBreakBefore w:val="0"/>
              <w:kinsoku/>
              <w:wordWrap w:val="0"/>
              <w:bidi w:val="0"/>
              <w:snapToGrid w:val="0"/>
              <w:spacing w:line="360" w:lineRule="atLeast"/>
              <w:rPr>
                <w:rFonts w:hint="default" w:ascii="Times New Roman" w:hAnsi="Times New Roman" w:eastAsia="宋体" w:cs="Times New Roman"/>
                <w:color w:val="auto"/>
                <w:szCs w:val="21"/>
                <w:highlight w:val="none"/>
              </w:rPr>
            </w:pPr>
          </w:p>
          <w:p w14:paraId="6D8655BC">
            <w:pPr>
              <w:pageBreakBefore w:val="0"/>
              <w:kinsoku/>
              <w:wordWrap w:val="0"/>
              <w:bidi w:val="0"/>
              <w:snapToGrid w:val="0"/>
              <w:spacing w:line="360" w:lineRule="atLeas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1111" w:type="dxa"/>
            <w:noWrap w:val="0"/>
            <w:vAlign w:val="top"/>
          </w:tcPr>
          <w:p w14:paraId="6381BA6A">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1.1.6.2~ 1.1.6.5</w:t>
            </w:r>
          </w:p>
        </w:tc>
        <w:tc>
          <w:tcPr>
            <w:tcW w:w="7304" w:type="dxa"/>
            <w:noWrap w:val="0"/>
            <w:vAlign w:val="top"/>
          </w:tcPr>
          <w:p w14:paraId="22661A68">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本工程为按一阶段验收的一般养护工程，交工验收与竣工验收合并进行，统称 为“工程验收”。本项第1.1.6.2目～第1.1.6.5目细化为：</w:t>
            </w:r>
          </w:p>
          <w:p w14:paraId="6EF4B093">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1.1.6.2竣工验收：指通用合同条款中“竣工验收”,《公路工程竣(交)工验 收办法》中的交工验收和竣工验收，统称为"工程验收"。</w:t>
            </w:r>
          </w:p>
          <w:p w14:paraId="05752835">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1.1.6.3交工：指通用合同条款中"竣工",《公路工程竣(交)工验收办法》 中的交工和竣工。</w:t>
            </w:r>
          </w:p>
          <w:p w14:paraId="15EF94C0">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1.1.6.4交工验收：指通用合同条款中“竣工验收”,《公路工程竣(交)工验 收办法》中的交工验收和竣工验收，统称为"工程验收"。</w:t>
            </w:r>
          </w:p>
          <w:p w14:paraId="33584F88">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1.1.6.5交工验收证书：指通用合同条款中“工程接收证书”,《公路工程竣(交) 工验收办法》中的交工验收或竣工验收证书，统称为"工程验收证书"。</w:t>
            </w:r>
          </w:p>
        </w:tc>
      </w:tr>
      <w:tr w14:paraId="6384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28B96D27">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5CE06A26">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11</w:t>
            </w:r>
          </w:p>
        </w:tc>
        <w:tc>
          <w:tcPr>
            <w:tcW w:w="1111" w:type="dxa"/>
            <w:shd w:val="clear" w:color="auto" w:fill="auto"/>
            <w:noWrap w:val="0"/>
            <w:vAlign w:val="top"/>
          </w:tcPr>
          <w:p w14:paraId="5BADFCB6">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44B5EA9B">
            <w:pPr>
              <w:pageBreakBefore w:val="0"/>
              <w:kinsoku/>
              <w:wordWrap w:val="0"/>
              <w:bidi w:val="0"/>
              <w:snapToGrid w:val="0"/>
              <w:spacing w:line="360" w:lineRule="atLeast"/>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"1.1.6.10" </w:instrText>
            </w:r>
            <w:r>
              <w:rPr>
                <w:rFonts w:hint="default" w:ascii="Times New Roman" w:hAnsi="Times New Roman" w:eastAsia="宋体" w:cs="Times New Roman"/>
                <w:color w:val="auto"/>
                <w:szCs w:val="21"/>
                <w:highlight w:val="none"/>
              </w:rPr>
              <w:fldChar w:fldCharType="separate"/>
            </w:r>
            <w:r>
              <w:rPr>
                <w:rFonts w:hint="default" w:ascii="Times New Roman" w:hAnsi="Times New Roman" w:eastAsia="宋体" w:cs="Times New Roman"/>
                <w:color w:val="auto"/>
                <w:szCs w:val="21"/>
                <w:highlight w:val="none"/>
              </w:rPr>
              <w:t>1.1.6.10</w:t>
            </w:r>
            <w:r>
              <w:rPr>
                <w:rFonts w:hint="default" w:ascii="Times New Roman" w:hAnsi="Times New Roman" w:eastAsia="宋体" w:cs="Times New Roman"/>
                <w:color w:val="auto"/>
                <w:szCs w:val="21"/>
                <w:highlight w:val="none"/>
              </w:rPr>
              <w:fldChar w:fldCharType="end"/>
            </w:r>
          </w:p>
        </w:tc>
        <w:tc>
          <w:tcPr>
            <w:tcW w:w="7304" w:type="dxa"/>
            <w:shd w:val="clear" w:color="auto" w:fill="auto"/>
            <w:noWrap w:val="0"/>
            <w:vAlign w:val="top"/>
          </w:tcPr>
          <w:p w14:paraId="494BCA75">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完工：是指承包人按照批准的施工图设计文件(含变更设计文件)完成合同范围内所有工程。工程完工前，承包人应完成自检并经监理人检验。工程完工时， 合同工程应基本具备完整的使用功能，并具备申请工程验收的条件。</w:t>
            </w:r>
          </w:p>
        </w:tc>
      </w:tr>
      <w:tr w14:paraId="3C07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7A73631E">
            <w:pPr>
              <w:pStyle w:val="93"/>
              <w:spacing w:before="183" w:line="164" w:lineRule="auto"/>
              <w:ind w:left="145"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12</w:t>
            </w:r>
          </w:p>
        </w:tc>
        <w:tc>
          <w:tcPr>
            <w:tcW w:w="1111" w:type="dxa"/>
            <w:shd w:val="clear" w:color="auto" w:fill="auto"/>
            <w:noWrap w:val="0"/>
            <w:vAlign w:val="top"/>
          </w:tcPr>
          <w:p w14:paraId="6A0BF0D9">
            <w:pPr>
              <w:pStyle w:val="93"/>
              <w:spacing w:before="164" w:line="181" w:lineRule="auto"/>
              <w:ind w:left="131" w:leftChars="0"/>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HYPERLINK "1.1.6.11"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1.1.6.11</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7304" w:type="dxa"/>
            <w:shd w:val="clear" w:color="auto" w:fill="auto"/>
            <w:noWrap w:val="0"/>
            <w:vAlign w:val="top"/>
          </w:tcPr>
          <w:p w14:paraId="0A210555">
            <w:pPr>
              <w:pStyle w:val="93"/>
              <w:spacing w:before="151" w:line="192" w:lineRule="auto"/>
              <w:jc w:val="right"/>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完工证明：是指工程完工后，由监理人向承包人出具经发包人签认的证明材料。</w:t>
            </w:r>
          </w:p>
        </w:tc>
      </w:tr>
      <w:tr w14:paraId="7D2F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7671121E">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w:t>
            </w:r>
          </w:p>
        </w:tc>
        <w:tc>
          <w:tcPr>
            <w:tcW w:w="1111" w:type="dxa"/>
            <w:noWrap w:val="0"/>
            <w:vAlign w:val="center"/>
          </w:tcPr>
          <w:p w14:paraId="61DA0C44">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1.6.3</w:t>
            </w:r>
          </w:p>
        </w:tc>
        <w:tc>
          <w:tcPr>
            <w:tcW w:w="7304" w:type="dxa"/>
            <w:noWrap w:val="0"/>
            <w:vAlign w:val="center"/>
          </w:tcPr>
          <w:p w14:paraId="375C33B0">
            <w:pPr>
              <w:pStyle w:val="93"/>
              <w:keepNext w:val="0"/>
              <w:keepLines w:val="0"/>
              <w:pageBreakBefore w:val="0"/>
              <w:widowControl w:val="0"/>
              <w:kinsoku/>
              <w:overflowPunct/>
              <w:topLinePunct w:val="0"/>
              <w:autoSpaceDE/>
              <w:autoSpaceDN/>
              <w:bidi w:val="0"/>
              <w:adjustRightInd/>
              <w:spacing w:before="182" w:line="336" w:lineRule="auto"/>
              <w:ind w:right="167"/>
              <w:jc w:val="left"/>
              <w:textAlignment w:val="auto"/>
              <w:rPr>
                <w:rFonts w:ascii="Times New Roman" w:hAnsi="Times New Roman" w:eastAsia="宋体" w:cs="Times New Roman"/>
                <w:spacing w:val="1"/>
                <w:kern w:val="2"/>
                <w:sz w:val="21"/>
                <w:szCs w:val="24"/>
                <w:lang w:val="en-US" w:eastAsia="zh-CN" w:bidi="ar-SA"/>
              </w:rPr>
            </w:pPr>
            <w:r>
              <w:rPr>
                <w:rFonts w:ascii="Times New Roman" w:hAnsi="Times New Roman" w:eastAsia="宋体" w:cs="Times New Roman"/>
                <w:spacing w:val="1"/>
                <w:kern w:val="2"/>
                <w:sz w:val="21"/>
                <w:szCs w:val="24"/>
                <w:lang w:val="en-US" w:eastAsia="zh-CN" w:bidi="ar-SA"/>
              </w:rPr>
              <w:t>图纸需要修改和补充的，应由监理人取得发包人同意后，在该工程或工程相应 部位施工前7天签发图纸修改图给承包人。承包人应按修改或补充(新增减工程)后的图纸施工。</w:t>
            </w:r>
          </w:p>
          <w:p w14:paraId="6008E68B">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hint="default" w:ascii="Times New Roman" w:hAnsi="Times New Roman" w:cs="Times New Roman"/>
                <w:color w:val="auto"/>
                <w:szCs w:val="21"/>
                <w:highlight w:val="yellow"/>
              </w:rPr>
            </w:pPr>
            <w:r>
              <w:t>在没有发包人及监理人共同批准的前提下，承包人不得对</w:t>
            </w:r>
            <w:r>
              <w:rPr>
                <w:spacing w:val="-1"/>
              </w:rPr>
              <w:t>施工图的任何部分进</w:t>
            </w:r>
            <w:r>
              <w:t xml:space="preserve"> </w:t>
            </w:r>
            <w:r>
              <w:rPr>
                <w:spacing w:val="1"/>
              </w:rPr>
              <w:t>行修改，否则按承包人违约处理，并由承包人承担由此产生的一切后果和</w:t>
            </w:r>
            <w:r>
              <w:t>经济责</w:t>
            </w:r>
            <w:r>
              <w:rPr>
                <w:spacing w:val="-2"/>
              </w:rPr>
              <w:t>任</w:t>
            </w:r>
          </w:p>
        </w:tc>
      </w:tr>
    </w:tbl>
    <w:tbl>
      <w:tblPr>
        <w:tblStyle w:val="94"/>
        <w:tblW w:w="9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9"/>
        <w:gridCol w:w="1111"/>
        <w:gridCol w:w="7304"/>
      </w:tblGrid>
      <w:tr w14:paraId="2288C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69" w:hRule="atLeast"/>
        </w:trPr>
        <w:tc>
          <w:tcPr>
            <w:tcW w:w="629" w:type="dxa"/>
            <w:vAlign w:val="top"/>
          </w:tcPr>
          <w:p w14:paraId="3041ECEE">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p>
          <w:p w14:paraId="1F2D157A">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p>
          <w:p w14:paraId="5BDB1CD1">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p>
          <w:p w14:paraId="580832C6">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w:t>
            </w:r>
          </w:p>
        </w:tc>
        <w:tc>
          <w:tcPr>
            <w:tcW w:w="1111" w:type="dxa"/>
            <w:vAlign w:val="top"/>
          </w:tcPr>
          <w:p w14:paraId="08ED6E16">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rPr>
            </w:pPr>
          </w:p>
          <w:p w14:paraId="42962BB1">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rPr>
            </w:pPr>
          </w:p>
          <w:p w14:paraId="366FC68C">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rPr>
            </w:pPr>
          </w:p>
          <w:p w14:paraId="0685D33D">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rPr>
            </w:pPr>
            <w:r>
              <w:rPr>
                <w:rFonts w:ascii="Times New Roman" w:hAnsi="Times New Roman" w:eastAsia="宋体" w:cs="Times New Roman"/>
              </w:rPr>
              <w:t>1.6.4</w:t>
            </w:r>
          </w:p>
        </w:tc>
        <w:tc>
          <w:tcPr>
            <w:tcW w:w="7304" w:type="dxa"/>
            <w:vAlign w:val="top"/>
          </w:tcPr>
          <w:p w14:paraId="13804586">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rPr>
            </w:pPr>
            <w:r>
              <w:rPr>
                <w:rFonts w:ascii="Times New Roman" w:hAnsi="Times New Roman" w:eastAsia="宋体" w:cs="Times New Roman"/>
              </w:rPr>
              <w:t>正式开工前，承包人应组织人员对发包人提供的图纸进行复核，如发现图纸存 在明显错误或疏忽应及时通知监理人；如承包人发现图纸中存在错误，但因对自 身有利而故意隐瞒不报、按错图施工的，视为承包人违约。发包人有权组织设计 人员对图纸进行修正，承包人须按照修正后的图纸进行施工，并承担因按错图施 工而产生的拆除工作、工期延误及相关费用等后果。</w:t>
            </w:r>
          </w:p>
        </w:tc>
      </w:tr>
      <w:tr w14:paraId="47060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629" w:type="dxa"/>
            <w:vAlign w:val="top"/>
          </w:tcPr>
          <w:p w14:paraId="4A6995EB">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c>
          <w:tcPr>
            <w:tcW w:w="1111" w:type="dxa"/>
            <w:vAlign w:val="top"/>
          </w:tcPr>
          <w:p w14:paraId="249C4C84">
            <w:pPr>
              <w:pStyle w:val="93"/>
              <w:spacing w:before="216" w:line="161" w:lineRule="auto"/>
              <w:ind w:left="281"/>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1.7.2</w:t>
            </w:r>
          </w:p>
        </w:tc>
        <w:tc>
          <w:tcPr>
            <w:tcW w:w="7304" w:type="dxa"/>
            <w:vAlign w:val="top"/>
          </w:tcPr>
          <w:p w14:paraId="2C8E9FA5">
            <w:pPr>
              <w:pStyle w:val="93"/>
              <w:spacing w:before="185" w:line="189" w:lineRule="auto"/>
              <w:ind w:left="352"/>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来往函件送达的期限：  函件发出24小时内</w:t>
            </w:r>
          </w:p>
        </w:tc>
      </w:tr>
      <w:tr w14:paraId="5E4F1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29" w:type="dxa"/>
            <w:vAlign w:val="top"/>
          </w:tcPr>
          <w:p w14:paraId="7D8293B0">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p>
          <w:p w14:paraId="589021F3">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w:t>
            </w:r>
          </w:p>
        </w:tc>
        <w:tc>
          <w:tcPr>
            <w:tcW w:w="1111" w:type="dxa"/>
            <w:vAlign w:val="top"/>
          </w:tcPr>
          <w:p w14:paraId="7144B711">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kern w:val="2"/>
                <w:sz w:val="21"/>
                <w:szCs w:val="24"/>
                <w:lang w:val="en-US" w:eastAsia="zh-CN" w:bidi="ar-SA"/>
              </w:rPr>
            </w:pPr>
          </w:p>
          <w:p w14:paraId="18609161">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2.6</w:t>
            </w:r>
          </w:p>
        </w:tc>
        <w:tc>
          <w:tcPr>
            <w:tcW w:w="7304" w:type="dxa"/>
            <w:vAlign w:val="top"/>
          </w:tcPr>
          <w:p w14:paraId="1154C6DE">
            <w:pPr>
              <w:keepNext w:val="0"/>
              <w:keepLines w:val="0"/>
              <w:pageBreakBefore w:val="0"/>
              <w:widowControl w:val="0"/>
              <w:kinsoku/>
              <w:wordWrap w:val="0"/>
              <w:overflowPunct/>
              <w:topLinePunct w:val="0"/>
              <w:autoSpaceDE/>
              <w:autoSpaceDN/>
              <w:bidi w:val="0"/>
              <w:adjustRightInd/>
              <w:snapToGrid w:val="0"/>
              <w:spacing w:line="360" w:lineRule="atLeast"/>
              <w:ind w:firstLine="239" w:firstLineChars="114"/>
              <w:jc w:val="left"/>
              <w:textAlignment w:val="auto"/>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本工程资金来源全部为财政资金，属于出资人在财政资金到位后列入年度生产建设投资计划的项目，出资人下达的投资计划即为工程款支付担保。</w:t>
            </w:r>
          </w:p>
        </w:tc>
      </w:tr>
    </w:tbl>
    <w:tbl>
      <w:tblPr>
        <w:tblStyle w:val="39"/>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1765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179DE33B">
            <w:pPr>
              <w:pageBreakBefore w:val="0"/>
              <w:kinsoku/>
              <w:wordWrap w:val="0"/>
              <w:bidi w:val="0"/>
              <w:snapToGrid w:val="0"/>
              <w:spacing w:line="36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17</w:t>
            </w:r>
          </w:p>
        </w:tc>
        <w:tc>
          <w:tcPr>
            <w:tcW w:w="1111" w:type="dxa"/>
            <w:shd w:val="clear" w:color="auto" w:fill="auto"/>
            <w:noWrap w:val="0"/>
            <w:vAlign w:val="center"/>
          </w:tcPr>
          <w:p w14:paraId="6E262C69">
            <w:pPr>
              <w:pageBreakBefore w:val="0"/>
              <w:kinsoku/>
              <w:wordWrap w:val="0"/>
              <w:bidi w:val="0"/>
              <w:snapToGrid w:val="0"/>
              <w:spacing w:line="36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3.1.1</w:t>
            </w:r>
          </w:p>
        </w:tc>
        <w:tc>
          <w:tcPr>
            <w:tcW w:w="7304" w:type="dxa"/>
            <w:shd w:val="clear" w:color="auto" w:fill="auto"/>
            <w:noWrap w:val="0"/>
            <w:vAlign w:val="center"/>
          </w:tcPr>
          <w:p w14:paraId="5A6D7120">
            <w:pPr>
              <w:pageBreakBefore w:val="0"/>
              <w:kinsoku/>
              <w:wordWrap w:val="0"/>
              <w:bidi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监理人在行使下列权力前需要经发包人事先批准：</w:t>
            </w:r>
          </w:p>
          <w:p w14:paraId="716872F3">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pacing w:val="-6"/>
                <w:kern w:val="2"/>
                <w:sz w:val="21"/>
                <w:szCs w:val="21"/>
                <w:highlight w:val="yellow"/>
                <w:lang w:val="en-US" w:eastAsia="zh-CN" w:bidi="ar-SA"/>
              </w:rPr>
            </w:pPr>
            <w:r>
              <w:rPr>
                <w:rFonts w:hint="eastAsia" w:ascii="宋体" w:hAnsi="宋体" w:cs="宋体"/>
                <w:szCs w:val="21"/>
              </w:rPr>
              <w:t>(6)监理人在行使根据第 15.3 款发出的变更指示前需要经发包人事先批准。</w:t>
            </w:r>
          </w:p>
        </w:tc>
      </w:tr>
      <w:tr w14:paraId="6E15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43CB8190">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p>
          <w:p w14:paraId="668F0677">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18</w:t>
            </w:r>
          </w:p>
        </w:tc>
        <w:tc>
          <w:tcPr>
            <w:tcW w:w="1111" w:type="dxa"/>
            <w:noWrap w:val="0"/>
            <w:vAlign w:val="top"/>
          </w:tcPr>
          <w:p w14:paraId="0F1AEBEB">
            <w:pPr>
              <w:pageBreakBefore w:val="0"/>
              <w:kinsoku/>
              <w:wordWrap w:val="0"/>
              <w:bidi w:val="0"/>
              <w:spacing w:line="360" w:lineRule="atLeast"/>
              <w:ind w:firstLine="239" w:firstLineChars="114"/>
              <w:rPr>
                <w:rFonts w:hint="default" w:ascii="Times New Roman" w:hAnsi="Times New Roman" w:eastAsia="宋体" w:cs="Times New Roman"/>
                <w:color w:val="auto"/>
                <w:szCs w:val="21"/>
                <w:highlight w:val="none"/>
              </w:rPr>
            </w:pPr>
          </w:p>
          <w:p w14:paraId="0422ED2C">
            <w:pPr>
              <w:pageBreakBefore w:val="0"/>
              <w:kinsoku/>
              <w:wordWrap w:val="0"/>
              <w:bidi w:val="0"/>
              <w:spacing w:line="360" w:lineRule="atLeas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4.1.10(1)</w:t>
            </w:r>
          </w:p>
        </w:tc>
        <w:tc>
          <w:tcPr>
            <w:tcW w:w="7304" w:type="dxa"/>
            <w:noWrap w:val="0"/>
            <w:vAlign w:val="top"/>
          </w:tcPr>
          <w:p w14:paraId="29C077A5">
            <w:pPr>
              <w:pageBreakBefore w:val="0"/>
              <w:kinsoku/>
              <w:wordWrap w:val="0"/>
              <w:bidi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承包人应根据工程实际情况确定临时占地最长使用期限，临时占地的租地费用由 承包人在投标阶段综合考虑并计入相关清单子目报价中，发包人不再另行计量，项 目管理法人不再另行支付。</w:t>
            </w:r>
          </w:p>
        </w:tc>
      </w:tr>
      <w:tr w14:paraId="0627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0F026673">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p>
          <w:p w14:paraId="638205B7">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19</w:t>
            </w:r>
          </w:p>
        </w:tc>
        <w:tc>
          <w:tcPr>
            <w:tcW w:w="1111" w:type="dxa"/>
            <w:noWrap w:val="0"/>
            <w:vAlign w:val="top"/>
          </w:tcPr>
          <w:p w14:paraId="732BCC5B">
            <w:pPr>
              <w:pageBreakBefore w:val="0"/>
              <w:kinsoku/>
              <w:wordWrap w:val="0"/>
              <w:bidi w:val="0"/>
              <w:spacing w:line="360" w:lineRule="atLeast"/>
              <w:ind w:firstLine="239" w:firstLineChars="114"/>
              <w:rPr>
                <w:rFonts w:hint="default" w:ascii="Times New Roman" w:hAnsi="Times New Roman" w:eastAsia="宋体" w:cs="Times New Roman"/>
                <w:color w:val="auto"/>
                <w:szCs w:val="21"/>
                <w:highlight w:val="none"/>
              </w:rPr>
            </w:pPr>
          </w:p>
          <w:p w14:paraId="7638050F">
            <w:pPr>
              <w:pageBreakBefore w:val="0"/>
              <w:kinsoku/>
              <w:wordWrap w:val="0"/>
              <w:bidi w:val="0"/>
              <w:spacing w:line="360" w:lineRule="atLeas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4.1.10(3)</w:t>
            </w:r>
          </w:p>
        </w:tc>
        <w:tc>
          <w:tcPr>
            <w:tcW w:w="7304" w:type="dxa"/>
            <w:noWrap w:val="0"/>
            <w:vAlign w:val="top"/>
          </w:tcPr>
          <w:p w14:paraId="7F851115">
            <w:pPr>
              <w:pageBreakBefore w:val="0"/>
              <w:kinsoku/>
              <w:wordWrap w:val="0"/>
              <w:bidi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承包人对于农民工工资的发放应严格遵守《保障农民工工资支付条例》(国务院 令第724号)、《工程建设领域农民工工资保证金规定》(人社部发(2021)65号)、《辽宁省公路水运工程建设领域农民工工资支付管理办法》(辽交公水规〔2020〕1 号)、《辽宁省建设领域农民工工资支付管理办法》(辽人社规〔2018〕3号)、《辽宁省工程建设领域农民工工资专用账户管理暂行办法实施细则》(辽人社〔2021) 31号)、《辽宁省工程建设领域农民工工资保证金实施办法》(辽人社〔2022)5号)等国家和项目所在省、市相关主管部门施行的规定，主要包括：</w:t>
            </w:r>
          </w:p>
          <w:p w14:paraId="24EB2F7A">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承包人(包括其分包人)应实行农民工劳动用工实名制管理，与招用的农民工  书面约定或者通过依法制定的规章制度规定工资支付标准、支付时间、支付方式等 内容。承包人(包括其分包人)应按照与农民工订立的劳动合同中约定的工资支付周期和具体支付日期足额支付工资。</w:t>
            </w:r>
          </w:p>
          <w:p w14:paraId="56CFCE14">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农民工工资应当以货币形式，通过银行转账或者现金支付给农民工本人，不得 以实物或者有价证券等其他形式替代。</w:t>
            </w:r>
          </w:p>
          <w:p w14:paraId="5792112A">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承包人在每次申报计量支付时，应将农民工工资款单独列项，项目管理法人将 按照经审核后的数额将农民工工资拨付至承包人的农民工工资专用账户。</w:t>
            </w:r>
          </w:p>
          <w:p w14:paraId="3A4C9E07">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承包人应当按照工资支付周期编制书面工资支付台账，并至少保存3年。书面 工资支付台账应当包括用人单位名称，支付周期，支付日期，支付对象姓名、身份 证号码、联系方式，工作时间，应发工资项目及数额，代扣、代缴、扣除项目和数 额，实发工资数额，银行代发工资凭证或者农民工签字等内容。用人单位向农民工 支付工资时，应当提供农民工本人的工资清单。</w:t>
            </w:r>
          </w:p>
          <w:p w14:paraId="5FA2AF8A">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承包人应分解工程价款中的人工费用，在本合同签订后30日内按照有关规定  开设农民工工资专用账户，专项用于支付本工程项目的农民工工资。开设、使用农 民工工资专用账户有关资料应当由承包人妥善保存备查。工程完工且未拖欠农民工 工资的，承包人公示30日后，可以申请注销农民工工资专用账户，账户内余额归承 包人所有。</w:t>
            </w:r>
          </w:p>
          <w:p w14:paraId="436891BE">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承包人(包括其分包人)应当依法与所招用的农民工订立劳动合同并进行用工  实名登记，通过相应的管理服务信息平台(如有)进行用工实名登记、管理。未与承包人(包括其分包人)订立劳动合同并进行用工实名登记的人员，不得进入项目  现场施工。承包人对工程进行分包的，应在工程项目部配备劳资专管员，对分包人 劳动用工实施监督管理，掌握施工现场用工、考勤、工资支付等情况，审核分包人 编制的农民工工资支付表。承包人应当建立用工管理台账，并保存至工程完工且工资全部结清后至少3年。</w:t>
            </w:r>
          </w:p>
          <w:p w14:paraId="32FDE6AE">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分包人(如有)拖欠农民工工资的，由承包人先行清偿，再依法进行追偿。因 承包人转包导致拖欠农民工工资的，由承包人先行清偿，再依法进行追偿。</w:t>
            </w:r>
          </w:p>
          <w:p w14:paraId="3F3EDA95">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承包人应当按照项目所在省、市的人力资源社会保障行政部门、交通运输主管部门等的有关规定存储工资保证金。</w:t>
            </w:r>
          </w:p>
          <w:p w14:paraId="6536345F">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rPr>
              <w:t>承包人应当在施工现场醒目位置设立维权信息告示牌，明示下列事项：①发包 人、承包人及所在项目部、分包单位、相关行业工程建设主管部门、劳资专管员等  基本信息；②当地最低工资标准、工资支付日期等基本信息；③交通运输主管部门 和劳动保障监察投诉举报电话、劳动争议调解仲裁申请渠道、法律援助申请渠道、 公共法律服务热线等信息。</w:t>
            </w:r>
          </w:p>
          <w:p w14:paraId="69DDD269">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rPr>
              <w:t>承包人在履行合同过程中出现拖欠或克扣农民工工资或与本工程有关的债务  而导致阻工、上访，经发包人、监理人及政府相关部门确认后，项目管理法人将停 止对承包人的支付，直到其妥善处理为止。</w:t>
            </w:r>
          </w:p>
        </w:tc>
      </w:tr>
      <w:tr w14:paraId="7594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39335BEA">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p>
          <w:p w14:paraId="2048C8E3">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p>
          <w:p w14:paraId="6A2FED92">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p>
          <w:p w14:paraId="68229204">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20</w:t>
            </w:r>
          </w:p>
        </w:tc>
        <w:tc>
          <w:tcPr>
            <w:tcW w:w="1111" w:type="dxa"/>
            <w:shd w:val="clear" w:color="auto" w:fill="auto"/>
            <w:noWrap w:val="0"/>
            <w:vAlign w:val="top"/>
          </w:tcPr>
          <w:p w14:paraId="7C895F89">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p>
          <w:p w14:paraId="191F7457">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p>
          <w:p w14:paraId="0706565D">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p>
          <w:p w14:paraId="65515F77">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4.1.10(6)</w:t>
            </w:r>
          </w:p>
        </w:tc>
        <w:tc>
          <w:tcPr>
            <w:tcW w:w="7304" w:type="dxa"/>
            <w:shd w:val="clear" w:color="auto" w:fill="auto"/>
            <w:noWrap w:val="0"/>
            <w:vAlign w:val="top"/>
          </w:tcPr>
          <w:p w14:paraId="792EB1E4">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承包人还应履行的义务，补充如下：</w:t>
            </w:r>
          </w:p>
          <w:p w14:paraId="30C26BFA">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u.承包人应认真贯彻“安全第一，预防为主、综合治理”安全生产方针，规范工程建设安全风险管理，把安全生产风险管理作为坚守安全生产“红线”、“底线” 和建设“平安工地”的重要举措和内容，根据各级交通运输主管部门制定的现行制度办法，切实开展“平安工地”创建活动，并做好相关内业资料的整理及组卷工作。</w:t>
            </w:r>
          </w:p>
          <w:p w14:paraId="134C19D9">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v.承包人应做好文明施工与施工形象管理，施工现场封路公告、绕路信息、工程简介等公示牌设置规范，要在不同施工点位悬挂好能体现企业文化的各类文明施工标语，施工人员在施工期间必须统一着装，机械设备、施工材料合理分类，整齐有序。</w:t>
            </w:r>
          </w:p>
          <w:p w14:paraId="284B4A52">
            <w:pPr>
              <w:pageBreakBefore w:val="0"/>
              <w:numPr>
                <w:ilvl w:val="0"/>
                <w:numId w:val="0"/>
              </w:numPr>
              <w:kinsoku/>
              <w:wordWrap w:val="0"/>
              <w:bidi w:val="0"/>
              <w:spacing w:line="360" w:lineRule="atLeast"/>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w.承包人应严格做好内业规范化管理，内业人员必须熟悉施工图纸与施工现场，同时要熟知辽宁省普通国省干线公路养护工程竣工档案内容，能够严格按照发包人要求做好工程资料整理及上报工作。</w:t>
            </w:r>
          </w:p>
        </w:tc>
      </w:tr>
      <w:tr w14:paraId="7520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trPr>
        <w:tc>
          <w:tcPr>
            <w:tcW w:w="629" w:type="dxa"/>
            <w:shd w:val="clear" w:color="auto" w:fill="auto"/>
            <w:noWrap w:val="0"/>
            <w:vAlign w:val="top"/>
          </w:tcPr>
          <w:p w14:paraId="6ADA8BB9">
            <w:pPr>
              <w:pageBreakBefore w:val="0"/>
              <w:kinsoku/>
              <w:wordWrap w:val="0"/>
              <w:bidi w:val="0"/>
              <w:rPr>
                <w:rFonts w:hint="default" w:ascii="Times New Roman" w:hAnsi="Times New Roman" w:eastAsia="宋体" w:cs="Times New Roman"/>
                <w:color w:val="auto"/>
                <w:szCs w:val="21"/>
                <w:highlight w:val="none"/>
              </w:rPr>
            </w:pPr>
          </w:p>
          <w:p w14:paraId="1810C1C3">
            <w:pPr>
              <w:pageBreakBefore w:val="0"/>
              <w:kinsoku/>
              <w:wordWrap w:val="0"/>
              <w:bidi w:val="0"/>
              <w:rPr>
                <w:rFonts w:hint="default" w:ascii="Times New Roman" w:hAnsi="Times New Roman" w:eastAsia="宋体" w:cs="Times New Roman"/>
                <w:color w:val="auto"/>
                <w:szCs w:val="21"/>
                <w:highlight w:val="none"/>
              </w:rPr>
            </w:pPr>
          </w:p>
          <w:p w14:paraId="71524F4C">
            <w:pPr>
              <w:pageBreakBefore w:val="0"/>
              <w:kinsoku/>
              <w:wordWrap w:val="0"/>
              <w:bidi w:val="0"/>
              <w:rPr>
                <w:rFonts w:hint="default" w:ascii="Times New Roman" w:hAnsi="Times New Roman" w:eastAsia="宋体" w:cs="Times New Roman"/>
                <w:color w:val="auto"/>
                <w:szCs w:val="21"/>
                <w:highlight w:val="none"/>
              </w:rPr>
            </w:pPr>
          </w:p>
          <w:p w14:paraId="7655827E">
            <w:pPr>
              <w:pageBreakBefore w:val="0"/>
              <w:kinsoku/>
              <w:wordWrap w:val="0"/>
              <w:bidi w:val="0"/>
              <w:rPr>
                <w:rFonts w:hint="default" w:ascii="Times New Roman" w:hAnsi="Times New Roman" w:eastAsia="宋体" w:cs="Times New Roman"/>
                <w:color w:val="auto"/>
                <w:szCs w:val="21"/>
                <w:highlight w:val="none"/>
              </w:rPr>
            </w:pPr>
          </w:p>
          <w:p w14:paraId="323C75B6">
            <w:pPr>
              <w:pageBreakBefore w:val="0"/>
              <w:kinsoku/>
              <w:wordWrap w:val="0"/>
              <w:bidi w:val="0"/>
              <w:rPr>
                <w:rFonts w:hint="default" w:ascii="Times New Roman" w:hAnsi="Times New Roman" w:eastAsia="宋体" w:cs="Times New Roman"/>
                <w:color w:val="auto"/>
                <w:szCs w:val="21"/>
                <w:highlight w:val="none"/>
              </w:rPr>
            </w:pPr>
          </w:p>
          <w:p w14:paraId="7AE24E03">
            <w:pPr>
              <w:pageBreakBefore w:val="0"/>
              <w:kinsoku/>
              <w:wordWrap w:val="0"/>
              <w:bidi w:val="0"/>
              <w:rPr>
                <w:rFonts w:hint="default" w:ascii="Times New Roman" w:hAnsi="Times New Roman" w:eastAsia="宋体" w:cs="Times New Roman"/>
                <w:color w:val="auto"/>
                <w:szCs w:val="21"/>
                <w:highlight w:val="none"/>
              </w:rPr>
            </w:pPr>
          </w:p>
          <w:p w14:paraId="1FC15E6B">
            <w:pPr>
              <w:pageBreakBefore w:val="0"/>
              <w:kinsoku/>
              <w:wordWrap w:val="0"/>
              <w:bidi w:val="0"/>
              <w:rPr>
                <w:rFonts w:hint="default" w:ascii="Times New Roman" w:hAnsi="Times New Roman" w:eastAsia="宋体" w:cs="Times New Roman"/>
                <w:color w:val="auto"/>
                <w:szCs w:val="21"/>
                <w:highlight w:val="none"/>
              </w:rPr>
            </w:pPr>
          </w:p>
          <w:p w14:paraId="5689C201">
            <w:pPr>
              <w:pageBreakBefore w:val="0"/>
              <w:kinsoku/>
              <w:wordWrap w:val="0"/>
              <w:bidi w:val="0"/>
              <w:rPr>
                <w:rFonts w:hint="default" w:ascii="Times New Roman" w:hAnsi="Times New Roman" w:eastAsia="宋体" w:cs="Times New Roman"/>
                <w:color w:val="auto"/>
                <w:szCs w:val="21"/>
                <w:highlight w:val="none"/>
              </w:rPr>
            </w:pPr>
          </w:p>
          <w:p w14:paraId="3A0F7039">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p>
        </w:tc>
        <w:tc>
          <w:tcPr>
            <w:tcW w:w="1111" w:type="dxa"/>
            <w:shd w:val="clear" w:color="auto" w:fill="auto"/>
            <w:noWrap w:val="0"/>
            <w:vAlign w:val="top"/>
          </w:tcPr>
          <w:p w14:paraId="553D8722">
            <w:pPr>
              <w:pageBreakBefore w:val="0"/>
              <w:kinsoku/>
              <w:wordWrap w:val="0"/>
              <w:bidi w:val="0"/>
              <w:rPr>
                <w:rFonts w:hint="default" w:ascii="Times New Roman" w:hAnsi="Times New Roman" w:eastAsia="宋体" w:cs="Times New Roman"/>
                <w:color w:val="auto"/>
                <w:szCs w:val="21"/>
                <w:highlight w:val="none"/>
              </w:rPr>
            </w:pPr>
          </w:p>
          <w:p w14:paraId="40E2D086">
            <w:pPr>
              <w:pageBreakBefore w:val="0"/>
              <w:kinsoku/>
              <w:wordWrap w:val="0"/>
              <w:bidi w:val="0"/>
              <w:rPr>
                <w:rFonts w:hint="default" w:ascii="Times New Roman" w:hAnsi="Times New Roman" w:eastAsia="宋体" w:cs="Times New Roman"/>
                <w:color w:val="auto"/>
                <w:szCs w:val="21"/>
                <w:highlight w:val="none"/>
              </w:rPr>
            </w:pPr>
          </w:p>
          <w:p w14:paraId="79E67467">
            <w:pPr>
              <w:pageBreakBefore w:val="0"/>
              <w:kinsoku/>
              <w:wordWrap w:val="0"/>
              <w:bidi w:val="0"/>
              <w:rPr>
                <w:rFonts w:hint="default" w:ascii="Times New Roman" w:hAnsi="Times New Roman" w:eastAsia="宋体" w:cs="Times New Roman"/>
                <w:color w:val="auto"/>
                <w:szCs w:val="21"/>
                <w:highlight w:val="none"/>
              </w:rPr>
            </w:pPr>
          </w:p>
          <w:p w14:paraId="17E5D7BB">
            <w:pPr>
              <w:pageBreakBefore w:val="0"/>
              <w:kinsoku/>
              <w:wordWrap w:val="0"/>
              <w:bidi w:val="0"/>
              <w:rPr>
                <w:rFonts w:hint="default" w:ascii="Times New Roman" w:hAnsi="Times New Roman" w:eastAsia="宋体" w:cs="Times New Roman"/>
                <w:color w:val="auto"/>
                <w:szCs w:val="21"/>
                <w:highlight w:val="none"/>
              </w:rPr>
            </w:pPr>
          </w:p>
          <w:p w14:paraId="7CC3538E">
            <w:pPr>
              <w:pageBreakBefore w:val="0"/>
              <w:kinsoku/>
              <w:wordWrap w:val="0"/>
              <w:bidi w:val="0"/>
              <w:rPr>
                <w:rFonts w:hint="default" w:ascii="Times New Roman" w:hAnsi="Times New Roman" w:eastAsia="宋体" w:cs="Times New Roman"/>
                <w:color w:val="auto"/>
                <w:szCs w:val="21"/>
                <w:highlight w:val="none"/>
              </w:rPr>
            </w:pPr>
          </w:p>
          <w:p w14:paraId="3B1A52DE">
            <w:pPr>
              <w:pageBreakBefore w:val="0"/>
              <w:kinsoku/>
              <w:wordWrap w:val="0"/>
              <w:bidi w:val="0"/>
              <w:rPr>
                <w:rFonts w:hint="default" w:ascii="Times New Roman" w:hAnsi="Times New Roman" w:eastAsia="宋体" w:cs="Times New Roman"/>
                <w:color w:val="auto"/>
                <w:szCs w:val="21"/>
                <w:highlight w:val="none"/>
              </w:rPr>
            </w:pPr>
          </w:p>
          <w:p w14:paraId="6B930289">
            <w:pPr>
              <w:pageBreakBefore w:val="0"/>
              <w:kinsoku/>
              <w:wordWrap w:val="0"/>
              <w:bidi w:val="0"/>
              <w:rPr>
                <w:rFonts w:hint="default" w:ascii="Times New Roman" w:hAnsi="Times New Roman" w:eastAsia="宋体" w:cs="Times New Roman"/>
                <w:color w:val="auto"/>
                <w:szCs w:val="21"/>
                <w:highlight w:val="none"/>
              </w:rPr>
            </w:pPr>
          </w:p>
          <w:p w14:paraId="22EAE624">
            <w:pPr>
              <w:pageBreakBefore w:val="0"/>
              <w:kinsoku/>
              <w:wordWrap w:val="0"/>
              <w:bidi w:val="0"/>
              <w:rPr>
                <w:rFonts w:hint="default" w:ascii="Times New Roman" w:hAnsi="Times New Roman" w:eastAsia="宋体" w:cs="Times New Roman"/>
                <w:color w:val="auto"/>
                <w:szCs w:val="21"/>
                <w:highlight w:val="none"/>
              </w:rPr>
            </w:pPr>
          </w:p>
          <w:p w14:paraId="35AEB038">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4.2</w:t>
            </w:r>
          </w:p>
        </w:tc>
        <w:tc>
          <w:tcPr>
            <w:tcW w:w="7304" w:type="dxa"/>
            <w:shd w:val="clear" w:color="auto" w:fill="auto"/>
            <w:noWrap w:val="0"/>
            <w:vAlign w:val="top"/>
          </w:tcPr>
          <w:p w14:paraId="661589DE">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履约担保金额为</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rPr>
              <w:t>%签约合同价</w:t>
            </w:r>
            <w:r>
              <w:rPr>
                <w:rFonts w:hint="default" w:ascii="Times New Roman" w:hAnsi="Times New Roman" w:eastAsia="宋体" w:cs="Times New Roman"/>
                <w:color w:val="auto"/>
                <w:szCs w:val="21"/>
                <w:highlight w:val="none"/>
              </w:rPr>
              <w:t>。以现金或支票形式递交的，退还银行同期存 款利息。</w:t>
            </w:r>
          </w:p>
          <w:p w14:paraId="05AD9A9D">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承包人应保证其履约保证金在发包人签发工程验收证书且承包人按照合同约定缴纳质量保证金前一直有效。发包人应在收到承包人缴纳的质量保证金后28天内将履约保证金退还给承包人。</w:t>
            </w:r>
          </w:p>
          <w:p w14:paraId="21B28FD3">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承包人拒绝按照本合同约定缴纳质量保证金的，发包人有权从应付工程款中扣留 相应金额作为质量保证金，或者直接将履约保证金金额用于保证承包人在缺陷责任 期内履行缺陷修复义务。</w:t>
            </w:r>
          </w:p>
        </w:tc>
      </w:tr>
      <w:tr w14:paraId="029E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57B2ACD4">
            <w:pPr>
              <w:pageBreakBefore w:val="0"/>
              <w:kinsoku/>
              <w:wordWrap w:val="0"/>
              <w:bidi w:val="0"/>
              <w:rPr>
                <w:rFonts w:hint="default" w:ascii="Times New Roman" w:hAnsi="Times New Roman" w:eastAsia="宋体" w:cs="Times New Roman"/>
                <w:color w:val="auto"/>
                <w:szCs w:val="21"/>
                <w:highlight w:val="none"/>
              </w:rPr>
            </w:pPr>
          </w:p>
          <w:p w14:paraId="37CA59B3">
            <w:pPr>
              <w:pageBreakBefore w:val="0"/>
              <w:kinsoku/>
              <w:wordWrap w:val="0"/>
              <w:bidi w:val="0"/>
              <w:rPr>
                <w:rFonts w:hint="default" w:ascii="Times New Roman" w:hAnsi="Times New Roman" w:eastAsia="宋体" w:cs="Times New Roman"/>
                <w:color w:val="auto"/>
                <w:szCs w:val="21"/>
                <w:highlight w:val="none"/>
              </w:rPr>
            </w:pPr>
          </w:p>
          <w:p w14:paraId="7EE74E45">
            <w:pPr>
              <w:pageBreakBefore w:val="0"/>
              <w:kinsoku/>
              <w:wordWrap w:val="0"/>
              <w:bidi w:val="0"/>
              <w:rPr>
                <w:rFonts w:hint="default" w:ascii="Times New Roman" w:hAnsi="Times New Roman" w:eastAsia="宋体" w:cs="Times New Roman"/>
                <w:color w:val="auto"/>
                <w:szCs w:val="21"/>
                <w:highlight w:val="none"/>
              </w:rPr>
            </w:pPr>
          </w:p>
          <w:p w14:paraId="74B35A54">
            <w:pPr>
              <w:pageBreakBefore w:val="0"/>
              <w:kinsoku/>
              <w:wordWrap w:val="0"/>
              <w:bidi w:val="0"/>
              <w:rPr>
                <w:rFonts w:hint="default" w:ascii="Times New Roman" w:hAnsi="Times New Roman" w:eastAsia="宋体" w:cs="Times New Roman"/>
                <w:color w:val="auto"/>
                <w:szCs w:val="21"/>
                <w:highlight w:val="none"/>
              </w:rPr>
            </w:pPr>
          </w:p>
          <w:p w14:paraId="3A619AB8">
            <w:pPr>
              <w:pageBreakBefore w:val="0"/>
              <w:kinsoku/>
              <w:wordWrap w:val="0"/>
              <w:bidi w:val="0"/>
              <w:rPr>
                <w:rFonts w:hint="default" w:ascii="Times New Roman" w:hAnsi="Times New Roman" w:eastAsia="宋体" w:cs="Times New Roman"/>
                <w:color w:val="auto"/>
                <w:szCs w:val="21"/>
                <w:highlight w:val="none"/>
              </w:rPr>
            </w:pPr>
          </w:p>
          <w:p w14:paraId="258C4434">
            <w:pPr>
              <w:pageBreakBefore w:val="0"/>
              <w:kinsoku/>
              <w:wordWrap w:val="0"/>
              <w:bidi w:val="0"/>
              <w:rPr>
                <w:rFonts w:hint="default" w:ascii="Times New Roman" w:hAnsi="Times New Roman" w:eastAsia="宋体" w:cs="Times New Roman"/>
                <w:color w:val="auto"/>
                <w:szCs w:val="21"/>
                <w:highlight w:val="none"/>
              </w:rPr>
            </w:pPr>
          </w:p>
          <w:p w14:paraId="08802A50">
            <w:pPr>
              <w:pageBreakBefore w:val="0"/>
              <w:kinsoku/>
              <w:wordWrap w:val="0"/>
              <w:bidi w:val="0"/>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22</w:t>
            </w:r>
          </w:p>
        </w:tc>
        <w:tc>
          <w:tcPr>
            <w:tcW w:w="1111" w:type="dxa"/>
            <w:shd w:val="clear" w:color="auto" w:fill="auto"/>
            <w:noWrap w:val="0"/>
            <w:vAlign w:val="top"/>
          </w:tcPr>
          <w:p w14:paraId="67E2B7DA">
            <w:pPr>
              <w:pageBreakBefore w:val="0"/>
              <w:kinsoku/>
              <w:wordWrap w:val="0"/>
              <w:bidi w:val="0"/>
              <w:rPr>
                <w:rFonts w:hint="default" w:ascii="Times New Roman" w:hAnsi="Times New Roman" w:eastAsia="宋体" w:cs="Times New Roman"/>
                <w:color w:val="auto"/>
                <w:szCs w:val="21"/>
                <w:highlight w:val="none"/>
              </w:rPr>
            </w:pPr>
          </w:p>
          <w:p w14:paraId="3D599A15">
            <w:pPr>
              <w:pageBreakBefore w:val="0"/>
              <w:kinsoku/>
              <w:wordWrap w:val="0"/>
              <w:bidi w:val="0"/>
              <w:rPr>
                <w:rFonts w:hint="default" w:ascii="Times New Roman" w:hAnsi="Times New Roman" w:eastAsia="宋体" w:cs="Times New Roman"/>
                <w:color w:val="auto"/>
                <w:szCs w:val="21"/>
                <w:highlight w:val="none"/>
              </w:rPr>
            </w:pPr>
          </w:p>
          <w:p w14:paraId="39E3C083">
            <w:pPr>
              <w:pageBreakBefore w:val="0"/>
              <w:kinsoku/>
              <w:wordWrap w:val="0"/>
              <w:bidi w:val="0"/>
              <w:rPr>
                <w:rFonts w:hint="default" w:ascii="Times New Roman" w:hAnsi="Times New Roman" w:eastAsia="宋体" w:cs="Times New Roman"/>
                <w:color w:val="auto"/>
                <w:szCs w:val="21"/>
                <w:highlight w:val="none"/>
              </w:rPr>
            </w:pPr>
          </w:p>
          <w:p w14:paraId="7D4E7B8D">
            <w:pPr>
              <w:pageBreakBefore w:val="0"/>
              <w:kinsoku/>
              <w:wordWrap w:val="0"/>
              <w:bidi w:val="0"/>
              <w:rPr>
                <w:rFonts w:hint="default" w:ascii="Times New Roman" w:hAnsi="Times New Roman" w:eastAsia="宋体" w:cs="Times New Roman"/>
                <w:color w:val="auto"/>
                <w:szCs w:val="21"/>
                <w:highlight w:val="none"/>
              </w:rPr>
            </w:pPr>
          </w:p>
          <w:p w14:paraId="0BA528C2">
            <w:pPr>
              <w:pageBreakBefore w:val="0"/>
              <w:kinsoku/>
              <w:wordWrap w:val="0"/>
              <w:bidi w:val="0"/>
              <w:rPr>
                <w:rFonts w:hint="default" w:ascii="Times New Roman" w:hAnsi="Times New Roman" w:eastAsia="宋体" w:cs="Times New Roman"/>
                <w:color w:val="auto"/>
                <w:szCs w:val="21"/>
                <w:highlight w:val="none"/>
              </w:rPr>
            </w:pPr>
          </w:p>
          <w:p w14:paraId="69E59232">
            <w:pPr>
              <w:pageBreakBefore w:val="0"/>
              <w:kinsoku/>
              <w:wordWrap w:val="0"/>
              <w:bidi w:val="0"/>
              <w:rPr>
                <w:rFonts w:hint="default" w:ascii="Times New Roman" w:hAnsi="Times New Roman" w:eastAsia="宋体" w:cs="Times New Roman"/>
                <w:color w:val="auto"/>
                <w:szCs w:val="21"/>
                <w:highlight w:val="none"/>
              </w:rPr>
            </w:pPr>
          </w:p>
          <w:p w14:paraId="1B525359">
            <w:pPr>
              <w:pageBreakBefore w:val="0"/>
              <w:kinsoku/>
              <w:wordWrap w:val="0"/>
              <w:bidi w:val="0"/>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4.3</w:t>
            </w:r>
          </w:p>
        </w:tc>
        <w:tc>
          <w:tcPr>
            <w:tcW w:w="7304" w:type="dxa"/>
            <w:shd w:val="clear" w:color="auto" w:fill="auto"/>
            <w:noWrap w:val="0"/>
            <w:vAlign w:val="top"/>
          </w:tcPr>
          <w:p w14:paraId="7FCB7DB0">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4.3.1分包包括施工分包和劳务合作。</w:t>
            </w:r>
          </w:p>
          <w:p w14:paraId="3C6EF762">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施工分包是指：承包人将其所承包工程中的部分单位工程、分部工程或者分项工 程发包给其他专业施工企业，整体结算，由分包人自行编制施工方案和组织完成全 部施工作业并能独立控制分包工程质量、施工进度、生产安全等的施工活动。施工 分包人是指：从承包人处分包部分单位工程、分部工程或者分项工程的专业施工企 业。</w:t>
            </w:r>
          </w:p>
          <w:p w14:paraId="6B09A263">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劳务合作是指：除施工分包以外，承包人(分包人)与他人合作完成的其他以劳 务活动为主，由劳务企业提供劳务作业人员及所需机具(不限制规模),由承包人(分包人)负责施工方案编制和组织实施并统一控制工程质量、施工进度、主要材 料采购、生产安全等的施工活动。</w:t>
            </w:r>
          </w:p>
          <w:p w14:paraId="43C565BB">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4.3.2施工分包</w:t>
            </w:r>
          </w:p>
          <w:p w14:paraId="7526DBC4">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本工程不允许施工分包。</w:t>
            </w:r>
          </w:p>
          <w:p w14:paraId="685BA0A5">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4.3.3劳务合作</w:t>
            </w:r>
          </w:p>
          <w:p w14:paraId="3A83C427">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在工程施工过程中，承包人(施工分包人)进行劳务合作必须遵守以下规定：</w:t>
            </w:r>
          </w:p>
          <w:p w14:paraId="7DB4D425">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(1)劳务合作企业应具有施工劳务资质。</w:t>
            </w:r>
          </w:p>
          <w:p w14:paraId="689830C0">
            <w:pPr>
              <w:pageBreakBefore w:val="0"/>
              <w:kinsoku/>
              <w:wordWrap w:val="0"/>
              <w:bidi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(2)劳务合作应当依法签订劳务合作合同，劳务合作合同必须由承包人(施工分  包人)的法定代表人或其委托代理人与劳务合作企业直接签订，不得由他人代签。  承包人(施工分包人)的项目经理部、项目经理、施工班组等不具备用工主体资格， 不能与劳务合作企业签订劳务合作合同。承包人(施工分包人)应向发包人和监理人提交劳务合作合同副本并报项目所在地劳动保障部门备案。</w:t>
            </w:r>
          </w:p>
          <w:p w14:paraId="4C933038">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(3)劳务合作合同应当包括以下内容：劳务合作期限、工作内容和工作时间、劳  动保护和劳动条件、劳务报酬(在劳务合作合同中要明确工资以货币形式按月支付， 并约定支付的时间、标准和支付方式)、劳动纪律(在劳务合作合同中明确要求农 民工遵守的用人单位依法制定的有关规章制度，用人单位应当在签订劳务合作合同  前告知农民工)、违反劳务合作合同的责任(劳务合作合同中应当约定违约责任，一方违反劳务合作合同给对方造成经济损失的，要按《劳动法》等有关法律规定承 担赔偿责任)。</w:t>
            </w:r>
          </w:p>
          <w:p w14:paraId="0424B612">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(4)发包人对承包人(施工分包人)与劳务合作企业之间的法律与经济纠纷不承 担任何责任和义务。</w:t>
            </w:r>
          </w:p>
          <w:p w14:paraId="391CB42D">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(5)承包人(施工分包人)应当按照合同约定对劳务合作企业的劳务作业人员进 行管理。劳务作业人员应当经培训后上岗，特殊工种人员应持证上岗。</w:t>
            </w:r>
          </w:p>
          <w:p w14:paraId="7A9232FA">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4.3.4承包人严禁将承包的本工程进行转包或违法分包。承包人可依法进行劳务合  作，但禁止以劳务合作的名义进行施工分包。承包人应就分包项目向发包人负责， 接受分包的人就分包项目承担连带责任。施工分包人不得将承接的分包工程再进行  施工分包和转包，但可将劳务作业分包给具有施工劳务资质的劳务合作企业。</w:t>
            </w:r>
          </w:p>
          <w:p w14:paraId="6E12F508">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(1)有下列情形之一的，属于转包：</w:t>
            </w:r>
          </w:p>
          <w:p w14:paraId="3557E5D0">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a.承包人将承包的全部工程发包给他人的(包括母公司承接公路工程后将所承接 全部工程交由具有独立法人资格的子公司施工的情形);</w:t>
            </w:r>
          </w:p>
          <w:p w14:paraId="7DCCDCA3">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b.承包人将承包的全部工程肢解后以分包的名义分别发包给他人的；</w:t>
            </w:r>
          </w:p>
          <w:p w14:paraId="1254893B">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c.合同明确约定由承包人负责采购的主要建筑材料、构配件及工程设备或租赁的  施工机械设备，全部由其他单位或个人采购、租赁，或承包人不能提供有关采购、 租赁合同及发票等证明，又不能进行合理解释并提供相应证明的；</w:t>
            </w:r>
          </w:p>
          <w:p w14:paraId="3F939D36">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d.承包人未在施工现场设立现场管理机构和派驻相应人员对全部工程的施工活动  实施有效管理，或者派驻的项目负责人和其他主要管理人员中一人及以上与承包人  没有订立劳动合同且没有建立劳动工资和社会养老保险关系，或者派驻的项目负责  人未对全部工程的施工活动进行组织管理，又不能进行合理解释并提供相应证明的；</w:t>
            </w:r>
          </w:p>
          <w:p w14:paraId="4D2EC986">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e.劳务合作企业承包的范围是承包人承包的全部工程，劳务合作企业计取的是除 上缴给承包人“管理费”之外的全部工程价款的；</w:t>
            </w:r>
          </w:p>
          <w:p w14:paraId="2F3569B3">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f.承包人通过采取合作、联营、个人承包等形式或名义，直接或变相将其承包的全 部工程转给他人的；</w:t>
            </w:r>
          </w:p>
          <w:p w14:paraId="661CCC01">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g.施工分包发包单位不是承包人且不属于违法分包的；</w:t>
            </w:r>
          </w:p>
          <w:p w14:paraId="06F6A7BC">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h.发包人与承包人之间没有工程款收付关系，或者承包人收到款项扣除“管理费” 后将剩余全部款项转拨给其他单位或个人的；</w:t>
            </w:r>
          </w:p>
          <w:p w14:paraId="351780CB">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i.法律、法规规定的其他转包行为。</w:t>
            </w:r>
          </w:p>
          <w:p w14:paraId="18D02303">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(2)有下列情形之一的，属于违法分包：</w:t>
            </w:r>
          </w:p>
          <w:p w14:paraId="6C6710E9">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a.承包人将工程分包给个人或者不具备相应条件企业的；</w:t>
            </w:r>
          </w:p>
          <w:p w14:paraId="4EB4810B">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b.承包人将公路工程施工分包负面清单所列主体和关键性工作分包的；</w:t>
            </w:r>
          </w:p>
          <w:p w14:paraId="376AC0B8">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c.承包人将合同文件中明确不得分包的工程(后期报经发包人书面同意的除外)</w:t>
            </w:r>
          </w:p>
          <w:p w14:paraId="0E836375">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进行分包的；</w:t>
            </w:r>
          </w:p>
          <w:p w14:paraId="15867FE8">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d.分包人以他人名义承揽分包工程的；</w:t>
            </w:r>
          </w:p>
          <w:p w14:paraId="01DDD24A">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e. 以劳务合作名义进行施工分包的；</w:t>
            </w:r>
          </w:p>
          <w:p w14:paraId="2513C360">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f</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分包人将分包工程再进行分包的；</w:t>
            </w:r>
          </w:p>
          <w:p w14:paraId="7AF5FB43">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g.法律、法规规定的其他违法分包行为。</w:t>
            </w:r>
          </w:p>
          <w:p w14:paraId="5F6D8809">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(3)有下列情形之一的，视为施工分包违法：</w:t>
            </w:r>
          </w:p>
          <w:p w14:paraId="798B2A60">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a.分包合同内容未经监理人审查或者未报发包人书面同意的；</w:t>
            </w:r>
          </w:p>
          <w:p w14:paraId="3B224869">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b.承包人未与分包人依法签订分包合同或者分包合同未遵循承包合同的各项原</w:t>
            </w:r>
          </w:p>
          <w:p w14:paraId="3CF852AA">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则，不满足承包合同中相应要求的；</w:t>
            </w:r>
          </w:p>
          <w:p w14:paraId="3FC41B9B">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c.承包人(分包人)未在施工现场设立现场管理机构和派驻相应人员对分包工程 的施工活动实施有效管理的；</w:t>
            </w:r>
          </w:p>
          <w:p w14:paraId="2D2A0D52">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d.法律、法规规定的其他情形。</w:t>
            </w:r>
          </w:p>
          <w:p w14:paraId="32D2170B">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(4)有下列行为之一的，属于以劳务合作名义进行施工分包：</w:t>
            </w:r>
          </w:p>
          <w:p w14:paraId="7E8FACC6">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a.劳务合作企业除计取劳务作业费用外，还计取主要建筑材料款；</w:t>
            </w:r>
          </w:p>
          <w:p w14:paraId="6A471FF6">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b.承包人(分包人)未对其发包的劳务作业进行技术、质量、安全等指导培训和  有效管理，由劳务合作企业自行负责施工方案编制以及相关试验检测、工程控制测 量、工程档案资料编制、质量安全管理等组织实施工作；</w:t>
            </w:r>
          </w:p>
          <w:p w14:paraId="7445D7D4">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c.法律、法规规定的其他以劳务合作名义进行施工分包的行为。</w:t>
            </w:r>
          </w:p>
          <w:p w14:paraId="3AE03A58">
            <w:pPr>
              <w:pageBreakBefore w:val="0"/>
              <w:kinsoku/>
              <w:wordWrap w:val="0"/>
              <w:bidi w:val="0"/>
              <w:rPr>
                <w:rFonts w:hint="default" w:ascii="Times New Roman" w:hAnsi="Times New Roman" w:eastAsia="宋体" w:cs="Times New Roman"/>
                <w:color w:val="auto"/>
                <w:szCs w:val="21"/>
                <w:highlight w:val="none"/>
                <w:lang w:val="en-US" w:eastAsia="zh-CN"/>
              </w:rPr>
            </w:pPr>
            <w:r>
              <w:rPr>
                <w:b w:val="0"/>
                <w:bCs w:val="0"/>
                <w:spacing w:val="-9"/>
              </w:rPr>
              <w:t>4.3.5本项目的各项分包工作均应参照执行《公路工程施工分包管理办法》、《辽 宁省公路工程施工分包管理实施细则》的有关规定。</w:t>
            </w:r>
          </w:p>
        </w:tc>
      </w:tr>
      <w:tr w14:paraId="6AD8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655F8B33">
            <w:pPr>
              <w:pageBreakBefore w:val="0"/>
              <w:kinsoku/>
              <w:wordWrap w:val="0"/>
              <w:bidi w:val="0"/>
              <w:rPr>
                <w:rFonts w:hint="default" w:ascii="Times New Roman" w:hAnsi="Times New Roman" w:eastAsia="宋体" w:cs="Times New Roman"/>
                <w:color w:val="auto"/>
                <w:szCs w:val="21"/>
                <w:highlight w:val="none"/>
                <w:lang w:val="en-US" w:eastAsia="zh-CN"/>
              </w:rPr>
            </w:pPr>
          </w:p>
          <w:p w14:paraId="413B26E4">
            <w:pPr>
              <w:pageBreakBefore w:val="0"/>
              <w:kinsoku/>
              <w:wordWrap w:val="0"/>
              <w:bidi w:val="0"/>
              <w:rPr>
                <w:rFonts w:hint="default" w:ascii="Times New Roman" w:hAnsi="Times New Roman" w:eastAsia="宋体" w:cs="Times New Roman"/>
                <w:color w:val="auto"/>
                <w:szCs w:val="21"/>
                <w:highlight w:val="none"/>
                <w:lang w:val="en-US" w:eastAsia="zh-CN"/>
              </w:rPr>
            </w:pPr>
          </w:p>
          <w:p w14:paraId="0727B424">
            <w:pPr>
              <w:pageBreakBefore w:val="0"/>
              <w:kinsoku/>
              <w:wordWrap w:val="0"/>
              <w:bidi w:val="0"/>
              <w:rPr>
                <w:rFonts w:hint="default" w:ascii="Times New Roman" w:hAnsi="Times New Roman" w:eastAsia="宋体" w:cs="Times New Roman"/>
                <w:color w:val="auto"/>
                <w:szCs w:val="21"/>
                <w:highlight w:val="none"/>
                <w:lang w:val="en-US" w:eastAsia="zh-CN"/>
              </w:rPr>
            </w:pPr>
          </w:p>
          <w:p w14:paraId="2143847F">
            <w:pPr>
              <w:pageBreakBefore w:val="0"/>
              <w:kinsoku/>
              <w:wordWrap w:val="0"/>
              <w:bidi w:val="0"/>
              <w:rPr>
                <w:rFonts w:hint="default" w:ascii="Times New Roman" w:hAnsi="Times New Roman" w:eastAsia="宋体" w:cs="Times New Roman"/>
                <w:color w:val="auto"/>
                <w:szCs w:val="21"/>
                <w:highlight w:val="none"/>
                <w:lang w:val="en-US" w:eastAsia="zh-CN"/>
              </w:rPr>
            </w:pPr>
          </w:p>
          <w:p w14:paraId="7FA904DE">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23</w:t>
            </w:r>
          </w:p>
        </w:tc>
        <w:tc>
          <w:tcPr>
            <w:tcW w:w="1111" w:type="dxa"/>
            <w:noWrap w:val="0"/>
            <w:vAlign w:val="top"/>
          </w:tcPr>
          <w:p w14:paraId="3E891AB2">
            <w:pPr>
              <w:pageBreakBefore w:val="0"/>
              <w:kinsoku/>
              <w:wordWrap w:val="0"/>
              <w:bidi w:val="0"/>
              <w:rPr>
                <w:rFonts w:hint="default" w:ascii="Times New Roman" w:hAnsi="Times New Roman" w:eastAsia="宋体" w:cs="Times New Roman"/>
                <w:color w:val="auto"/>
                <w:szCs w:val="21"/>
                <w:highlight w:val="none"/>
                <w:lang w:val="en-US" w:eastAsia="zh-CN"/>
              </w:rPr>
            </w:pPr>
          </w:p>
          <w:p w14:paraId="0D199BC1">
            <w:pPr>
              <w:pageBreakBefore w:val="0"/>
              <w:kinsoku/>
              <w:wordWrap w:val="0"/>
              <w:bidi w:val="0"/>
              <w:rPr>
                <w:rFonts w:hint="default" w:ascii="Times New Roman" w:hAnsi="Times New Roman" w:eastAsia="宋体" w:cs="Times New Roman"/>
                <w:color w:val="auto"/>
                <w:szCs w:val="21"/>
                <w:highlight w:val="none"/>
                <w:lang w:val="en-US" w:eastAsia="zh-CN"/>
              </w:rPr>
            </w:pPr>
          </w:p>
          <w:p w14:paraId="34E1E967">
            <w:pPr>
              <w:pageBreakBefore w:val="0"/>
              <w:kinsoku/>
              <w:wordWrap w:val="0"/>
              <w:bidi w:val="0"/>
              <w:rPr>
                <w:rFonts w:hint="default" w:ascii="Times New Roman" w:hAnsi="Times New Roman" w:eastAsia="宋体" w:cs="Times New Roman"/>
                <w:color w:val="auto"/>
                <w:szCs w:val="21"/>
                <w:highlight w:val="none"/>
                <w:lang w:val="en-US" w:eastAsia="zh-CN"/>
              </w:rPr>
            </w:pPr>
          </w:p>
          <w:p w14:paraId="5C1B9B46">
            <w:pPr>
              <w:pageBreakBefore w:val="0"/>
              <w:kinsoku/>
              <w:wordWrap w:val="0"/>
              <w:bidi w:val="0"/>
              <w:rPr>
                <w:rFonts w:hint="default" w:ascii="Times New Roman" w:hAnsi="Times New Roman" w:eastAsia="宋体" w:cs="Times New Roman"/>
                <w:color w:val="auto"/>
                <w:szCs w:val="21"/>
                <w:highlight w:val="none"/>
                <w:lang w:val="en-US" w:eastAsia="zh-CN"/>
              </w:rPr>
            </w:pPr>
          </w:p>
          <w:p w14:paraId="0A055A23">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4.5.1</w:t>
            </w:r>
          </w:p>
        </w:tc>
        <w:tc>
          <w:tcPr>
            <w:tcW w:w="7304" w:type="dxa"/>
            <w:noWrap w:val="0"/>
            <w:vAlign w:val="top"/>
          </w:tcPr>
          <w:p w14:paraId="020CB61E">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承包人应按合同约定指派项目经理和项目总工，并在签订合同协议书后14天内到任。项目经理、项目总工除亡故、伤残、重大疾病等特殊情况外，不得更换， 因特殊原因更换上述人员须经发包人书面同意。</w:t>
            </w:r>
          </w:p>
          <w:p w14:paraId="30CC552A">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承包人在收到中标通知书后向发包人报送的其他人员(相关约定详见合同文件  “附件四：其他管理和技术人员最低要求”)必须为本单位人员，未经发包人同 意不得更换，否则视为承包人违约。</w:t>
            </w:r>
          </w:p>
        </w:tc>
      </w:tr>
      <w:tr w14:paraId="31B6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17774B42">
            <w:pPr>
              <w:pageBreakBefore w:val="0"/>
              <w:kinsoku/>
              <w:wordWrap w:val="0"/>
              <w:bidi w:val="0"/>
              <w:rPr>
                <w:rFonts w:hint="default" w:ascii="Times New Roman" w:hAnsi="Times New Roman" w:eastAsia="宋体" w:cs="Times New Roman"/>
                <w:color w:val="auto"/>
                <w:szCs w:val="21"/>
                <w:highlight w:val="none"/>
                <w:lang w:val="en-US" w:eastAsia="zh-CN"/>
              </w:rPr>
            </w:pPr>
          </w:p>
          <w:p w14:paraId="6085D093">
            <w:pPr>
              <w:pageBreakBefore w:val="0"/>
              <w:kinsoku/>
              <w:wordWrap w:val="0"/>
              <w:bidi w:val="0"/>
              <w:rPr>
                <w:rFonts w:hint="default" w:ascii="Times New Roman" w:hAnsi="Times New Roman" w:eastAsia="宋体" w:cs="Times New Roman"/>
                <w:color w:val="auto"/>
                <w:szCs w:val="21"/>
                <w:highlight w:val="none"/>
                <w:lang w:val="en-US" w:eastAsia="zh-CN"/>
              </w:rPr>
            </w:pPr>
          </w:p>
          <w:p w14:paraId="4DFF6467">
            <w:pPr>
              <w:pageBreakBefore w:val="0"/>
              <w:kinsoku/>
              <w:wordWrap w:val="0"/>
              <w:bidi w:val="0"/>
              <w:rPr>
                <w:rFonts w:hint="default" w:ascii="Times New Roman" w:hAnsi="Times New Roman" w:eastAsia="宋体" w:cs="Times New Roman"/>
                <w:color w:val="auto"/>
                <w:szCs w:val="21"/>
                <w:highlight w:val="none"/>
                <w:lang w:val="en-US" w:eastAsia="zh-CN"/>
              </w:rPr>
            </w:pPr>
          </w:p>
          <w:p w14:paraId="6F62954B">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24</w:t>
            </w:r>
          </w:p>
        </w:tc>
        <w:tc>
          <w:tcPr>
            <w:tcW w:w="1111" w:type="dxa"/>
            <w:noWrap w:val="0"/>
            <w:vAlign w:val="top"/>
          </w:tcPr>
          <w:p w14:paraId="1D556B9C">
            <w:pPr>
              <w:pageBreakBefore w:val="0"/>
              <w:kinsoku/>
              <w:wordWrap w:val="0"/>
              <w:bidi w:val="0"/>
              <w:rPr>
                <w:rFonts w:hint="default" w:ascii="Times New Roman" w:hAnsi="Times New Roman" w:eastAsia="宋体" w:cs="Times New Roman"/>
                <w:color w:val="auto"/>
                <w:szCs w:val="21"/>
                <w:highlight w:val="none"/>
                <w:lang w:val="en-US" w:eastAsia="zh-CN"/>
              </w:rPr>
            </w:pPr>
          </w:p>
          <w:p w14:paraId="191D792F">
            <w:pPr>
              <w:pageBreakBefore w:val="0"/>
              <w:kinsoku/>
              <w:wordWrap w:val="0"/>
              <w:bidi w:val="0"/>
              <w:rPr>
                <w:rFonts w:hint="default" w:ascii="Times New Roman" w:hAnsi="Times New Roman" w:eastAsia="宋体" w:cs="Times New Roman"/>
                <w:color w:val="auto"/>
                <w:szCs w:val="21"/>
                <w:highlight w:val="none"/>
                <w:lang w:val="en-US" w:eastAsia="zh-CN"/>
              </w:rPr>
            </w:pPr>
          </w:p>
          <w:p w14:paraId="29328E8E">
            <w:pPr>
              <w:pageBreakBefore w:val="0"/>
              <w:kinsoku/>
              <w:wordWrap w:val="0"/>
              <w:bidi w:val="0"/>
              <w:rPr>
                <w:rFonts w:hint="default" w:ascii="Times New Roman" w:hAnsi="Times New Roman" w:eastAsia="宋体" w:cs="Times New Roman"/>
                <w:color w:val="auto"/>
                <w:szCs w:val="21"/>
                <w:highlight w:val="none"/>
                <w:lang w:val="en-US" w:eastAsia="zh-CN"/>
              </w:rPr>
            </w:pPr>
          </w:p>
          <w:p w14:paraId="04941600">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4.6.1</w:t>
            </w:r>
          </w:p>
        </w:tc>
        <w:tc>
          <w:tcPr>
            <w:tcW w:w="7304" w:type="dxa"/>
            <w:noWrap w:val="0"/>
            <w:vAlign w:val="top"/>
          </w:tcPr>
          <w:p w14:paraId="35957FB6">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本款细化：</w:t>
            </w:r>
          </w:p>
          <w:p w14:paraId="21970382">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承包人应在接到开工通知后，按发包人要求的时限向监理人提交承包人在施工 场地的管理机构以及人员安排的报告，其内容应包括管理机构的设置、各主要岗位的技术和管理人员名单及其资格，以及各工种技术工人的安排状况。承包人应 向监理人提交施工场地人员变动情况的报告。</w:t>
            </w:r>
          </w:p>
        </w:tc>
      </w:tr>
      <w:tr w14:paraId="71C7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20B7A1E1">
            <w:pPr>
              <w:pageBreakBefore w:val="0"/>
              <w:kinsoku/>
              <w:wordWrap w:val="0"/>
              <w:bidi w:val="0"/>
              <w:rPr>
                <w:rFonts w:hint="default" w:ascii="Times New Roman" w:hAnsi="Times New Roman" w:eastAsia="宋体" w:cs="Times New Roman"/>
                <w:color w:val="auto"/>
                <w:szCs w:val="21"/>
                <w:highlight w:val="none"/>
                <w:lang w:val="en-US" w:eastAsia="zh-CN"/>
              </w:rPr>
            </w:pPr>
          </w:p>
          <w:p w14:paraId="210BD2BE">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c>
          <w:tcPr>
            <w:tcW w:w="1111" w:type="dxa"/>
            <w:noWrap w:val="0"/>
            <w:vAlign w:val="top"/>
          </w:tcPr>
          <w:p w14:paraId="7AA19A88">
            <w:pPr>
              <w:pageBreakBefore w:val="0"/>
              <w:kinsoku/>
              <w:wordWrap w:val="0"/>
              <w:bidi w:val="0"/>
              <w:rPr>
                <w:rFonts w:hint="default" w:ascii="Times New Roman" w:hAnsi="Times New Roman" w:eastAsia="宋体" w:cs="Times New Roman"/>
                <w:color w:val="auto"/>
                <w:szCs w:val="21"/>
                <w:highlight w:val="none"/>
                <w:lang w:val="en-US" w:eastAsia="zh-CN"/>
              </w:rPr>
            </w:pPr>
          </w:p>
          <w:p w14:paraId="025637DB">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4.6.7</w:t>
            </w:r>
          </w:p>
        </w:tc>
        <w:tc>
          <w:tcPr>
            <w:tcW w:w="7304" w:type="dxa"/>
            <w:noWrap w:val="0"/>
            <w:vAlign w:val="top"/>
          </w:tcPr>
          <w:p w14:paraId="5897CD3B">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本款补充第4.6.7项：</w:t>
            </w:r>
          </w:p>
          <w:p w14:paraId="0E09902C">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承包人应严格按照《辽宁省公路工程施工现场主要人员履约监督管理办法》(辽交公路规〔2025〕3号)的相关规定进行主要人员的现场履约，并接受发包人及交  通运输主管部门的监督管理。承包人在提交的项目管理机构以及人员安排的报告中，应明确项目经理、项目总工、其他技术和管理人员及其每月最低出勤天数(不 得低于20天。如当月实际施工期不足20天的，当月最低出勤天数即为实际施工天数)。</w:t>
            </w:r>
          </w:p>
          <w:p w14:paraId="27B7C96D">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承包人应按项目管理要求真实、合规、准确、及时在“辽宁省公路工程施工现场主要人员履约监管平台”录入主要人员及技术人员的人员身份、职称、执业资  格、职务、人脸识别图像等信息，并利用“人脸识别+电子围栏”进行现场履约电  子打卡考勤，完整记录履约人员的身份信息</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考勤信息等履约情况，不得同时在  不同的项目或单位进行履约考核。承包人应保证原始基础数据的真实性、准确性， 积极配合交通运输主管部门通过监管平台进行的图像比对、检查核实、数据甄别 和统计等监督管理工作。</w:t>
            </w:r>
          </w:p>
          <w:p w14:paraId="0556A065">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人员履约年度考核不合格的，除给予通报和按照合同约定追究违约责任外，还 将依据信用评价管理规定予以扣分。</w:t>
            </w:r>
          </w:p>
        </w:tc>
      </w:tr>
      <w:tr w14:paraId="256E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7191D257">
            <w:pPr>
              <w:pageBreakBefore w:val="0"/>
              <w:kinsoku/>
              <w:wordWrap w:val="0"/>
              <w:bidi w:val="0"/>
              <w:rPr>
                <w:rFonts w:hint="default" w:ascii="Times New Roman" w:hAnsi="Times New Roman" w:eastAsia="宋体" w:cs="Times New Roman"/>
                <w:color w:val="auto"/>
                <w:szCs w:val="21"/>
                <w:highlight w:val="none"/>
                <w:lang w:val="en-US" w:eastAsia="zh-CN"/>
              </w:rPr>
            </w:pPr>
          </w:p>
          <w:p w14:paraId="456D04D7">
            <w:pPr>
              <w:pageBreakBefore w:val="0"/>
              <w:kinsoku/>
              <w:wordWrap w:val="0"/>
              <w:bidi w:val="0"/>
              <w:rPr>
                <w:rFonts w:hint="default" w:ascii="Times New Roman" w:hAnsi="Times New Roman" w:eastAsia="宋体" w:cs="Times New Roman"/>
                <w:color w:val="auto"/>
                <w:szCs w:val="21"/>
                <w:highlight w:val="none"/>
                <w:lang w:val="en-US" w:eastAsia="zh-CN"/>
              </w:rPr>
            </w:pPr>
          </w:p>
          <w:p w14:paraId="289DCD81">
            <w:pPr>
              <w:pageBreakBefore w:val="0"/>
              <w:kinsoku/>
              <w:wordWrap w:val="0"/>
              <w:bidi w:val="0"/>
              <w:rPr>
                <w:rFonts w:hint="default" w:ascii="Times New Roman" w:hAnsi="Times New Roman" w:eastAsia="宋体" w:cs="Times New Roman"/>
                <w:color w:val="auto"/>
                <w:szCs w:val="21"/>
                <w:highlight w:val="none"/>
                <w:lang w:val="en-US" w:eastAsia="zh-CN"/>
              </w:rPr>
            </w:pPr>
          </w:p>
          <w:p w14:paraId="50598983">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26</w:t>
            </w:r>
          </w:p>
        </w:tc>
        <w:tc>
          <w:tcPr>
            <w:tcW w:w="1111" w:type="dxa"/>
            <w:noWrap w:val="0"/>
            <w:vAlign w:val="top"/>
          </w:tcPr>
          <w:p w14:paraId="23FCB4FD">
            <w:pPr>
              <w:pageBreakBefore w:val="0"/>
              <w:kinsoku/>
              <w:wordWrap w:val="0"/>
              <w:bidi w:val="0"/>
              <w:rPr>
                <w:rFonts w:hint="default" w:ascii="Times New Roman" w:hAnsi="Times New Roman" w:eastAsia="宋体" w:cs="Times New Roman"/>
                <w:color w:val="auto"/>
                <w:szCs w:val="21"/>
                <w:highlight w:val="none"/>
                <w:lang w:val="en-US" w:eastAsia="zh-CN"/>
              </w:rPr>
            </w:pPr>
          </w:p>
          <w:p w14:paraId="315D84A8">
            <w:pPr>
              <w:pageBreakBefore w:val="0"/>
              <w:kinsoku/>
              <w:wordWrap w:val="0"/>
              <w:bidi w:val="0"/>
              <w:rPr>
                <w:rFonts w:hint="default" w:ascii="Times New Roman" w:hAnsi="Times New Roman" w:eastAsia="宋体" w:cs="Times New Roman"/>
                <w:color w:val="auto"/>
                <w:szCs w:val="21"/>
                <w:highlight w:val="none"/>
                <w:lang w:val="en-US" w:eastAsia="zh-CN"/>
              </w:rPr>
            </w:pPr>
          </w:p>
          <w:p w14:paraId="1BAE7500">
            <w:pPr>
              <w:pageBreakBefore w:val="0"/>
              <w:kinsoku/>
              <w:wordWrap w:val="0"/>
              <w:bidi w:val="0"/>
              <w:rPr>
                <w:rFonts w:hint="default" w:ascii="Times New Roman" w:hAnsi="Times New Roman" w:eastAsia="宋体" w:cs="Times New Roman"/>
                <w:color w:val="auto"/>
                <w:szCs w:val="21"/>
                <w:highlight w:val="none"/>
                <w:lang w:val="en-US" w:eastAsia="zh-CN"/>
              </w:rPr>
            </w:pPr>
          </w:p>
          <w:p w14:paraId="639D30F4">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4.7</w:t>
            </w:r>
          </w:p>
        </w:tc>
        <w:tc>
          <w:tcPr>
            <w:tcW w:w="7304" w:type="dxa"/>
            <w:noWrap w:val="0"/>
            <w:vAlign w:val="top"/>
          </w:tcPr>
          <w:p w14:paraId="270F456D">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本款细化：</w:t>
            </w:r>
          </w:p>
          <w:p w14:paraId="6F077857">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承包人应对其项目经理和其他人员进行有效管理。监理人或发包人有权向承包 人发书面通知，要求撤换不能胜任本职工作、行为不端或玩忽职守的承包人项目 经理和其他人员。承包人应在接到书面通知后14天内予以撤换，且委派的替换人 员应经发包人和监理人同意，否则视为承包人违约。</w:t>
            </w:r>
          </w:p>
        </w:tc>
      </w:tr>
      <w:tr w14:paraId="7D9B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2FF1CD9E">
            <w:pPr>
              <w:pageBreakBefore w:val="0"/>
              <w:kinsoku/>
              <w:wordWrap w:val="0"/>
              <w:bidi w:val="0"/>
              <w:rPr>
                <w:rFonts w:hint="default" w:ascii="Times New Roman" w:hAnsi="Times New Roman" w:eastAsia="宋体" w:cs="Times New Roman"/>
                <w:color w:val="auto"/>
                <w:szCs w:val="21"/>
                <w:highlight w:val="none"/>
                <w:lang w:val="en-US" w:eastAsia="zh-CN"/>
              </w:rPr>
            </w:pPr>
          </w:p>
          <w:p w14:paraId="61B5B07C">
            <w:pPr>
              <w:pageBreakBefore w:val="0"/>
              <w:kinsoku/>
              <w:wordWrap w:val="0"/>
              <w:bidi w:val="0"/>
              <w:rPr>
                <w:rFonts w:hint="default" w:ascii="Times New Roman" w:hAnsi="Times New Roman" w:eastAsia="宋体" w:cs="Times New Roman"/>
                <w:color w:val="auto"/>
                <w:szCs w:val="21"/>
                <w:highlight w:val="none"/>
                <w:lang w:val="en-US" w:eastAsia="zh-CN"/>
              </w:rPr>
            </w:pPr>
          </w:p>
          <w:p w14:paraId="361A2D96">
            <w:pPr>
              <w:pageBreakBefore w:val="0"/>
              <w:kinsoku/>
              <w:wordWrap w:val="0"/>
              <w:bidi w:val="0"/>
              <w:rPr>
                <w:rFonts w:hint="default" w:ascii="Times New Roman" w:hAnsi="Times New Roman" w:eastAsia="宋体" w:cs="Times New Roman"/>
                <w:color w:val="auto"/>
                <w:szCs w:val="21"/>
                <w:highlight w:val="none"/>
                <w:lang w:val="en-US" w:eastAsia="zh-CN"/>
              </w:rPr>
            </w:pPr>
          </w:p>
          <w:p w14:paraId="6EAD93B0">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27</w:t>
            </w:r>
          </w:p>
        </w:tc>
        <w:tc>
          <w:tcPr>
            <w:tcW w:w="1111" w:type="dxa"/>
            <w:noWrap w:val="0"/>
            <w:vAlign w:val="top"/>
          </w:tcPr>
          <w:p w14:paraId="73D04D06">
            <w:pPr>
              <w:pageBreakBefore w:val="0"/>
              <w:kinsoku/>
              <w:wordWrap w:val="0"/>
              <w:bidi w:val="0"/>
              <w:rPr>
                <w:rFonts w:hint="default" w:ascii="Times New Roman" w:hAnsi="Times New Roman" w:eastAsia="宋体" w:cs="Times New Roman"/>
                <w:color w:val="auto"/>
                <w:szCs w:val="21"/>
                <w:highlight w:val="none"/>
                <w:lang w:val="en-US" w:eastAsia="zh-CN"/>
              </w:rPr>
            </w:pPr>
          </w:p>
          <w:p w14:paraId="160A27FC">
            <w:pPr>
              <w:pageBreakBefore w:val="0"/>
              <w:kinsoku/>
              <w:wordWrap w:val="0"/>
              <w:bidi w:val="0"/>
              <w:rPr>
                <w:rFonts w:hint="default" w:ascii="Times New Roman" w:hAnsi="Times New Roman" w:eastAsia="宋体" w:cs="Times New Roman"/>
                <w:color w:val="auto"/>
                <w:szCs w:val="21"/>
                <w:highlight w:val="none"/>
                <w:lang w:val="en-US" w:eastAsia="zh-CN"/>
              </w:rPr>
            </w:pPr>
          </w:p>
          <w:p w14:paraId="1405C6BC">
            <w:pPr>
              <w:pageBreakBefore w:val="0"/>
              <w:kinsoku/>
              <w:wordWrap w:val="0"/>
              <w:bidi w:val="0"/>
              <w:rPr>
                <w:rFonts w:hint="default" w:ascii="Times New Roman" w:hAnsi="Times New Roman" w:eastAsia="宋体" w:cs="Times New Roman"/>
                <w:color w:val="auto"/>
                <w:szCs w:val="21"/>
                <w:highlight w:val="none"/>
                <w:lang w:val="en-US" w:eastAsia="zh-CN"/>
              </w:rPr>
            </w:pPr>
          </w:p>
          <w:p w14:paraId="42FB5FCB">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4.8.8</w:t>
            </w:r>
          </w:p>
        </w:tc>
        <w:tc>
          <w:tcPr>
            <w:tcW w:w="7304" w:type="dxa"/>
            <w:noWrap w:val="0"/>
            <w:vAlign w:val="top"/>
          </w:tcPr>
          <w:p w14:paraId="410D5B7A">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承包人在组织人员进驻工程现场时，应切实按照各级人民政府及各级卫生防疫、交通运输等主管部门相关要求采取预防疫情的有效措施，制定各类防疫措施、 管理办法和等级表格，进场前报发包人备案。承包人应将可能发生的全部费用计入报价中，项目管理法人将不另行支付。因承包人采取措施不力所造成的一切后果，均由承包人自行负责。</w:t>
            </w:r>
          </w:p>
        </w:tc>
      </w:tr>
      <w:tr w14:paraId="3D53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5BAC5A57">
            <w:pPr>
              <w:pageBreakBefore w:val="0"/>
              <w:kinsoku/>
              <w:wordWrap w:val="0"/>
              <w:bidi w:val="0"/>
              <w:rPr>
                <w:rFonts w:hint="default" w:ascii="Times New Roman" w:hAnsi="Times New Roman" w:eastAsia="宋体" w:cs="Times New Roman"/>
                <w:color w:val="auto"/>
                <w:szCs w:val="21"/>
                <w:highlight w:val="none"/>
                <w:lang w:val="en-US" w:eastAsia="zh-CN"/>
              </w:rPr>
            </w:pPr>
          </w:p>
          <w:p w14:paraId="6D4A20A6">
            <w:pPr>
              <w:pageBreakBefore w:val="0"/>
              <w:kinsoku/>
              <w:wordWrap w:val="0"/>
              <w:bidi w:val="0"/>
              <w:rPr>
                <w:rFonts w:hint="default" w:ascii="Times New Roman" w:hAnsi="Times New Roman" w:eastAsia="宋体" w:cs="Times New Roman"/>
                <w:color w:val="auto"/>
                <w:szCs w:val="21"/>
                <w:highlight w:val="none"/>
                <w:lang w:val="en-US" w:eastAsia="zh-CN"/>
              </w:rPr>
            </w:pPr>
          </w:p>
          <w:p w14:paraId="22192523">
            <w:pPr>
              <w:pageBreakBefore w:val="0"/>
              <w:kinsoku/>
              <w:wordWrap w:val="0"/>
              <w:bidi w:val="0"/>
              <w:rPr>
                <w:rFonts w:hint="default" w:ascii="Times New Roman" w:hAnsi="Times New Roman" w:eastAsia="宋体" w:cs="Times New Roman"/>
                <w:color w:val="auto"/>
                <w:szCs w:val="21"/>
                <w:highlight w:val="none"/>
                <w:lang w:val="en-US" w:eastAsia="zh-CN"/>
              </w:rPr>
            </w:pPr>
          </w:p>
          <w:p w14:paraId="241051FF">
            <w:pPr>
              <w:pageBreakBefore w:val="0"/>
              <w:kinsoku/>
              <w:wordWrap w:val="0"/>
              <w:bidi w:val="0"/>
              <w:rPr>
                <w:rFonts w:hint="default" w:ascii="Times New Roman" w:hAnsi="Times New Roman" w:eastAsia="宋体" w:cs="Times New Roman"/>
                <w:color w:val="auto"/>
                <w:szCs w:val="21"/>
                <w:highlight w:val="none"/>
                <w:lang w:val="en-US" w:eastAsia="zh-CN"/>
              </w:rPr>
            </w:pPr>
          </w:p>
          <w:p w14:paraId="71032BC7">
            <w:pPr>
              <w:pageBreakBefore w:val="0"/>
              <w:kinsoku/>
              <w:wordWrap w:val="0"/>
              <w:bidi w:val="0"/>
              <w:rPr>
                <w:rFonts w:hint="default" w:ascii="Times New Roman" w:hAnsi="Times New Roman" w:eastAsia="宋体" w:cs="Times New Roman"/>
                <w:color w:val="auto"/>
                <w:szCs w:val="21"/>
                <w:highlight w:val="none"/>
                <w:lang w:val="en-US" w:eastAsia="zh-CN"/>
              </w:rPr>
            </w:pPr>
          </w:p>
          <w:p w14:paraId="2BD91968">
            <w:pPr>
              <w:pageBreakBefore w:val="0"/>
              <w:kinsoku/>
              <w:wordWrap w:val="0"/>
              <w:bidi w:val="0"/>
              <w:rPr>
                <w:rFonts w:hint="default" w:ascii="Times New Roman" w:hAnsi="Times New Roman" w:eastAsia="宋体" w:cs="Times New Roman"/>
                <w:color w:val="auto"/>
                <w:szCs w:val="21"/>
                <w:highlight w:val="none"/>
                <w:lang w:val="en-US" w:eastAsia="zh-CN"/>
              </w:rPr>
            </w:pPr>
          </w:p>
          <w:p w14:paraId="4F33578E">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28</w:t>
            </w:r>
          </w:p>
        </w:tc>
        <w:tc>
          <w:tcPr>
            <w:tcW w:w="1111" w:type="dxa"/>
            <w:noWrap w:val="0"/>
            <w:vAlign w:val="top"/>
          </w:tcPr>
          <w:p w14:paraId="0639E4F3">
            <w:pPr>
              <w:pageBreakBefore w:val="0"/>
              <w:kinsoku/>
              <w:wordWrap w:val="0"/>
              <w:bidi w:val="0"/>
              <w:rPr>
                <w:rFonts w:hint="default" w:ascii="Times New Roman" w:hAnsi="Times New Roman" w:eastAsia="宋体" w:cs="Times New Roman"/>
                <w:color w:val="auto"/>
                <w:szCs w:val="21"/>
                <w:highlight w:val="none"/>
                <w:lang w:val="en-US" w:eastAsia="zh-CN"/>
              </w:rPr>
            </w:pPr>
          </w:p>
          <w:p w14:paraId="3F0FDA42">
            <w:pPr>
              <w:pageBreakBefore w:val="0"/>
              <w:kinsoku/>
              <w:wordWrap w:val="0"/>
              <w:bidi w:val="0"/>
              <w:rPr>
                <w:rFonts w:hint="default" w:ascii="Times New Roman" w:hAnsi="Times New Roman" w:eastAsia="宋体" w:cs="Times New Roman"/>
                <w:color w:val="auto"/>
                <w:szCs w:val="21"/>
                <w:highlight w:val="none"/>
                <w:lang w:val="en-US" w:eastAsia="zh-CN"/>
              </w:rPr>
            </w:pPr>
          </w:p>
          <w:p w14:paraId="403F61C7">
            <w:pPr>
              <w:pageBreakBefore w:val="0"/>
              <w:kinsoku/>
              <w:wordWrap w:val="0"/>
              <w:bidi w:val="0"/>
              <w:rPr>
                <w:rFonts w:hint="default" w:ascii="Times New Roman" w:hAnsi="Times New Roman" w:eastAsia="宋体" w:cs="Times New Roman"/>
                <w:color w:val="auto"/>
                <w:szCs w:val="21"/>
                <w:highlight w:val="none"/>
                <w:lang w:val="en-US" w:eastAsia="zh-CN"/>
              </w:rPr>
            </w:pPr>
          </w:p>
          <w:p w14:paraId="579E6B13">
            <w:pPr>
              <w:pageBreakBefore w:val="0"/>
              <w:kinsoku/>
              <w:wordWrap w:val="0"/>
              <w:bidi w:val="0"/>
              <w:rPr>
                <w:rFonts w:hint="default" w:ascii="Times New Roman" w:hAnsi="Times New Roman" w:eastAsia="宋体" w:cs="Times New Roman"/>
                <w:color w:val="auto"/>
                <w:szCs w:val="21"/>
                <w:highlight w:val="none"/>
                <w:lang w:val="en-US" w:eastAsia="zh-CN"/>
              </w:rPr>
            </w:pPr>
          </w:p>
          <w:p w14:paraId="77D2E630">
            <w:pPr>
              <w:pageBreakBefore w:val="0"/>
              <w:kinsoku/>
              <w:wordWrap w:val="0"/>
              <w:bidi w:val="0"/>
              <w:rPr>
                <w:rFonts w:hint="default" w:ascii="Times New Roman" w:hAnsi="Times New Roman" w:eastAsia="宋体" w:cs="Times New Roman"/>
                <w:color w:val="auto"/>
                <w:szCs w:val="21"/>
                <w:highlight w:val="none"/>
                <w:lang w:val="en-US" w:eastAsia="zh-CN"/>
              </w:rPr>
            </w:pPr>
          </w:p>
          <w:p w14:paraId="4B822845">
            <w:pPr>
              <w:pageBreakBefore w:val="0"/>
              <w:kinsoku/>
              <w:wordWrap w:val="0"/>
              <w:bidi w:val="0"/>
              <w:rPr>
                <w:rFonts w:hint="default" w:ascii="Times New Roman" w:hAnsi="Times New Roman" w:eastAsia="宋体" w:cs="Times New Roman"/>
                <w:color w:val="auto"/>
                <w:szCs w:val="21"/>
                <w:highlight w:val="none"/>
                <w:lang w:val="en-US" w:eastAsia="zh-CN"/>
              </w:rPr>
            </w:pPr>
          </w:p>
          <w:p w14:paraId="4F88B70F">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4.9</w:t>
            </w:r>
          </w:p>
        </w:tc>
        <w:tc>
          <w:tcPr>
            <w:tcW w:w="7304" w:type="dxa"/>
            <w:noWrap w:val="0"/>
            <w:vAlign w:val="top"/>
          </w:tcPr>
          <w:p w14:paraId="688187F3">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工程价款应专款专用：经发包人提出申请后，项目管理法人按合同约定支付给承 包人的各项价款应专用于合同工程。</w:t>
            </w:r>
          </w:p>
          <w:p w14:paraId="3547C7AF">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项目管理法人支付的工程进度款应为本工程的专款专用资金，不得转移、偿还其 他债务或用于其他工程。发包人及其派出机构有权不定期对承包人工程资金使用情 况进行检查，发现问题及时责令承包人限期改正，否则，将终止支付，直至承包人 改正为止。因上述原因中止支付引起的工期延误，由承包人承担。</w:t>
            </w:r>
          </w:p>
          <w:p w14:paraId="31DB5EA8">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发包人或监理人有权对本项目已支付工程款的去向进行检查，包括银行流水、财 务账目等，承包人应予以配合。如发现本项目已支付工程款用于与本项目无关的其 他事项，视为承包人违约。发包人有权责令承包人限期追回或通过其他合法渠道弥补该资金缺口。承包人在发包人限定的期限内无法完成的，视为承包人违约。</w:t>
            </w:r>
          </w:p>
          <w:p w14:paraId="5BC0DBE7">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如承包方与第三方存在相关法律纠纷导致专款专用资金被冻结或扣划，承包人应于资金被扣划或者冻结后3个工作日内向发包人报告，并于15个工作日内将项目资金归还至承包人开立的本项目临时(专用)银行账户或者向法院及相关司法行政机关履行相应义务并解除对本项目临时(专用)银行账户的冻结。无法按期归还或者解除账户冻结的，发包人有权按违约处理。</w:t>
            </w:r>
          </w:p>
        </w:tc>
      </w:tr>
      <w:tr w14:paraId="30FD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5978C500">
            <w:pPr>
              <w:pageBreakBefore w:val="0"/>
              <w:kinsoku/>
              <w:wordWrap w:val="0"/>
              <w:bidi w:val="0"/>
              <w:rPr>
                <w:rFonts w:hint="default" w:ascii="Times New Roman" w:hAnsi="Times New Roman" w:eastAsia="宋体" w:cs="Times New Roman"/>
                <w:color w:val="auto"/>
                <w:szCs w:val="21"/>
                <w:highlight w:val="none"/>
                <w:lang w:val="en-US" w:eastAsia="zh-CN"/>
              </w:rPr>
            </w:pPr>
          </w:p>
          <w:p w14:paraId="4FEF4573">
            <w:pPr>
              <w:pageBreakBefore w:val="0"/>
              <w:kinsoku/>
              <w:wordWrap w:val="0"/>
              <w:bidi w:val="0"/>
              <w:rPr>
                <w:rFonts w:hint="default" w:ascii="Times New Roman" w:hAnsi="Times New Roman" w:eastAsia="宋体" w:cs="Times New Roman"/>
                <w:color w:val="auto"/>
                <w:szCs w:val="21"/>
                <w:highlight w:val="none"/>
                <w:lang w:val="en-US" w:eastAsia="zh-CN"/>
              </w:rPr>
            </w:pPr>
          </w:p>
          <w:p w14:paraId="7BD35710">
            <w:pPr>
              <w:pageBreakBefore w:val="0"/>
              <w:kinsoku/>
              <w:wordWrap w:val="0"/>
              <w:bidi w:val="0"/>
              <w:rPr>
                <w:rFonts w:hint="default" w:ascii="Times New Roman" w:hAnsi="Times New Roman" w:eastAsia="宋体" w:cs="Times New Roman"/>
                <w:color w:val="auto"/>
                <w:szCs w:val="21"/>
                <w:highlight w:val="none"/>
                <w:lang w:val="en-US" w:eastAsia="zh-CN"/>
              </w:rPr>
            </w:pPr>
          </w:p>
          <w:p w14:paraId="5B095FE0">
            <w:pPr>
              <w:pageBreakBefore w:val="0"/>
              <w:kinsoku/>
              <w:wordWrap w:val="0"/>
              <w:bidi w:val="0"/>
              <w:rPr>
                <w:rFonts w:hint="default" w:ascii="Times New Roman" w:hAnsi="Times New Roman" w:eastAsia="宋体" w:cs="Times New Roman"/>
                <w:color w:val="auto"/>
                <w:szCs w:val="21"/>
                <w:highlight w:val="none"/>
                <w:lang w:val="en-US" w:eastAsia="zh-CN"/>
              </w:rPr>
            </w:pPr>
          </w:p>
          <w:p w14:paraId="6C61B2BC">
            <w:pPr>
              <w:pageBreakBefore w:val="0"/>
              <w:kinsoku/>
              <w:wordWrap w:val="0"/>
              <w:bidi w:val="0"/>
              <w:rPr>
                <w:rFonts w:hint="default" w:ascii="Times New Roman" w:hAnsi="Times New Roman" w:eastAsia="宋体" w:cs="Times New Roman"/>
                <w:color w:val="auto"/>
                <w:szCs w:val="21"/>
                <w:highlight w:val="none"/>
                <w:lang w:val="en-US" w:eastAsia="zh-CN"/>
              </w:rPr>
            </w:pPr>
          </w:p>
          <w:p w14:paraId="4CE48BD4">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29</w:t>
            </w:r>
          </w:p>
        </w:tc>
        <w:tc>
          <w:tcPr>
            <w:tcW w:w="1111" w:type="dxa"/>
            <w:shd w:val="clear" w:color="auto" w:fill="auto"/>
            <w:noWrap w:val="0"/>
            <w:vAlign w:val="top"/>
          </w:tcPr>
          <w:p w14:paraId="39792574">
            <w:pPr>
              <w:pageBreakBefore w:val="0"/>
              <w:kinsoku/>
              <w:wordWrap w:val="0"/>
              <w:bidi w:val="0"/>
              <w:rPr>
                <w:rFonts w:hint="default" w:ascii="Times New Roman" w:hAnsi="Times New Roman" w:eastAsia="宋体" w:cs="Times New Roman"/>
                <w:color w:val="auto"/>
                <w:szCs w:val="21"/>
                <w:highlight w:val="none"/>
                <w:lang w:val="en-US" w:eastAsia="zh-CN"/>
              </w:rPr>
            </w:pPr>
          </w:p>
          <w:p w14:paraId="4F4EB9F9">
            <w:pPr>
              <w:pageBreakBefore w:val="0"/>
              <w:kinsoku/>
              <w:wordWrap w:val="0"/>
              <w:bidi w:val="0"/>
              <w:rPr>
                <w:rFonts w:hint="default" w:ascii="Times New Roman" w:hAnsi="Times New Roman" w:eastAsia="宋体" w:cs="Times New Roman"/>
                <w:color w:val="auto"/>
                <w:szCs w:val="21"/>
                <w:highlight w:val="none"/>
                <w:lang w:val="en-US" w:eastAsia="zh-CN"/>
              </w:rPr>
            </w:pPr>
          </w:p>
          <w:p w14:paraId="7AD472BD">
            <w:pPr>
              <w:pageBreakBefore w:val="0"/>
              <w:kinsoku/>
              <w:wordWrap w:val="0"/>
              <w:bidi w:val="0"/>
              <w:rPr>
                <w:rFonts w:hint="default" w:ascii="Times New Roman" w:hAnsi="Times New Roman" w:eastAsia="宋体" w:cs="Times New Roman"/>
                <w:color w:val="auto"/>
                <w:szCs w:val="21"/>
                <w:highlight w:val="none"/>
                <w:lang w:val="en-US" w:eastAsia="zh-CN"/>
              </w:rPr>
            </w:pPr>
          </w:p>
          <w:p w14:paraId="092D4149">
            <w:pPr>
              <w:pageBreakBefore w:val="0"/>
              <w:kinsoku/>
              <w:wordWrap w:val="0"/>
              <w:bidi w:val="0"/>
              <w:rPr>
                <w:rFonts w:hint="default" w:ascii="Times New Roman" w:hAnsi="Times New Roman" w:eastAsia="宋体" w:cs="Times New Roman"/>
                <w:color w:val="auto"/>
                <w:szCs w:val="21"/>
                <w:highlight w:val="none"/>
                <w:lang w:val="en-US" w:eastAsia="zh-CN"/>
              </w:rPr>
            </w:pPr>
          </w:p>
          <w:p w14:paraId="665E37F9">
            <w:pPr>
              <w:pageBreakBefore w:val="0"/>
              <w:kinsoku/>
              <w:wordWrap w:val="0"/>
              <w:bidi w:val="0"/>
              <w:rPr>
                <w:rFonts w:hint="default" w:ascii="Times New Roman" w:hAnsi="Times New Roman" w:eastAsia="宋体" w:cs="Times New Roman"/>
                <w:color w:val="auto"/>
                <w:szCs w:val="21"/>
                <w:highlight w:val="none"/>
                <w:lang w:val="en-US" w:eastAsia="zh-CN"/>
              </w:rPr>
            </w:pPr>
          </w:p>
          <w:p w14:paraId="41222E54">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4.13</w:t>
            </w:r>
          </w:p>
        </w:tc>
        <w:tc>
          <w:tcPr>
            <w:tcW w:w="7304" w:type="dxa"/>
            <w:shd w:val="clear" w:color="auto" w:fill="auto"/>
            <w:noWrap w:val="0"/>
            <w:vAlign w:val="top"/>
          </w:tcPr>
          <w:p w14:paraId="0065E602">
            <w:pPr>
              <w:pageBreakBefore w:val="0"/>
              <w:kinsoku/>
              <w:wordWrap w:val="0"/>
              <w:bidi w:val="0"/>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zh-CN"/>
              </w:rPr>
              <w:t>承包人为国有控股或参股企业的，承包人应按规定在项目现场设立基层党组 织。承包人为非国有控股或参股企业的，承包人应创造条件使党员能够参加党组 织生活并接受相应管理。承包人应在项目现场设立基层党组织，积极组织党员学 习，承办党建工作室(党员之家),建立党建工作制度、明确“两学一做”常态化制度化建设目标和任务、明确党组织机构设置、党组织负责人及党务工作人员 配备情况，编制党务工作开展预案，并按照预案要求在项目实施过程中同步开展 党务工作，充分发挥基层党组织在项目实施中的作用。</w:t>
            </w:r>
          </w:p>
        </w:tc>
      </w:tr>
      <w:tr w14:paraId="5028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439F8B34">
            <w:pPr>
              <w:pageBreakBefore w:val="0"/>
              <w:kinsoku/>
              <w:wordWrap w:val="0"/>
              <w:bidi w:val="0"/>
              <w:rPr>
                <w:rFonts w:hint="default" w:ascii="Times New Roman" w:hAnsi="Times New Roman" w:eastAsia="宋体" w:cs="Times New Roman"/>
                <w:color w:val="auto"/>
                <w:szCs w:val="21"/>
                <w:highlight w:val="none"/>
                <w:lang w:val="en-US" w:eastAsia="zh-CN"/>
              </w:rPr>
            </w:pPr>
          </w:p>
          <w:p w14:paraId="0A5D50A6">
            <w:pPr>
              <w:pageBreakBefore w:val="0"/>
              <w:kinsoku/>
              <w:wordWrap w:val="0"/>
              <w:bidi w:val="0"/>
              <w:rPr>
                <w:rFonts w:hint="default" w:ascii="Times New Roman" w:hAnsi="Times New Roman" w:eastAsia="宋体" w:cs="Times New Roman"/>
                <w:color w:val="auto"/>
                <w:szCs w:val="21"/>
                <w:highlight w:val="none"/>
                <w:lang w:val="en-US" w:eastAsia="zh-CN"/>
              </w:rPr>
            </w:pPr>
          </w:p>
          <w:p w14:paraId="74907B38">
            <w:pPr>
              <w:pageBreakBefore w:val="0"/>
              <w:kinsoku/>
              <w:wordWrap w:val="0"/>
              <w:bidi w:val="0"/>
              <w:rPr>
                <w:rFonts w:hint="default" w:ascii="Times New Roman" w:hAnsi="Times New Roman" w:eastAsia="宋体" w:cs="Times New Roman"/>
                <w:color w:val="auto"/>
                <w:szCs w:val="21"/>
                <w:highlight w:val="none"/>
                <w:lang w:val="en-US" w:eastAsia="zh-CN"/>
              </w:rPr>
            </w:pPr>
          </w:p>
          <w:p w14:paraId="2903F602">
            <w:pPr>
              <w:pageBreakBefore w:val="0"/>
              <w:kinsoku/>
              <w:wordWrap w:val="0"/>
              <w:bidi w:val="0"/>
              <w:rPr>
                <w:rFonts w:hint="default" w:ascii="Times New Roman" w:hAnsi="Times New Roman" w:eastAsia="宋体" w:cs="Times New Roman"/>
                <w:color w:val="auto"/>
                <w:szCs w:val="21"/>
                <w:highlight w:val="none"/>
                <w:lang w:val="en-US" w:eastAsia="zh-CN"/>
              </w:rPr>
            </w:pPr>
          </w:p>
          <w:p w14:paraId="0563CBE9">
            <w:pPr>
              <w:pageBreakBefore w:val="0"/>
              <w:kinsoku/>
              <w:wordWrap w:val="0"/>
              <w:bidi w:val="0"/>
              <w:rPr>
                <w:rFonts w:hint="default" w:ascii="Times New Roman" w:hAnsi="Times New Roman" w:eastAsia="宋体" w:cs="Times New Roman"/>
                <w:color w:val="auto"/>
                <w:szCs w:val="21"/>
                <w:highlight w:val="none"/>
                <w:lang w:val="en-US" w:eastAsia="zh-CN"/>
              </w:rPr>
            </w:pPr>
          </w:p>
          <w:p w14:paraId="0390A43E">
            <w:pPr>
              <w:pageBreakBefore w:val="0"/>
              <w:kinsoku/>
              <w:wordWrap w:val="0"/>
              <w:bidi w:val="0"/>
              <w:rPr>
                <w:rFonts w:hint="default" w:ascii="Times New Roman" w:hAnsi="Times New Roman" w:eastAsia="宋体" w:cs="Times New Roman"/>
                <w:color w:val="auto"/>
                <w:szCs w:val="21"/>
                <w:highlight w:val="none"/>
                <w:lang w:val="en-US" w:eastAsia="zh-CN"/>
              </w:rPr>
            </w:pPr>
          </w:p>
          <w:p w14:paraId="374A1AF4">
            <w:pPr>
              <w:pageBreakBefore w:val="0"/>
              <w:kinsoku/>
              <w:wordWrap w:val="0"/>
              <w:bidi w:val="0"/>
              <w:rPr>
                <w:rFonts w:hint="default" w:ascii="Times New Roman" w:hAnsi="Times New Roman" w:eastAsia="宋体" w:cs="Times New Roman"/>
                <w:color w:val="auto"/>
                <w:szCs w:val="21"/>
                <w:highlight w:val="none"/>
                <w:lang w:val="en-US" w:eastAsia="zh-CN"/>
              </w:rPr>
            </w:pPr>
          </w:p>
          <w:p w14:paraId="3FE2F1BA">
            <w:pPr>
              <w:pageBreakBefore w:val="0"/>
              <w:kinsoku/>
              <w:wordWrap w:val="0"/>
              <w:bidi w:val="0"/>
              <w:rPr>
                <w:rFonts w:hint="default" w:ascii="Times New Roman" w:hAnsi="Times New Roman" w:eastAsia="宋体" w:cs="Times New Roman"/>
                <w:color w:val="auto"/>
                <w:szCs w:val="21"/>
                <w:highlight w:val="none"/>
                <w:lang w:val="en-US" w:eastAsia="zh-CN"/>
              </w:rPr>
            </w:pPr>
          </w:p>
          <w:p w14:paraId="1A3F9F93">
            <w:pPr>
              <w:pageBreakBefore w:val="0"/>
              <w:kinsoku/>
              <w:wordWrap w:val="0"/>
              <w:bidi w:val="0"/>
              <w:rPr>
                <w:rFonts w:hint="default" w:ascii="Times New Roman" w:hAnsi="Times New Roman" w:eastAsia="宋体" w:cs="Times New Roman"/>
                <w:color w:val="auto"/>
                <w:szCs w:val="21"/>
                <w:highlight w:val="none"/>
                <w:lang w:val="en-US" w:eastAsia="zh-CN"/>
              </w:rPr>
            </w:pPr>
          </w:p>
          <w:p w14:paraId="1ACDC249">
            <w:pPr>
              <w:pageBreakBefore w:val="0"/>
              <w:kinsoku/>
              <w:wordWrap w:val="0"/>
              <w:bidi w:val="0"/>
              <w:rPr>
                <w:rFonts w:hint="default" w:ascii="Times New Roman" w:hAnsi="Times New Roman" w:eastAsia="宋体" w:cs="Times New Roman"/>
                <w:color w:val="auto"/>
                <w:szCs w:val="21"/>
                <w:highlight w:val="none"/>
                <w:lang w:val="en-US" w:eastAsia="zh-CN"/>
              </w:rPr>
            </w:pPr>
          </w:p>
          <w:p w14:paraId="0C4386B8">
            <w:pPr>
              <w:pageBreakBefore w:val="0"/>
              <w:kinsoku/>
              <w:wordWrap w:val="0"/>
              <w:bidi w:val="0"/>
              <w:rPr>
                <w:rFonts w:hint="default" w:ascii="Times New Roman" w:hAnsi="Times New Roman" w:eastAsia="宋体" w:cs="Times New Roman"/>
                <w:color w:val="auto"/>
                <w:szCs w:val="21"/>
                <w:highlight w:val="none"/>
                <w:lang w:val="en-US" w:eastAsia="zh-CN"/>
              </w:rPr>
            </w:pPr>
          </w:p>
          <w:p w14:paraId="600FC4C4">
            <w:pPr>
              <w:pageBreakBefore w:val="0"/>
              <w:kinsoku/>
              <w:wordWrap w:val="0"/>
              <w:bidi w:val="0"/>
              <w:rPr>
                <w:rFonts w:hint="default" w:ascii="Times New Roman" w:hAnsi="Times New Roman" w:eastAsia="宋体" w:cs="Times New Roman"/>
                <w:color w:val="auto"/>
                <w:szCs w:val="21"/>
                <w:highlight w:val="none"/>
                <w:lang w:val="en-US" w:eastAsia="zh-CN"/>
              </w:rPr>
            </w:pPr>
          </w:p>
          <w:p w14:paraId="07B3BD1D">
            <w:pPr>
              <w:pageBreakBefore w:val="0"/>
              <w:kinsoku/>
              <w:wordWrap w:val="0"/>
              <w:bidi w:val="0"/>
              <w:rPr>
                <w:rFonts w:hint="default" w:ascii="Times New Roman" w:hAnsi="Times New Roman" w:eastAsia="宋体" w:cs="Times New Roman"/>
                <w:color w:val="auto"/>
                <w:szCs w:val="21"/>
                <w:highlight w:val="none"/>
                <w:lang w:val="en-US" w:eastAsia="zh-CN"/>
              </w:rPr>
            </w:pPr>
          </w:p>
          <w:p w14:paraId="6FEAE9D0">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1111" w:type="dxa"/>
            <w:shd w:val="clear" w:color="auto" w:fill="auto"/>
            <w:noWrap w:val="0"/>
            <w:vAlign w:val="top"/>
          </w:tcPr>
          <w:p w14:paraId="611FB6F3">
            <w:pPr>
              <w:pageBreakBefore w:val="0"/>
              <w:kinsoku/>
              <w:wordWrap w:val="0"/>
              <w:bidi w:val="0"/>
              <w:rPr>
                <w:rFonts w:hint="default" w:ascii="Times New Roman" w:hAnsi="Times New Roman" w:eastAsia="宋体" w:cs="Times New Roman"/>
                <w:color w:val="auto"/>
                <w:szCs w:val="21"/>
                <w:highlight w:val="none"/>
                <w:lang w:val="en-US" w:eastAsia="zh-CN"/>
              </w:rPr>
            </w:pPr>
          </w:p>
          <w:p w14:paraId="50EE268D">
            <w:pPr>
              <w:pageBreakBefore w:val="0"/>
              <w:kinsoku/>
              <w:wordWrap w:val="0"/>
              <w:bidi w:val="0"/>
              <w:rPr>
                <w:rFonts w:hint="default" w:ascii="Times New Roman" w:hAnsi="Times New Roman" w:eastAsia="宋体" w:cs="Times New Roman"/>
                <w:color w:val="auto"/>
                <w:szCs w:val="21"/>
                <w:highlight w:val="none"/>
                <w:lang w:val="en-US" w:eastAsia="zh-CN"/>
              </w:rPr>
            </w:pPr>
          </w:p>
          <w:p w14:paraId="7C337E33">
            <w:pPr>
              <w:pageBreakBefore w:val="0"/>
              <w:kinsoku/>
              <w:wordWrap w:val="0"/>
              <w:bidi w:val="0"/>
              <w:rPr>
                <w:rFonts w:hint="default" w:ascii="Times New Roman" w:hAnsi="Times New Roman" w:eastAsia="宋体" w:cs="Times New Roman"/>
                <w:color w:val="auto"/>
                <w:szCs w:val="21"/>
                <w:highlight w:val="none"/>
                <w:lang w:val="en-US" w:eastAsia="zh-CN"/>
              </w:rPr>
            </w:pPr>
          </w:p>
          <w:p w14:paraId="102F9705">
            <w:pPr>
              <w:pageBreakBefore w:val="0"/>
              <w:kinsoku/>
              <w:wordWrap w:val="0"/>
              <w:bidi w:val="0"/>
              <w:rPr>
                <w:rFonts w:hint="default" w:ascii="Times New Roman" w:hAnsi="Times New Roman" w:eastAsia="宋体" w:cs="Times New Roman"/>
                <w:color w:val="auto"/>
                <w:szCs w:val="21"/>
                <w:highlight w:val="none"/>
                <w:lang w:val="en-US" w:eastAsia="zh-CN"/>
              </w:rPr>
            </w:pPr>
          </w:p>
          <w:p w14:paraId="0B9BF0E5">
            <w:pPr>
              <w:pageBreakBefore w:val="0"/>
              <w:kinsoku/>
              <w:wordWrap w:val="0"/>
              <w:bidi w:val="0"/>
              <w:rPr>
                <w:rFonts w:hint="default" w:ascii="Times New Roman" w:hAnsi="Times New Roman" w:eastAsia="宋体" w:cs="Times New Roman"/>
                <w:color w:val="auto"/>
                <w:szCs w:val="21"/>
                <w:highlight w:val="none"/>
                <w:lang w:val="en-US" w:eastAsia="zh-CN"/>
              </w:rPr>
            </w:pPr>
          </w:p>
          <w:p w14:paraId="4A3CC327">
            <w:pPr>
              <w:pageBreakBefore w:val="0"/>
              <w:kinsoku/>
              <w:wordWrap w:val="0"/>
              <w:bidi w:val="0"/>
              <w:rPr>
                <w:rFonts w:hint="default" w:ascii="Times New Roman" w:hAnsi="Times New Roman" w:eastAsia="宋体" w:cs="Times New Roman"/>
                <w:color w:val="auto"/>
                <w:szCs w:val="21"/>
                <w:highlight w:val="none"/>
                <w:lang w:val="en-US" w:eastAsia="zh-CN"/>
              </w:rPr>
            </w:pPr>
          </w:p>
          <w:p w14:paraId="451C881F">
            <w:pPr>
              <w:pageBreakBefore w:val="0"/>
              <w:kinsoku/>
              <w:wordWrap w:val="0"/>
              <w:bidi w:val="0"/>
              <w:rPr>
                <w:rFonts w:hint="default" w:ascii="Times New Roman" w:hAnsi="Times New Roman" w:eastAsia="宋体" w:cs="Times New Roman"/>
                <w:color w:val="auto"/>
                <w:szCs w:val="21"/>
                <w:highlight w:val="none"/>
                <w:lang w:val="en-US" w:eastAsia="zh-CN"/>
              </w:rPr>
            </w:pPr>
          </w:p>
          <w:p w14:paraId="08CE40EC">
            <w:pPr>
              <w:pageBreakBefore w:val="0"/>
              <w:kinsoku/>
              <w:wordWrap w:val="0"/>
              <w:bidi w:val="0"/>
              <w:rPr>
                <w:rFonts w:hint="default" w:ascii="Times New Roman" w:hAnsi="Times New Roman" w:eastAsia="宋体" w:cs="Times New Roman"/>
                <w:color w:val="auto"/>
                <w:szCs w:val="21"/>
                <w:highlight w:val="none"/>
                <w:lang w:val="en-US" w:eastAsia="zh-CN"/>
              </w:rPr>
            </w:pPr>
          </w:p>
          <w:p w14:paraId="45A3133D">
            <w:pPr>
              <w:pageBreakBefore w:val="0"/>
              <w:kinsoku/>
              <w:wordWrap w:val="0"/>
              <w:bidi w:val="0"/>
              <w:rPr>
                <w:rFonts w:hint="default" w:ascii="Times New Roman" w:hAnsi="Times New Roman" w:eastAsia="宋体" w:cs="Times New Roman"/>
                <w:color w:val="auto"/>
                <w:szCs w:val="21"/>
                <w:highlight w:val="none"/>
                <w:lang w:val="en-US" w:eastAsia="zh-CN"/>
              </w:rPr>
            </w:pPr>
          </w:p>
          <w:p w14:paraId="0868AA52">
            <w:pPr>
              <w:pageBreakBefore w:val="0"/>
              <w:kinsoku/>
              <w:wordWrap w:val="0"/>
              <w:bidi w:val="0"/>
              <w:rPr>
                <w:rFonts w:hint="default" w:ascii="Times New Roman" w:hAnsi="Times New Roman" w:eastAsia="宋体" w:cs="Times New Roman"/>
                <w:color w:val="auto"/>
                <w:szCs w:val="21"/>
                <w:highlight w:val="none"/>
                <w:lang w:val="en-US" w:eastAsia="zh-CN"/>
              </w:rPr>
            </w:pPr>
          </w:p>
          <w:p w14:paraId="4EBE7340">
            <w:pPr>
              <w:pageBreakBefore w:val="0"/>
              <w:kinsoku/>
              <w:wordWrap w:val="0"/>
              <w:bidi w:val="0"/>
              <w:rPr>
                <w:rFonts w:hint="default" w:ascii="Times New Roman" w:hAnsi="Times New Roman" w:eastAsia="宋体" w:cs="Times New Roman"/>
                <w:color w:val="auto"/>
                <w:szCs w:val="21"/>
                <w:highlight w:val="none"/>
                <w:lang w:val="en-US" w:eastAsia="zh-CN"/>
              </w:rPr>
            </w:pPr>
          </w:p>
          <w:p w14:paraId="2A16B768">
            <w:pPr>
              <w:pageBreakBefore w:val="0"/>
              <w:kinsoku/>
              <w:wordWrap w:val="0"/>
              <w:bidi w:val="0"/>
              <w:rPr>
                <w:rFonts w:hint="default" w:ascii="Times New Roman" w:hAnsi="Times New Roman" w:eastAsia="宋体" w:cs="Times New Roman"/>
                <w:color w:val="auto"/>
                <w:szCs w:val="21"/>
                <w:highlight w:val="none"/>
                <w:lang w:val="en-US" w:eastAsia="zh-CN"/>
              </w:rPr>
            </w:pPr>
          </w:p>
          <w:p w14:paraId="5083E827">
            <w:pPr>
              <w:pageBreakBefore w:val="0"/>
              <w:kinsoku/>
              <w:wordWrap w:val="0"/>
              <w:bidi w:val="0"/>
              <w:rPr>
                <w:rFonts w:hint="default" w:ascii="Times New Roman" w:hAnsi="Times New Roman" w:eastAsia="宋体" w:cs="Times New Roman"/>
                <w:color w:val="auto"/>
                <w:szCs w:val="21"/>
                <w:highlight w:val="none"/>
                <w:lang w:val="en-US" w:eastAsia="zh-CN"/>
              </w:rPr>
            </w:pPr>
          </w:p>
          <w:p w14:paraId="2D86001C">
            <w:pPr>
              <w:pageBreakBefore w:val="0"/>
              <w:kinsoku/>
              <w:wordWrap w:val="0"/>
              <w:bidi w:val="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5.1.2</w:t>
            </w:r>
          </w:p>
        </w:tc>
        <w:tc>
          <w:tcPr>
            <w:tcW w:w="7304" w:type="dxa"/>
            <w:shd w:val="clear" w:color="auto" w:fill="auto"/>
            <w:noWrap w:val="0"/>
            <w:vAlign w:val="top"/>
          </w:tcPr>
          <w:p w14:paraId="11D7CFE6">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为确保本合同工程的施工质量，在合同履行过程中，发包人将结合国内工程施工 现状，以及工程实际需要，对部分施工流程或工艺等提出特殊的设备要求，承包人 应予实施，由此所增加的设备购置费或租赁费用(合同另有约定除外)已包含在合同价格中，项目管理法人不另行支付。</w:t>
            </w:r>
          </w:p>
          <w:p w14:paraId="27D77988">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为保证工程质量，对于本项目所需的主要工程材料，承包人应选择信誉良好的材料供应商或制造商或加工生产商。对于二次加工沥青制品(含改性沥青、乳化沥青、 橡胶沥青等)的加工生产商，承包人应确保二次加工沥青制品生产的连续、稳定和  质量可追溯性，在充分考虑企业规模、相关资质、加工设备、生产能力、存储能力、 类似业绩、产品质量、信誉评价等各方面因素后，择优选择。</w:t>
            </w:r>
          </w:p>
          <w:p w14:paraId="2244DCB0">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在与主要工程材料供应商或制造商或加工生产商签订供货合同前，承包人必须将 供应商或制造商或加工生产商的名单、相应资格、材料品质报告等送发包人备案并获认可后，方可将主要工程材料用于实体工程，否则发包人将视其为不合格工程并 要求承包人返工重作或进行补救处理，由此造成的费用增加和(或)工期延误由承 包人承担。</w:t>
            </w:r>
          </w:p>
          <w:p w14:paraId="1339FF9A">
            <w:pPr>
              <w:pageBreakBefore w:val="0"/>
              <w:kinsoku/>
              <w:wordWrap w:val="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承包人应与供应商或制造商或加工生产商签订供货合同，明确双方的责权利，以 及供货方的供货时间与供货质量的保证措施和要求。</w:t>
            </w:r>
          </w:p>
          <w:p w14:paraId="31593D7E">
            <w:pPr>
              <w:pageBreakBefore w:val="0"/>
              <w:kinsoku/>
              <w:wordWrap w:val="0"/>
              <w:bidi w:val="0"/>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zh-CN"/>
              </w:rPr>
              <w:t>经监理人鉴定质量不合格并令其清除出场的材料，其费用均应由承包人自行负责。</w:t>
            </w:r>
          </w:p>
        </w:tc>
      </w:tr>
      <w:tr w14:paraId="1AF7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109AAA03">
            <w:pPr>
              <w:pageBreakBefore w:val="0"/>
              <w:kinsoku/>
              <w:wordWrap w:val="0"/>
              <w:bidi w:val="0"/>
              <w:snapToGrid w:val="0"/>
              <w:spacing w:line="360" w:lineRule="atLeast"/>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31</w:t>
            </w:r>
          </w:p>
        </w:tc>
        <w:tc>
          <w:tcPr>
            <w:tcW w:w="1111" w:type="dxa"/>
            <w:noWrap w:val="0"/>
            <w:vAlign w:val="center"/>
          </w:tcPr>
          <w:p w14:paraId="7D9C9A45">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5.2.1</w:t>
            </w:r>
          </w:p>
        </w:tc>
        <w:tc>
          <w:tcPr>
            <w:tcW w:w="7304" w:type="dxa"/>
            <w:shd w:val="clear" w:color="auto" w:fill="auto"/>
            <w:noWrap w:val="0"/>
            <w:vAlign w:val="center"/>
          </w:tcPr>
          <w:p w14:paraId="558180CF">
            <w:pPr>
              <w:spacing w:line="400" w:lineRule="exact"/>
              <w:ind w:right="105" w:rightChars="50"/>
              <w:rPr>
                <w:rFonts w:ascii="宋体" w:hAnsi="宋体" w:cs="宋体"/>
                <w:color w:val="auto"/>
                <w:szCs w:val="21"/>
                <w:highlight w:val="none"/>
                <w:u w:val="single"/>
              </w:rPr>
            </w:pPr>
            <w:r>
              <w:rPr>
                <w:rFonts w:hint="eastAsia" w:ascii="宋体" w:hAnsi="宋体" w:cs="宋体"/>
                <w:color w:val="auto"/>
                <w:szCs w:val="21"/>
                <w:highlight w:val="none"/>
              </w:rPr>
              <w:t>发包人是否提供材料或工程设备：</w:t>
            </w:r>
            <w:r>
              <w:rPr>
                <w:rFonts w:hint="eastAsia" w:ascii="宋体" w:hAnsi="宋体" w:cs="宋体"/>
                <w:color w:val="auto"/>
                <w:szCs w:val="21"/>
                <w:highlight w:val="none"/>
                <w:u w:val="single"/>
              </w:rPr>
              <w:t>是，发包人提供部分材料</w:t>
            </w:r>
          </w:p>
          <w:p w14:paraId="1C36147E">
            <w:pPr>
              <w:spacing w:line="400" w:lineRule="exact"/>
              <w:ind w:right="105" w:rightChars="50"/>
              <w:rPr>
                <w:rFonts w:ascii="宋体" w:hAnsi="宋体" w:cs="宋体"/>
                <w:color w:val="auto"/>
                <w:szCs w:val="21"/>
                <w:highlight w:val="none"/>
              </w:rPr>
            </w:pPr>
            <w:r>
              <w:rPr>
                <w:rFonts w:hint="eastAsia" w:ascii="宋体" w:hAnsi="宋体" w:cs="宋体"/>
                <w:color w:val="auto"/>
                <w:szCs w:val="21"/>
                <w:highlight w:val="none"/>
              </w:rPr>
              <w:t>发包人负责提供的部分材料约定如下：</w:t>
            </w:r>
          </w:p>
          <w:p w14:paraId="4EE286B2">
            <w:pPr>
              <w:spacing w:line="400" w:lineRule="exact"/>
              <w:ind w:right="105" w:rightChars="50"/>
              <w:rPr>
                <w:rFonts w:ascii="宋体" w:hAnsi="宋体" w:cs="宋体"/>
                <w:color w:val="auto"/>
                <w:szCs w:val="21"/>
                <w:highlight w:val="none"/>
              </w:rPr>
            </w:pPr>
            <w:r>
              <w:rPr>
                <w:rFonts w:hint="eastAsia" w:ascii="宋体" w:hAnsi="宋体" w:cs="宋体"/>
                <w:color w:val="auto"/>
                <w:szCs w:val="21"/>
                <w:highlight w:val="none"/>
              </w:rPr>
              <w:t>5.2.1.1发包人提供的材料：基质沥青、SBS改性沥青。发包人提供的沥青材料价款由发包人与沥青供应商结算，由项目管理法人支付。承包人应对发包人提供的基质沥青进行专罐存储，储罐应具备功能完好的液位读取装置，不同型号、品牌的沥青不得混罐，承包人严禁将发包人提供的材料用于本工程以外的其他项目。</w:t>
            </w:r>
          </w:p>
          <w:p w14:paraId="23E84681">
            <w:pPr>
              <w:spacing w:line="400" w:lineRule="exact"/>
              <w:ind w:right="105" w:rightChars="50"/>
              <w:rPr>
                <w:rFonts w:ascii="宋体" w:hAnsi="宋体" w:cs="宋体"/>
                <w:color w:val="auto"/>
                <w:szCs w:val="21"/>
                <w:highlight w:val="none"/>
              </w:rPr>
            </w:pPr>
            <w:r>
              <w:rPr>
                <w:rFonts w:hint="eastAsia" w:ascii="宋体" w:hAnsi="宋体" w:cs="宋体"/>
                <w:color w:val="auto"/>
                <w:szCs w:val="21"/>
                <w:highlight w:val="none"/>
              </w:rPr>
              <w:t>5.2.1.2招标阶段及签订合同时的基质沥青出厂单价及数量：</w:t>
            </w:r>
          </w:p>
          <w:p w14:paraId="7BE950F8">
            <w:pPr>
              <w:spacing w:line="400" w:lineRule="exact"/>
              <w:ind w:right="105" w:rightChars="50"/>
              <w:rPr>
                <w:rFonts w:ascii="宋体" w:hAnsi="宋体" w:cs="宋体"/>
                <w:color w:val="auto"/>
                <w:szCs w:val="21"/>
                <w:highlight w:val="none"/>
              </w:rPr>
            </w:pPr>
            <w:r>
              <w:rPr>
                <w:rFonts w:hint="eastAsia" w:ascii="宋体" w:hAnsi="宋体" w:cs="宋体"/>
                <w:color w:val="auto"/>
                <w:szCs w:val="21"/>
                <w:highlight w:val="none"/>
              </w:rPr>
              <w:t>(1)出厂单价为暂估价(含税)：</w:t>
            </w:r>
            <w:r>
              <w:rPr>
                <w:rFonts w:hint="eastAsia" w:ascii="宋体" w:hAnsi="宋体" w:cs="宋体"/>
                <w:color w:val="auto"/>
                <w:szCs w:val="21"/>
                <w:highlight w:val="none"/>
                <w:u w:val="single"/>
              </w:rPr>
              <w:t>详见招标人提供的与最高投标限价相对应的已标价工程量清单。</w:t>
            </w:r>
          </w:p>
          <w:p w14:paraId="17806C46">
            <w:pPr>
              <w:spacing w:line="400" w:lineRule="exact"/>
              <w:ind w:right="105" w:rightChars="50"/>
              <w:rPr>
                <w:rFonts w:ascii="宋体" w:hAnsi="宋体" w:cs="宋体"/>
                <w:color w:val="auto"/>
                <w:szCs w:val="21"/>
                <w:highlight w:val="none"/>
              </w:rPr>
            </w:pPr>
            <w:r>
              <w:rPr>
                <w:rFonts w:hint="eastAsia" w:ascii="宋体" w:hAnsi="宋体" w:cs="宋体"/>
                <w:color w:val="auto"/>
                <w:szCs w:val="21"/>
                <w:highlight w:val="none"/>
              </w:rPr>
              <w:t>(2)暂估数量：</w:t>
            </w:r>
            <w:r>
              <w:rPr>
                <w:rFonts w:hint="eastAsia" w:ascii="宋体" w:hAnsi="宋体" w:cs="宋体"/>
                <w:color w:val="auto"/>
                <w:szCs w:val="21"/>
                <w:highlight w:val="none"/>
                <w:u w:val="single"/>
              </w:rPr>
              <w:t>详见招标人提供的与最高投标限价相对应的已标价工程量清单。</w:t>
            </w:r>
          </w:p>
          <w:p w14:paraId="640ED492">
            <w:pPr>
              <w:spacing w:line="400" w:lineRule="exact"/>
              <w:ind w:right="105" w:rightChars="50"/>
              <w:rPr>
                <w:rFonts w:ascii="宋体" w:hAnsi="宋体" w:cs="宋体"/>
                <w:color w:val="auto"/>
                <w:szCs w:val="21"/>
                <w:highlight w:val="none"/>
              </w:rPr>
            </w:pPr>
            <w:r>
              <w:rPr>
                <w:rFonts w:hint="eastAsia" w:ascii="宋体" w:hAnsi="宋体" w:cs="宋体"/>
                <w:color w:val="auto"/>
                <w:szCs w:val="21"/>
                <w:highlight w:val="none"/>
              </w:rPr>
              <w:t>(3)沥青材料款计入承包人的投标报价(即承包人的签约合同价)。</w:t>
            </w:r>
          </w:p>
          <w:p w14:paraId="10C5FBC8">
            <w:pPr>
              <w:spacing w:line="400" w:lineRule="exact"/>
              <w:ind w:right="105" w:rightChars="50"/>
              <w:rPr>
                <w:rFonts w:ascii="宋体" w:hAnsi="宋体" w:cs="宋体"/>
                <w:color w:val="auto"/>
                <w:szCs w:val="21"/>
                <w:highlight w:val="none"/>
              </w:rPr>
            </w:pPr>
            <w:r>
              <w:rPr>
                <w:rFonts w:hint="eastAsia" w:ascii="宋体" w:hAnsi="宋体" w:cs="宋体"/>
                <w:color w:val="auto"/>
                <w:szCs w:val="21"/>
                <w:highlight w:val="none"/>
              </w:rPr>
              <w:t>5.2.1.3基质沥青、SBS改性沥青需求用量的预测：</w:t>
            </w:r>
          </w:p>
          <w:p w14:paraId="3467DA8E">
            <w:pPr>
              <w:spacing w:line="400" w:lineRule="exact"/>
              <w:ind w:left="105" w:leftChars="50" w:right="105" w:rightChars="5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本工程使用的基质沥青、SBS改性沥青应全部由发包人确定的供应商提供,承包人应在开工后，依据施工图设计文件、配合比设计试验检测报告结果预测需求用量，并上报监理人及发包人。</w:t>
            </w:r>
          </w:p>
          <w:p w14:paraId="4726F278">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5.2.1.4合同价格结算时的基质沥青、SBS改性沥青出厂单价及数量：</w:t>
            </w:r>
          </w:p>
          <w:p w14:paraId="7F7B2D21">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(1)出厂单价为实际出厂单价；</w:t>
            </w:r>
          </w:p>
          <w:p w14:paraId="5AC6F9F2">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(2)数量为实际使用数量，是供应商依据承包人的采购计划向承包人供应的数量；沥青到达承包人指定地点后，承包人应按200吨为一批次的频率取样试验，并留存一组以上样品备检，样品应注明沥青厂家名称、出厂时间、到场时间、运输车辆车牌号、沥青规格等信息，由承包人接收负责人、驾驶员共同签认，并留存沥青出厂质量检验合格证明；同时，承包人、运输商、沥青存储方须做好三方签证工作，并上报监理人、发包人确认后，作为工程计量支付的凭证；</w:t>
            </w:r>
          </w:p>
          <w:p w14:paraId="018D0F3A">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(3)沥青材料款按照实际出厂单价及实际使用数量计算，并计入承包人的合同价格结算价；</w:t>
            </w:r>
          </w:p>
          <w:p w14:paraId="5AEDDB9D">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(4)承包人应严格按照要求使用发包人提供的沥青，严禁偷工减料,严禁浪费。沥青结算用量应与沥青拌和站出厂沥青混合料数量、各批次生产配合比和用于现场洒布等数量吻合。合同价格结算时，如实际使用数量大于暂估数量时，项目管理法人将从承包人工程施工价款中扣减相应费用(根据超过部分的数量及实际出厂单价计算扣减费用)。</w:t>
            </w:r>
          </w:p>
          <w:p w14:paraId="7E1700A6">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(5)本工程沥青自出厂后，其运输、存储、加工、使用等均由承包人负责,在上述过程中出现沥青浪费导致的经济损失，均由承包人承担，项目管理法人将从承包人工程施工价款中扣减相应费用(根据浪费的数量及实际出厂单价计算扣减费用)。</w:t>
            </w:r>
          </w:p>
          <w:p w14:paraId="39755B49">
            <w:pPr>
              <w:widowControl/>
              <w:wordWrap w:val="0"/>
              <w:autoSpaceDE w:val="0"/>
              <w:autoSpaceDN w:val="0"/>
              <w:adjustRightInd w:val="0"/>
              <w:snapToGrid w:val="0"/>
              <w:spacing w:line="400" w:lineRule="exact"/>
              <w:ind w:firstLine="239" w:firstLineChars="114"/>
              <w:textAlignment w:val="baseline"/>
              <w:rPr>
                <w:rFonts w:ascii="宋体" w:hAnsi="宋体" w:cs="宋体"/>
                <w:color w:val="auto"/>
                <w:szCs w:val="21"/>
                <w:highlight w:val="none"/>
              </w:rPr>
            </w:pPr>
            <w:r>
              <w:rPr>
                <w:rFonts w:hint="eastAsia" w:ascii="宋体" w:hAnsi="宋体" w:cs="宋体"/>
                <w:color w:val="auto"/>
                <w:szCs w:val="21"/>
                <w:highlight w:val="none"/>
              </w:rPr>
              <w:t>5.2.1.5沥青（含二次加工沥青制品，下同）的运输：</w:t>
            </w:r>
          </w:p>
          <w:p w14:paraId="5506AE8B">
            <w:pPr>
              <w:widowControl/>
              <w:wordWrap w:val="0"/>
              <w:autoSpaceDE w:val="0"/>
              <w:autoSpaceDN w:val="0"/>
              <w:adjustRightInd w:val="0"/>
              <w:snapToGrid w:val="0"/>
              <w:spacing w:line="400" w:lineRule="exact"/>
              <w:jc w:val="left"/>
              <w:textAlignment w:val="baseline"/>
              <w:rPr>
                <w:rFonts w:ascii="宋体" w:hAnsi="宋体" w:cs="宋体"/>
                <w:color w:val="auto"/>
                <w:szCs w:val="21"/>
                <w:highlight w:val="none"/>
              </w:rPr>
            </w:pPr>
            <w:r>
              <w:rPr>
                <w:rFonts w:hint="eastAsia" w:ascii="宋体" w:hAnsi="宋体" w:cs="宋体"/>
                <w:color w:val="auto"/>
                <w:szCs w:val="21"/>
                <w:highlight w:val="none"/>
              </w:rPr>
              <w:t xml:space="preserve">本项目基质沥青、SBS改性沥青出厂地点为 </w:t>
            </w:r>
            <w:r>
              <w:rPr>
                <w:rFonts w:hint="eastAsia" w:ascii="宋体" w:hAnsi="宋体" w:cs="宋体"/>
                <w:color w:val="auto"/>
                <w:szCs w:val="21"/>
                <w:highlight w:val="none"/>
                <w:u w:val="single"/>
              </w:rPr>
              <w:t>项目管理法人指定的甲供沥青省内提货点，</w:t>
            </w:r>
            <w:r>
              <w:rPr>
                <w:rFonts w:hint="eastAsia" w:ascii="宋体" w:hAnsi="宋体" w:cs="宋体"/>
                <w:color w:val="auto"/>
                <w:szCs w:val="21"/>
                <w:highlight w:val="none"/>
              </w:rPr>
              <w:t>承包人应委托合格的运输商完成沥青的运输：承担运输服务的企业应是国内注册合法企业，具备工商管理部门颁发的道路危险品运输《营业执照》及运输管理部门颁发的《道路运输经营许可证》，其许可经营服务范围须包含沥青产品，车辆应具备技术可靠的施封装置。承包人在运输车辆确定前，必须将运输商的名单、相应资格、车辆状况等送发包人备案并获认可；承包人应在运输车辆确定后，将车辆型号、牌照、年限等详细信息上报监理人及发包人，在施工期间由发包人集中调配。</w:t>
            </w:r>
          </w:p>
          <w:p w14:paraId="4F472704">
            <w:pPr>
              <w:widowControl/>
              <w:wordWrap w:val="0"/>
              <w:autoSpaceDE w:val="0"/>
              <w:autoSpaceDN w:val="0"/>
              <w:adjustRightInd w:val="0"/>
              <w:snapToGrid w:val="0"/>
              <w:spacing w:line="400" w:lineRule="exact"/>
              <w:jc w:val="left"/>
              <w:textAlignment w:val="baseline"/>
              <w:rPr>
                <w:rFonts w:hint="eastAsia" w:ascii="宋体" w:hAnsi="宋体" w:cs="宋体"/>
                <w:color w:val="auto"/>
                <w:szCs w:val="21"/>
                <w:highlight w:val="none"/>
              </w:rPr>
            </w:pPr>
            <w:r>
              <w:rPr>
                <w:rFonts w:hint="eastAsia" w:ascii="宋体" w:hAnsi="宋体" w:cs="宋体"/>
                <w:color w:val="auto"/>
                <w:szCs w:val="21"/>
                <w:highlight w:val="none"/>
              </w:rPr>
              <w:t>运输商的沥青运输费由承包人承担，综合计入“承包人工程施工价款”，发包人不再另行计量，项目管理法人不再另行支付。</w:t>
            </w:r>
          </w:p>
          <w:p w14:paraId="08D3B095">
            <w:pPr>
              <w:widowControl/>
              <w:wordWrap w:val="0"/>
              <w:autoSpaceDE w:val="0"/>
              <w:autoSpaceDN w:val="0"/>
              <w:adjustRightInd w:val="0"/>
              <w:snapToGrid w:val="0"/>
              <w:spacing w:line="400" w:lineRule="exact"/>
              <w:ind w:firstLine="239" w:firstLineChars="114"/>
              <w:textAlignment w:val="baseline"/>
              <w:rPr>
                <w:color w:val="auto"/>
                <w:szCs w:val="21"/>
                <w:highlight w:val="none"/>
              </w:rPr>
            </w:pPr>
            <w:r>
              <w:rPr>
                <w:rFonts w:hint="eastAsia"/>
                <w:color w:val="auto"/>
                <w:szCs w:val="21"/>
                <w:highlight w:val="none"/>
              </w:rPr>
              <w:t>5.2.1.6沥青质量管理</w:t>
            </w:r>
          </w:p>
          <w:p w14:paraId="278FB6D9">
            <w:pPr>
              <w:widowControl/>
              <w:numPr>
                <w:ilvl w:val="0"/>
                <w:numId w:val="4"/>
              </w:numPr>
              <w:wordWrap w:val="0"/>
              <w:autoSpaceDE w:val="0"/>
              <w:autoSpaceDN w:val="0"/>
              <w:adjustRightInd w:val="0"/>
              <w:snapToGrid w:val="0"/>
              <w:spacing w:line="400" w:lineRule="exact"/>
              <w:ind w:firstLine="239" w:firstLineChars="114"/>
              <w:textAlignment w:val="baseline"/>
              <w:rPr>
                <w:color w:val="auto"/>
                <w:szCs w:val="21"/>
                <w:highlight w:val="none"/>
              </w:rPr>
            </w:pPr>
            <w:r>
              <w:rPr>
                <w:rFonts w:hint="eastAsia"/>
                <w:color w:val="auto"/>
                <w:szCs w:val="21"/>
                <w:highlight w:val="none"/>
              </w:rPr>
              <w:t>建立实时监控系统，承包人要在沥青拌和站的拌合设备区域、材料存储区域由发包人指定位置分别安放实时监控设备，发包人工作人员能够接入设备终端进行监控，生产过程中监控设备不得以任何理由出现信号中断或遮挡。</w:t>
            </w:r>
          </w:p>
          <w:p w14:paraId="1DB33A0E">
            <w:pPr>
              <w:widowControl/>
              <w:numPr>
                <w:ilvl w:val="0"/>
                <w:numId w:val="4"/>
              </w:numPr>
              <w:wordWrap w:val="0"/>
              <w:autoSpaceDE w:val="0"/>
              <w:autoSpaceDN w:val="0"/>
              <w:adjustRightInd w:val="0"/>
              <w:snapToGrid w:val="0"/>
              <w:spacing w:line="400" w:lineRule="exact"/>
              <w:ind w:firstLine="239" w:firstLineChars="114"/>
              <w:textAlignment w:val="baseline"/>
              <w:rPr>
                <w:color w:val="auto"/>
                <w:szCs w:val="21"/>
                <w:highlight w:val="none"/>
              </w:rPr>
            </w:pPr>
            <w:r>
              <w:rPr>
                <w:rFonts w:hint="eastAsia"/>
                <w:color w:val="auto"/>
                <w:szCs w:val="21"/>
                <w:highlight w:val="none"/>
              </w:rPr>
              <w:t>沥青混合料实行“双检双控”，即试验配合比+生产配合比动态调整，出料前+摊铺后双重抽检，承包人必须配合发包人将不定期组织的抽检工作。</w:t>
            </w:r>
          </w:p>
          <w:p w14:paraId="397C25E4">
            <w:pPr>
              <w:widowControl/>
              <w:wordWrap w:val="0"/>
              <w:autoSpaceDE w:val="0"/>
              <w:autoSpaceDN w:val="0"/>
              <w:adjustRightInd w:val="0"/>
              <w:snapToGrid w:val="0"/>
              <w:spacing w:line="400" w:lineRule="exact"/>
              <w:jc w:val="left"/>
              <w:textAlignment w:val="baseline"/>
              <w:rPr>
                <w:rFonts w:hint="default" w:ascii="宋体" w:hAnsi="宋体" w:eastAsia="宋体" w:cs="宋体"/>
                <w:color w:val="auto"/>
                <w:kern w:val="2"/>
                <w:sz w:val="21"/>
                <w:szCs w:val="21"/>
                <w:highlight w:val="none"/>
                <w:lang w:val="en-US" w:eastAsia="zh-CN" w:bidi="ar-SA"/>
              </w:rPr>
            </w:pPr>
            <w:r>
              <w:rPr>
                <w:rFonts w:hint="eastAsia"/>
                <w:color w:val="auto"/>
                <w:szCs w:val="21"/>
                <w:highlight w:val="none"/>
              </w:rPr>
              <w:t>发包人将加强试验与检测环节管控工作，承包人在每项材料试验前须提前通知发包人，由发包人确定是否派人参与试验监管。由发包人组织的第三方检测单位，除按省中心要求的抽检项目和频率外，发包人将对指定项目随时开展检测工作，承包人须无条件配合。</w:t>
            </w:r>
          </w:p>
        </w:tc>
      </w:tr>
      <w:tr w14:paraId="52DF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center"/>
          </w:tcPr>
          <w:p w14:paraId="6589BAAF">
            <w:pPr>
              <w:widowControl/>
              <w:wordWrap w:val="0"/>
              <w:autoSpaceDE w:val="0"/>
              <w:autoSpaceDN w:val="0"/>
              <w:adjustRightInd w:val="0"/>
              <w:snapToGrid w:val="0"/>
              <w:spacing w:line="40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Cs w:val="21"/>
              </w:rPr>
              <w:t>32</w:t>
            </w:r>
          </w:p>
        </w:tc>
        <w:tc>
          <w:tcPr>
            <w:tcW w:w="1111" w:type="dxa"/>
            <w:shd w:val="clear" w:color="auto" w:fill="auto"/>
            <w:noWrap w:val="0"/>
            <w:vAlign w:val="center"/>
          </w:tcPr>
          <w:p w14:paraId="4ED51325">
            <w:pPr>
              <w:widowControl/>
              <w:wordWrap w:val="0"/>
              <w:autoSpaceDE w:val="0"/>
              <w:autoSpaceDN w:val="0"/>
              <w:adjustRightInd w:val="0"/>
              <w:snapToGrid w:val="0"/>
              <w:spacing w:line="40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Cs w:val="21"/>
              </w:rPr>
              <w:t>5.6</w:t>
            </w:r>
          </w:p>
        </w:tc>
        <w:tc>
          <w:tcPr>
            <w:tcW w:w="7304" w:type="dxa"/>
            <w:shd w:val="clear" w:color="auto" w:fill="auto"/>
            <w:noWrap w:val="0"/>
            <w:vAlign w:val="center"/>
          </w:tcPr>
          <w:p w14:paraId="689EE8C2">
            <w:pPr>
              <w:widowControl/>
              <w:wordWrap w:val="0"/>
              <w:autoSpaceDE w:val="0"/>
              <w:autoSpaceDN w:val="0"/>
              <w:adjustRightInd w:val="0"/>
              <w:snapToGrid w:val="0"/>
              <w:spacing w:line="400" w:lineRule="exact"/>
              <w:textAlignment w:val="baseline"/>
              <w:rPr>
                <w:color w:val="auto"/>
                <w:szCs w:val="21"/>
              </w:rPr>
            </w:pPr>
            <w:r>
              <w:rPr>
                <w:rFonts w:hint="eastAsia"/>
                <w:color w:val="auto"/>
                <w:szCs w:val="21"/>
              </w:rPr>
              <w:t>本条补充第5.6款:</w:t>
            </w:r>
          </w:p>
          <w:p w14:paraId="71E70EC1">
            <w:pPr>
              <w:widowControl/>
              <w:wordWrap w:val="0"/>
              <w:autoSpaceDE w:val="0"/>
              <w:autoSpaceDN w:val="0"/>
              <w:adjustRightInd w:val="0"/>
              <w:snapToGrid w:val="0"/>
              <w:spacing w:line="400" w:lineRule="exact"/>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Cs w:val="21"/>
              </w:rPr>
              <w:t>钢护栏、标志、铣刨料等可回收材料，严格按照发包人要求拆卸并运送至指定地点，由属地公路养护单位登记入库，经养护单位与图纸核对无误后出具接收单。</w:t>
            </w:r>
          </w:p>
        </w:tc>
      </w:tr>
    </w:tbl>
    <w:p w14:paraId="21A83729">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tbl>
      <w:tblPr>
        <w:tblStyle w:val="39"/>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3E8B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9" w:type="dxa"/>
            <w:noWrap w:val="0"/>
            <w:vAlign w:val="center"/>
          </w:tcPr>
          <w:p w14:paraId="5188DDD7">
            <w:pP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33</w:t>
            </w:r>
          </w:p>
        </w:tc>
        <w:tc>
          <w:tcPr>
            <w:tcW w:w="1111" w:type="dxa"/>
            <w:noWrap w:val="0"/>
            <w:vAlign w:val="center"/>
          </w:tcPr>
          <w:p w14:paraId="621F5518">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w:t>
            </w:r>
          </w:p>
        </w:tc>
        <w:tc>
          <w:tcPr>
            <w:tcW w:w="7304" w:type="dxa"/>
            <w:tcBorders>
              <w:bottom w:val="single" w:color="auto" w:sz="4" w:space="0"/>
            </w:tcBorders>
            <w:noWrap w:val="0"/>
            <w:vAlign w:val="center"/>
          </w:tcPr>
          <w:p w14:paraId="6990BB1B">
            <w:pPr>
              <w:pageBreakBefore w:val="0"/>
              <w:kinsoku/>
              <w:wordWrap w:val="0"/>
              <w:bidi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发包人是否提供施工设备和临时设施：</w:t>
            </w:r>
            <w:r>
              <w:rPr>
                <w:rFonts w:hint="default" w:ascii="Times New Roman" w:hAnsi="Times New Roman" w:cs="Times New Roman"/>
                <w:color w:val="auto"/>
                <w:szCs w:val="21"/>
                <w:highlight w:val="none"/>
                <w:u w:val="single"/>
              </w:rPr>
              <w:t xml:space="preserve"> 否  </w:t>
            </w:r>
          </w:p>
          <w:p w14:paraId="332DFAFB">
            <w:pPr>
              <w:pageBreakBefore w:val="0"/>
              <w:kinsoku/>
              <w:wordWrap w:val="0"/>
              <w:bidi w:val="0"/>
              <w:spacing w:line="360" w:lineRule="atLeast"/>
              <w:ind w:firstLine="239" w:firstLineChars="114"/>
              <w:rPr>
                <w:rFonts w:hint="default" w:ascii="Times New Roman" w:hAnsi="Times New Roman" w:cs="Times New Roman"/>
                <w:color w:val="auto"/>
                <w:szCs w:val="21"/>
                <w:highlight w:val="yellow"/>
                <w:u w:val="single"/>
              </w:rPr>
            </w:pPr>
            <w:r>
              <w:rPr>
                <w:rFonts w:hint="default" w:ascii="Times New Roman" w:hAnsi="Times New Roman" w:cs="Times New Roman"/>
                <w:color w:val="auto"/>
                <w:szCs w:val="21"/>
                <w:highlight w:val="none"/>
              </w:rPr>
              <w:t>如发包人负责提供部分施工设备和临时设施，相关规定如下：</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p>
        </w:tc>
      </w:tr>
      <w:tr w14:paraId="3C2C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29" w:type="dxa"/>
            <w:noWrap w:val="0"/>
            <w:vAlign w:val="center"/>
          </w:tcPr>
          <w:p w14:paraId="01C68253">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w:t>
            </w:r>
          </w:p>
        </w:tc>
        <w:tc>
          <w:tcPr>
            <w:tcW w:w="1111" w:type="dxa"/>
            <w:noWrap w:val="0"/>
            <w:vAlign w:val="center"/>
          </w:tcPr>
          <w:p w14:paraId="78A06B1A">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w:t>
            </w:r>
          </w:p>
        </w:tc>
        <w:tc>
          <w:tcPr>
            <w:tcW w:w="7304" w:type="dxa"/>
            <w:tcBorders>
              <w:bottom w:val="single" w:color="auto" w:sz="4" w:space="0"/>
            </w:tcBorders>
            <w:noWrap w:val="0"/>
            <w:vAlign w:val="center"/>
          </w:tcPr>
          <w:p w14:paraId="2CD9C357">
            <w:pPr>
              <w:pStyle w:val="93"/>
              <w:spacing w:before="139" w:line="352" w:lineRule="auto"/>
              <w:ind w:left="112" w:right="24" w:firstLine="24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发包人提供测量基准点、基准线和水准点及其书面资料的期限：发出开工通知书14天之前</w:t>
            </w:r>
          </w:p>
          <w:p w14:paraId="64CC4087">
            <w:pPr>
              <w:pageBreakBefore w:val="0"/>
              <w:kinsoku/>
              <w:wordWrap w:val="0"/>
              <w:bidi w:val="0"/>
              <w:spacing w:line="360" w:lineRule="atLeast"/>
              <w:ind w:firstLine="239" w:firstLineChars="114"/>
              <w:rPr>
                <w:rFonts w:hint="default" w:ascii="Times New Roman" w:hAnsi="Times New Roman" w:cs="Times New Roman"/>
                <w:color w:val="auto"/>
                <w:szCs w:val="21"/>
                <w:highlight w:val="yellow"/>
                <w:u w:val="single"/>
              </w:rPr>
            </w:pPr>
            <w:r>
              <w:rPr>
                <w:rFonts w:hint="default" w:ascii="Times New Roman" w:hAnsi="Times New Roman" w:eastAsia="宋体" w:cs="Times New Roman"/>
                <w:color w:val="auto"/>
                <w:kern w:val="2"/>
                <w:sz w:val="21"/>
                <w:szCs w:val="21"/>
                <w:highlight w:val="none"/>
                <w:lang w:val="en-US" w:eastAsia="zh-CN" w:bidi="ar-SA"/>
              </w:rPr>
              <w:t>承包人将施工控制网资料报送监理人审批的期限： 在测</w:t>
            </w:r>
            <w:r>
              <w:rPr>
                <w:color w:val="auto"/>
                <w:highlight w:val="none"/>
              </w:rPr>
              <w:t>试完成后7天内</w:t>
            </w:r>
          </w:p>
        </w:tc>
      </w:tr>
      <w:tr w14:paraId="36A2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5D84BBC9">
            <w:pPr>
              <w:spacing w:line="286" w:lineRule="auto"/>
              <w:rPr>
                <w:rFonts w:hint="default" w:ascii="Times New Roman" w:hAnsi="Times New Roman" w:eastAsia="宋体" w:cs="Times New Roman"/>
                <w:color w:val="auto"/>
                <w:kern w:val="2"/>
                <w:sz w:val="21"/>
                <w:szCs w:val="21"/>
                <w:highlight w:val="none"/>
                <w:lang w:val="en-US" w:eastAsia="zh-CN" w:bidi="ar-SA"/>
              </w:rPr>
            </w:pPr>
          </w:p>
          <w:p w14:paraId="16386D3A">
            <w:pPr>
              <w:spacing w:line="286" w:lineRule="auto"/>
              <w:rPr>
                <w:rFonts w:hint="default" w:ascii="Times New Roman" w:hAnsi="Times New Roman" w:eastAsia="宋体" w:cs="Times New Roman"/>
                <w:color w:val="auto"/>
                <w:kern w:val="2"/>
                <w:sz w:val="21"/>
                <w:szCs w:val="21"/>
                <w:highlight w:val="none"/>
                <w:lang w:val="en-US" w:eastAsia="zh-CN" w:bidi="ar-SA"/>
              </w:rPr>
            </w:pPr>
          </w:p>
          <w:p w14:paraId="5EC4DB63">
            <w:pPr>
              <w:spacing w:line="286" w:lineRule="auto"/>
              <w:rPr>
                <w:rFonts w:hint="default" w:ascii="Times New Roman" w:hAnsi="Times New Roman" w:eastAsia="宋体" w:cs="Times New Roman"/>
                <w:color w:val="auto"/>
                <w:kern w:val="2"/>
                <w:sz w:val="21"/>
                <w:szCs w:val="21"/>
                <w:highlight w:val="none"/>
                <w:lang w:val="en-US" w:eastAsia="zh-CN" w:bidi="ar-SA"/>
              </w:rPr>
            </w:pPr>
          </w:p>
          <w:p w14:paraId="7B14F119">
            <w:pPr>
              <w:pStyle w:val="93"/>
              <w:spacing w:before="68"/>
              <w:ind w:left="145"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5</w:t>
            </w:r>
          </w:p>
        </w:tc>
        <w:tc>
          <w:tcPr>
            <w:tcW w:w="1111" w:type="dxa"/>
            <w:noWrap w:val="0"/>
            <w:vAlign w:val="top"/>
          </w:tcPr>
          <w:p w14:paraId="6A8F238A">
            <w:pPr>
              <w:spacing w:line="280" w:lineRule="auto"/>
              <w:rPr>
                <w:rFonts w:hint="default" w:ascii="Times New Roman" w:hAnsi="Times New Roman" w:eastAsia="宋体" w:cs="Times New Roman"/>
                <w:color w:val="auto"/>
                <w:kern w:val="2"/>
                <w:sz w:val="21"/>
                <w:szCs w:val="21"/>
                <w:highlight w:val="none"/>
                <w:lang w:val="en-US" w:eastAsia="zh-CN" w:bidi="ar-SA"/>
              </w:rPr>
            </w:pPr>
          </w:p>
          <w:p w14:paraId="0FBCC482">
            <w:pPr>
              <w:spacing w:line="280" w:lineRule="auto"/>
              <w:rPr>
                <w:rFonts w:hint="default" w:ascii="Times New Roman" w:hAnsi="Times New Roman" w:eastAsia="宋体" w:cs="Times New Roman"/>
                <w:color w:val="auto"/>
                <w:kern w:val="2"/>
                <w:sz w:val="21"/>
                <w:szCs w:val="21"/>
                <w:highlight w:val="none"/>
                <w:lang w:val="en-US" w:eastAsia="zh-CN" w:bidi="ar-SA"/>
              </w:rPr>
            </w:pPr>
          </w:p>
          <w:p w14:paraId="51B755F0">
            <w:pPr>
              <w:spacing w:line="281" w:lineRule="auto"/>
              <w:rPr>
                <w:rFonts w:hint="default" w:ascii="Times New Roman" w:hAnsi="Times New Roman" w:eastAsia="宋体" w:cs="Times New Roman"/>
                <w:color w:val="auto"/>
                <w:kern w:val="2"/>
                <w:sz w:val="21"/>
                <w:szCs w:val="21"/>
                <w:highlight w:val="none"/>
                <w:lang w:val="en-US" w:eastAsia="zh-CN" w:bidi="ar-SA"/>
              </w:rPr>
            </w:pPr>
          </w:p>
          <w:p w14:paraId="20591001">
            <w:pPr>
              <w:pStyle w:val="93"/>
              <w:spacing w:before="68" w:line="222" w:lineRule="auto"/>
              <w:ind w:left="23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9.6(8)</w:t>
            </w:r>
          </w:p>
        </w:tc>
        <w:tc>
          <w:tcPr>
            <w:tcW w:w="7304" w:type="dxa"/>
            <w:noWrap w:val="0"/>
            <w:vAlign w:val="top"/>
          </w:tcPr>
          <w:p w14:paraId="668DBC92">
            <w:pPr>
              <w:pStyle w:val="93"/>
              <w:spacing w:before="170" w:line="341" w:lineRule="auto"/>
              <w:ind w:left="102" w:right="248" w:firstLine="24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合同履行过程中，如发生与施工相关的信访事件(包括但不限于施工噪音与振 动、固体废弃物与扬尘污染、临时占地及征拆、便道排水纠纷等),承包人应作为化访第一责任人主动与上访人沟通协商，积极采取有效措施尽快化解矛盾，防止信访事件升级。承包人需配合发包人、县级中心及地方政府的化访工作安排， 及时提供相关证明材料，保护上访人的合法权益与地方稳定。</w:t>
            </w:r>
          </w:p>
        </w:tc>
      </w:tr>
      <w:tr w14:paraId="29F7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1BD88211">
            <w:pPr>
              <w:spacing w:line="433" w:lineRule="auto"/>
              <w:rPr>
                <w:rFonts w:hint="default" w:ascii="Times New Roman" w:hAnsi="Times New Roman" w:eastAsia="宋体" w:cs="Times New Roman"/>
                <w:color w:val="auto"/>
                <w:kern w:val="2"/>
                <w:sz w:val="21"/>
                <w:szCs w:val="21"/>
                <w:highlight w:val="none"/>
                <w:lang w:val="en-US" w:eastAsia="zh-CN" w:bidi="ar-SA"/>
              </w:rPr>
            </w:pPr>
          </w:p>
          <w:p w14:paraId="24590A1C">
            <w:pPr>
              <w:pStyle w:val="93"/>
              <w:spacing w:before="68"/>
              <w:ind w:left="145"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6</w:t>
            </w:r>
          </w:p>
        </w:tc>
        <w:tc>
          <w:tcPr>
            <w:tcW w:w="1111" w:type="dxa"/>
            <w:noWrap w:val="0"/>
            <w:vAlign w:val="top"/>
          </w:tcPr>
          <w:p w14:paraId="54B26D82">
            <w:pPr>
              <w:spacing w:line="433" w:lineRule="auto"/>
              <w:rPr>
                <w:rFonts w:hint="default" w:ascii="Times New Roman" w:hAnsi="Times New Roman" w:eastAsia="宋体" w:cs="Times New Roman"/>
                <w:color w:val="auto"/>
                <w:kern w:val="2"/>
                <w:sz w:val="21"/>
                <w:szCs w:val="21"/>
                <w:highlight w:val="none"/>
                <w:lang w:val="en-US" w:eastAsia="zh-CN" w:bidi="ar-SA"/>
              </w:rPr>
            </w:pPr>
          </w:p>
          <w:p w14:paraId="1DD469AD">
            <w:pPr>
              <w:pStyle w:val="93"/>
              <w:spacing w:before="68" w:line="239" w:lineRule="auto"/>
              <w:ind w:left="34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10.1</w:t>
            </w:r>
          </w:p>
        </w:tc>
        <w:tc>
          <w:tcPr>
            <w:tcW w:w="7304" w:type="dxa"/>
            <w:noWrap w:val="0"/>
            <w:vAlign w:val="top"/>
          </w:tcPr>
          <w:p w14:paraId="7FBDF0A2">
            <w:pPr>
              <w:pStyle w:val="93"/>
              <w:spacing w:before="125" w:line="303" w:lineRule="auto"/>
              <w:ind w:left="112" w:leftChars="0" w:right="133" w:rightChars="0" w:firstLine="24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承包人编制施工方案的内容包括但不限于：路基维修施工方案、路面维修施工 方案、桥涵维修施工方案、交通安全设施维修施工方案等主要项目的施工顺序和 施工方法、关键工程施工工艺及技术措施等。</w:t>
            </w:r>
          </w:p>
        </w:tc>
      </w:tr>
      <w:tr w14:paraId="5952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5396EFBD">
            <w:pPr>
              <w:spacing w:line="244" w:lineRule="auto"/>
              <w:rPr>
                <w:rFonts w:hint="default" w:ascii="Times New Roman" w:hAnsi="Times New Roman" w:eastAsia="宋体" w:cs="Times New Roman"/>
                <w:color w:val="auto"/>
                <w:kern w:val="2"/>
                <w:sz w:val="21"/>
                <w:szCs w:val="21"/>
                <w:highlight w:val="none"/>
                <w:lang w:val="en-US" w:eastAsia="zh-CN" w:bidi="ar-SA"/>
              </w:rPr>
            </w:pPr>
          </w:p>
          <w:p w14:paraId="46C9BEFD">
            <w:pPr>
              <w:spacing w:line="244" w:lineRule="auto"/>
              <w:rPr>
                <w:rFonts w:hint="default" w:ascii="Times New Roman" w:hAnsi="Times New Roman" w:eastAsia="宋体" w:cs="Times New Roman"/>
                <w:color w:val="auto"/>
                <w:kern w:val="2"/>
                <w:sz w:val="21"/>
                <w:szCs w:val="21"/>
                <w:highlight w:val="none"/>
                <w:lang w:val="en-US" w:eastAsia="zh-CN" w:bidi="ar-SA"/>
              </w:rPr>
            </w:pPr>
          </w:p>
          <w:p w14:paraId="78067B8D">
            <w:pPr>
              <w:spacing w:line="244" w:lineRule="auto"/>
              <w:rPr>
                <w:rFonts w:hint="default" w:ascii="Times New Roman" w:hAnsi="Times New Roman" w:eastAsia="宋体" w:cs="Times New Roman"/>
                <w:color w:val="auto"/>
                <w:kern w:val="2"/>
                <w:sz w:val="21"/>
                <w:szCs w:val="21"/>
                <w:highlight w:val="none"/>
                <w:lang w:val="en-US" w:eastAsia="zh-CN" w:bidi="ar-SA"/>
              </w:rPr>
            </w:pPr>
          </w:p>
          <w:p w14:paraId="46A2D771">
            <w:pPr>
              <w:spacing w:line="244" w:lineRule="auto"/>
              <w:rPr>
                <w:rFonts w:hint="default" w:ascii="Times New Roman" w:hAnsi="Times New Roman" w:eastAsia="宋体" w:cs="Times New Roman"/>
                <w:color w:val="auto"/>
                <w:kern w:val="2"/>
                <w:sz w:val="21"/>
                <w:szCs w:val="21"/>
                <w:highlight w:val="none"/>
                <w:lang w:val="en-US" w:eastAsia="zh-CN" w:bidi="ar-SA"/>
              </w:rPr>
            </w:pPr>
          </w:p>
          <w:p w14:paraId="014844F3">
            <w:pPr>
              <w:spacing w:line="244" w:lineRule="auto"/>
              <w:rPr>
                <w:rFonts w:hint="default" w:ascii="Times New Roman" w:hAnsi="Times New Roman" w:eastAsia="宋体" w:cs="Times New Roman"/>
                <w:color w:val="auto"/>
                <w:kern w:val="2"/>
                <w:sz w:val="21"/>
                <w:szCs w:val="21"/>
                <w:highlight w:val="none"/>
                <w:lang w:val="en-US" w:eastAsia="zh-CN" w:bidi="ar-SA"/>
              </w:rPr>
            </w:pPr>
          </w:p>
          <w:p w14:paraId="57479C69">
            <w:pPr>
              <w:spacing w:line="244" w:lineRule="auto"/>
              <w:rPr>
                <w:rFonts w:hint="default" w:ascii="Times New Roman" w:hAnsi="Times New Roman" w:eastAsia="宋体" w:cs="Times New Roman"/>
                <w:color w:val="auto"/>
                <w:kern w:val="2"/>
                <w:sz w:val="21"/>
                <w:szCs w:val="21"/>
                <w:highlight w:val="none"/>
                <w:lang w:val="en-US" w:eastAsia="zh-CN" w:bidi="ar-SA"/>
              </w:rPr>
            </w:pPr>
          </w:p>
          <w:p w14:paraId="6210B31B">
            <w:pPr>
              <w:spacing w:line="244" w:lineRule="auto"/>
              <w:rPr>
                <w:rFonts w:hint="default" w:ascii="Times New Roman" w:hAnsi="Times New Roman" w:eastAsia="宋体" w:cs="Times New Roman"/>
                <w:color w:val="auto"/>
                <w:kern w:val="2"/>
                <w:sz w:val="21"/>
                <w:szCs w:val="21"/>
                <w:highlight w:val="none"/>
                <w:lang w:val="en-US" w:eastAsia="zh-CN" w:bidi="ar-SA"/>
              </w:rPr>
            </w:pPr>
          </w:p>
          <w:p w14:paraId="5AD8B696">
            <w:pPr>
              <w:spacing w:line="244" w:lineRule="auto"/>
              <w:rPr>
                <w:rFonts w:hint="default" w:ascii="Times New Roman" w:hAnsi="Times New Roman" w:eastAsia="宋体" w:cs="Times New Roman"/>
                <w:color w:val="auto"/>
                <w:kern w:val="2"/>
                <w:sz w:val="21"/>
                <w:szCs w:val="21"/>
                <w:highlight w:val="none"/>
                <w:lang w:val="en-US" w:eastAsia="zh-CN" w:bidi="ar-SA"/>
              </w:rPr>
            </w:pPr>
          </w:p>
          <w:p w14:paraId="7A3F4F1E">
            <w:pPr>
              <w:spacing w:line="244" w:lineRule="auto"/>
              <w:rPr>
                <w:rFonts w:hint="default" w:ascii="Times New Roman" w:hAnsi="Times New Roman" w:eastAsia="宋体" w:cs="Times New Roman"/>
                <w:color w:val="auto"/>
                <w:kern w:val="2"/>
                <w:sz w:val="21"/>
                <w:szCs w:val="21"/>
                <w:highlight w:val="none"/>
                <w:lang w:val="en-US" w:eastAsia="zh-CN" w:bidi="ar-SA"/>
              </w:rPr>
            </w:pPr>
          </w:p>
          <w:p w14:paraId="089B74E8">
            <w:pPr>
              <w:spacing w:line="245" w:lineRule="auto"/>
              <w:rPr>
                <w:rFonts w:hint="default" w:ascii="Times New Roman" w:hAnsi="Times New Roman" w:eastAsia="宋体" w:cs="Times New Roman"/>
                <w:color w:val="auto"/>
                <w:kern w:val="2"/>
                <w:sz w:val="21"/>
                <w:szCs w:val="21"/>
                <w:highlight w:val="none"/>
                <w:lang w:val="en-US" w:eastAsia="zh-CN" w:bidi="ar-SA"/>
              </w:rPr>
            </w:pPr>
          </w:p>
          <w:p w14:paraId="57193892">
            <w:pPr>
              <w:pStyle w:val="93"/>
              <w:spacing w:before="68"/>
              <w:ind w:left="145"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7</w:t>
            </w:r>
          </w:p>
        </w:tc>
        <w:tc>
          <w:tcPr>
            <w:tcW w:w="1111" w:type="dxa"/>
            <w:noWrap w:val="0"/>
            <w:vAlign w:val="top"/>
          </w:tcPr>
          <w:p w14:paraId="690F9A1E">
            <w:pPr>
              <w:spacing w:line="244" w:lineRule="auto"/>
              <w:rPr>
                <w:rFonts w:hint="default" w:ascii="Times New Roman" w:hAnsi="Times New Roman" w:eastAsia="宋体" w:cs="Times New Roman"/>
                <w:color w:val="auto"/>
                <w:kern w:val="2"/>
                <w:sz w:val="21"/>
                <w:szCs w:val="21"/>
                <w:highlight w:val="none"/>
                <w:lang w:val="en-US" w:eastAsia="zh-CN" w:bidi="ar-SA"/>
              </w:rPr>
            </w:pPr>
          </w:p>
          <w:p w14:paraId="096A158F">
            <w:pPr>
              <w:spacing w:line="244" w:lineRule="auto"/>
              <w:rPr>
                <w:rFonts w:hint="default" w:ascii="Times New Roman" w:hAnsi="Times New Roman" w:eastAsia="宋体" w:cs="Times New Roman"/>
                <w:color w:val="auto"/>
                <w:kern w:val="2"/>
                <w:sz w:val="21"/>
                <w:szCs w:val="21"/>
                <w:highlight w:val="none"/>
                <w:lang w:val="en-US" w:eastAsia="zh-CN" w:bidi="ar-SA"/>
              </w:rPr>
            </w:pPr>
          </w:p>
          <w:p w14:paraId="6833ECA5">
            <w:pPr>
              <w:spacing w:line="244" w:lineRule="auto"/>
              <w:rPr>
                <w:rFonts w:hint="default" w:ascii="Times New Roman" w:hAnsi="Times New Roman" w:eastAsia="宋体" w:cs="Times New Roman"/>
                <w:color w:val="auto"/>
                <w:kern w:val="2"/>
                <w:sz w:val="21"/>
                <w:szCs w:val="21"/>
                <w:highlight w:val="none"/>
                <w:lang w:val="en-US" w:eastAsia="zh-CN" w:bidi="ar-SA"/>
              </w:rPr>
            </w:pPr>
          </w:p>
          <w:p w14:paraId="064B4AB5">
            <w:pPr>
              <w:spacing w:line="244" w:lineRule="auto"/>
              <w:rPr>
                <w:rFonts w:hint="default" w:ascii="Times New Roman" w:hAnsi="Times New Roman" w:eastAsia="宋体" w:cs="Times New Roman"/>
                <w:color w:val="auto"/>
                <w:kern w:val="2"/>
                <w:sz w:val="21"/>
                <w:szCs w:val="21"/>
                <w:highlight w:val="none"/>
                <w:lang w:val="en-US" w:eastAsia="zh-CN" w:bidi="ar-SA"/>
              </w:rPr>
            </w:pPr>
          </w:p>
          <w:p w14:paraId="38C1F15E">
            <w:pPr>
              <w:spacing w:line="244" w:lineRule="auto"/>
              <w:rPr>
                <w:rFonts w:hint="default" w:ascii="Times New Roman" w:hAnsi="Times New Roman" w:eastAsia="宋体" w:cs="Times New Roman"/>
                <w:color w:val="auto"/>
                <w:kern w:val="2"/>
                <w:sz w:val="21"/>
                <w:szCs w:val="21"/>
                <w:highlight w:val="none"/>
                <w:lang w:val="en-US" w:eastAsia="zh-CN" w:bidi="ar-SA"/>
              </w:rPr>
            </w:pPr>
          </w:p>
          <w:p w14:paraId="6E580D8F">
            <w:pPr>
              <w:spacing w:line="244" w:lineRule="auto"/>
              <w:rPr>
                <w:rFonts w:hint="default" w:ascii="Times New Roman" w:hAnsi="Times New Roman" w:eastAsia="宋体" w:cs="Times New Roman"/>
                <w:color w:val="auto"/>
                <w:kern w:val="2"/>
                <w:sz w:val="21"/>
                <w:szCs w:val="21"/>
                <w:highlight w:val="none"/>
                <w:lang w:val="en-US" w:eastAsia="zh-CN" w:bidi="ar-SA"/>
              </w:rPr>
            </w:pPr>
          </w:p>
          <w:p w14:paraId="3B2E43D2">
            <w:pPr>
              <w:spacing w:line="244" w:lineRule="auto"/>
              <w:rPr>
                <w:rFonts w:hint="default" w:ascii="Times New Roman" w:hAnsi="Times New Roman" w:eastAsia="宋体" w:cs="Times New Roman"/>
                <w:color w:val="auto"/>
                <w:kern w:val="2"/>
                <w:sz w:val="21"/>
                <w:szCs w:val="21"/>
                <w:highlight w:val="none"/>
                <w:lang w:val="en-US" w:eastAsia="zh-CN" w:bidi="ar-SA"/>
              </w:rPr>
            </w:pPr>
          </w:p>
          <w:p w14:paraId="73F87262">
            <w:pPr>
              <w:spacing w:line="244" w:lineRule="auto"/>
              <w:rPr>
                <w:rFonts w:hint="default" w:ascii="Times New Roman" w:hAnsi="Times New Roman" w:eastAsia="宋体" w:cs="Times New Roman"/>
                <w:color w:val="auto"/>
                <w:kern w:val="2"/>
                <w:sz w:val="21"/>
                <w:szCs w:val="21"/>
                <w:highlight w:val="none"/>
                <w:lang w:val="en-US" w:eastAsia="zh-CN" w:bidi="ar-SA"/>
              </w:rPr>
            </w:pPr>
          </w:p>
          <w:p w14:paraId="591DC2DA">
            <w:pPr>
              <w:spacing w:line="245" w:lineRule="auto"/>
              <w:rPr>
                <w:rFonts w:hint="default" w:ascii="Times New Roman" w:hAnsi="Times New Roman" w:eastAsia="宋体" w:cs="Times New Roman"/>
                <w:color w:val="auto"/>
                <w:kern w:val="2"/>
                <w:sz w:val="21"/>
                <w:szCs w:val="21"/>
                <w:highlight w:val="none"/>
                <w:lang w:val="en-US" w:eastAsia="zh-CN" w:bidi="ar-SA"/>
              </w:rPr>
            </w:pPr>
          </w:p>
          <w:p w14:paraId="68544B7A">
            <w:pPr>
              <w:spacing w:line="245" w:lineRule="auto"/>
              <w:rPr>
                <w:rFonts w:hint="default" w:ascii="Times New Roman" w:hAnsi="Times New Roman" w:eastAsia="宋体" w:cs="Times New Roman"/>
                <w:color w:val="auto"/>
                <w:kern w:val="2"/>
                <w:sz w:val="21"/>
                <w:szCs w:val="21"/>
                <w:highlight w:val="none"/>
                <w:lang w:val="en-US" w:eastAsia="zh-CN" w:bidi="ar-SA"/>
              </w:rPr>
            </w:pPr>
          </w:p>
          <w:p w14:paraId="1C911F29">
            <w:pPr>
              <w:pStyle w:val="93"/>
              <w:spacing w:before="68" w:line="239" w:lineRule="auto"/>
              <w:ind w:left="23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11.1.1</w:t>
            </w:r>
          </w:p>
        </w:tc>
        <w:tc>
          <w:tcPr>
            <w:tcW w:w="7304" w:type="dxa"/>
            <w:noWrap w:val="0"/>
            <w:vAlign w:val="top"/>
          </w:tcPr>
          <w:p w14:paraId="5B60C8EB">
            <w:pPr>
              <w:pStyle w:val="93"/>
              <w:spacing w:before="162" w:line="352" w:lineRule="auto"/>
              <w:ind w:left="232" w:right="113" w:firstLine="13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承包人应在签订合同协议书后28天内，在投标文件的基础上细化施工组织设计 (含试验段等首件工程实施方案，下同),并向监理人提交开工报告，主要内容</w:t>
            </w:r>
          </w:p>
          <w:p w14:paraId="6430C778">
            <w:pPr>
              <w:pStyle w:val="93"/>
              <w:spacing w:line="356" w:lineRule="auto"/>
              <w:ind w:left="122" w:right="128"/>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应包括：施工管理机构、质检体系、安全体系的建立，劳务、机械设备、材料的 进场情况，水电供应，临时设施的修建、总体施工组织设计、施工节点工期安排 (包括但不限于路基、路面基层、面层、桥梁下部结构、桥梁上部结构等分部工 程(如有)的节点工期)等。</w:t>
            </w:r>
          </w:p>
          <w:p w14:paraId="0C87ED4E">
            <w:pPr>
              <w:pStyle w:val="93"/>
              <w:spacing w:before="2" w:line="351" w:lineRule="auto"/>
              <w:ind w:left="112" w:right="133" w:firstLine="24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承包人编制的施工组织设计应经监理人和发包人审批后，方可按照计划组织实 施。监理人和发包人认为承包人编制的施工组织不合理、不完善或存在缺陷，不 能指导施工的，承包人应在规定限期内改正并重新报批。未经审批擅自开工或者 未严格按照经审批的施工组织设计施工的，视为承包人违约。</w:t>
            </w:r>
          </w:p>
          <w:p w14:paraId="46F978FC">
            <w:pPr>
              <w:pStyle w:val="93"/>
              <w:spacing w:before="2" w:line="296" w:lineRule="auto"/>
              <w:ind w:left="112" w:leftChars="0" w:right="163" w:rightChars="0" w:firstLine="25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监理人应在开工日期7天前向承包人发出开工通知。监理人在发出开工通知前 应获得发包人同意。工期自监理人发出的开工通知中载明的开工日期起计算。承 包人应在开工日期后尽快施工。</w:t>
            </w:r>
          </w:p>
        </w:tc>
      </w:tr>
      <w:tr w14:paraId="16D5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07F4638D">
            <w:pPr>
              <w:spacing w:line="268" w:lineRule="auto"/>
              <w:rPr>
                <w:rFonts w:hint="default" w:ascii="Times New Roman" w:hAnsi="Times New Roman" w:eastAsia="宋体" w:cs="Times New Roman"/>
                <w:color w:val="auto"/>
                <w:kern w:val="2"/>
                <w:sz w:val="21"/>
                <w:szCs w:val="21"/>
                <w:highlight w:val="none"/>
                <w:lang w:val="en-US" w:eastAsia="zh-CN" w:bidi="ar-SA"/>
              </w:rPr>
            </w:pPr>
          </w:p>
          <w:p w14:paraId="350ED98E">
            <w:pPr>
              <w:spacing w:line="269" w:lineRule="auto"/>
              <w:rPr>
                <w:rFonts w:hint="default" w:ascii="Times New Roman" w:hAnsi="Times New Roman" w:eastAsia="宋体" w:cs="Times New Roman"/>
                <w:color w:val="auto"/>
                <w:kern w:val="2"/>
                <w:sz w:val="21"/>
                <w:szCs w:val="21"/>
                <w:highlight w:val="none"/>
                <w:lang w:val="en-US" w:eastAsia="zh-CN" w:bidi="ar-SA"/>
              </w:rPr>
            </w:pPr>
          </w:p>
          <w:p w14:paraId="2B143181">
            <w:pPr>
              <w:pStyle w:val="93"/>
              <w:spacing w:before="68"/>
              <w:ind w:left="145"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8</w:t>
            </w:r>
          </w:p>
        </w:tc>
        <w:tc>
          <w:tcPr>
            <w:tcW w:w="1111" w:type="dxa"/>
            <w:noWrap w:val="0"/>
            <w:vAlign w:val="top"/>
          </w:tcPr>
          <w:p w14:paraId="133577A4">
            <w:pPr>
              <w:spacing w:line="431" w:lineRule="auto"/>
              <w:rPr>
                <w:rFonts w:hint="default" w:ascii="Times New Roman" w:hAnsi="Times New Roman" w:eastAsia="宋体" w:cs="Times New Roman"/>
                <w:color w:val="auto"/>
                <w:kern w:val="2"/>
                <w:sz w:val="21"/>
                <w:szCs w:val="21"/>
                <w:highlight w:val="none"/>
                <w:lang w:val="en-US" w:eastAsia="zh-CN" w:bidi="ar-SA"/>
              </w:rPr>
            </w:pPr>
          </w:p>
          <w:p w14:paraId="4B36925E">
            <w:pPr>
              <w:pStyle w:val="93"/>
              <w:spacing w:before="68" w:line="222" w:lineRule="auto"/>
              <w:ind w:left="18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11.5(3)</w:t>
            </w:r>
          </w:p>
        </w:tc>
        <w:tc>
          <w:tcPr>
            <w:tcW w:w="7304" w:type="dxa"/>
            <w:noWrap w:val="0"/>
            <w:vAlign w:val="top"/>
          </w:tcPr>
          <w:p w14:paraId="71E4AE47">
            <w:pPr>
              <w:pStyle w:val="93"/>
              <w:keepNext w:val="0"/>
              <w:keepLines w:val="0"/>
              <w:pageBreakBefore w:val="0"/>
              <w:widowControl/>
              <w:kinsoku w:val="0"/>
              <w:wordWrap/>
              <w:overflowPunct/>
              <w:topLinePunct w:val="0"/>
              <w:autoSpaceDE w:val="0"/>
              <w:autoSpaceDN w:val="0"/>
              <w:bidi w:val="0"/>
              <w:adjustRightInd w:val="0"/>
              <w:snapToGrid w:val="0"/>
              <w:spacing w:line="346" w:lineRule="auto"/>
              <w:ind w:left="102" w:right="164" w:firstLine="221"/>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承包人必须按合同约定的阶段工期及总工期组织施工，如因承包人原因未能按 阶段工期(或总工期)计划完成所承包的工程，承包人应支付逾期完工违约金。</w:t>
            </w:r>
          </w:p>
          <w:p w14:paraId="5BA79F55">
            <w:pPr>
              <w:pStyle w:val="93"/>
              <w:keepNext w:val="0"/>
              <w:keepLines w:val="0"/>
              <w:pageBreakBefore w:val="0"/>
              <w:widowControl/>
              <w:kinsoku w:val="0"/>
              <w:wordWrap/>
              <w:overflowPunct/>
              <w:topLinePunct w:val="0"/>
              <w:autoSpaceDE w:val="0"/>
              <w:autoSpaceDN w:val="0"/>
              <w:bidi w:val="0"/>
              <w:adjustRightInd w:val="0"/>
              <w:snapToGrid w:val="0"/>
              <w:spacing w:line="346" w:lineRule="auto"/>
              <w:ind w:left="102" w:right="164" w:firstLine="221"/>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逾期完工违约金的计算方法在《项目专用合同条款数据表》中约定，时间自预定的完工日期起到完工证明中写明的实际完工日期止(扣除已批准的延长工期),</w:t>
            </w:r>
          </w:p>
          <w:p w14:paraId="33BAE3F8">
            <w:pPr>
              <w:pStyle w:val="93"/>
              <w:keepNext w:val="0"/>
              <w:keepLines w:val="0"/>
              <w:pageBreakBefore w:val="0"/>
              <w:widowControl/>
              <w:kinsoku w:val="0"/>
              <w:wordWrap/>
              <w:overflowPunct/>
              <w:topLinePunct w:val="0"/>
              <w:autoSpaceDE w:val="0"/>
              <w:autoSpaceDN w:val="0"/>
              <w:bidi w:val="0"/>
              <w:adjustRightInd w:val="0"/>
              <w:snapToGrid w:val="0"/>
              <w:spacing w:line="346" w:lineRule="auto"/>
              <w:ind w:left="102" w:right="164" w:firstLine="221"/>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按天计算。逾期完工违约金累计金额最高不超过《项目专用合同条款数据表》中 写明的限额。发包人可以从应付或到期应付给承包人的任何款项中或采用其他方 法扣除此违约金。承包人阶段工期发生拖延但在总工期内按时完工的，发包人应 将施工期间扣留的全部阶段工期拖延违约金返还给承包人。</w:t>
            </w:r>
          </w:p>
          <w:p w14:paraId="3C940B10">
            <w:pPr>
              <w:pStyle w:val="93"/>
              <w:keepNext w:val="0"/>
              <w:keepLines w:val="0"/>
              <w:pageBreakBefore w:val="0"/>
              <w:widowControl/>
              <w:kinsoku w:val="0"/>
              <w:wordWrap/>
              <w:overflowPunct/>
              <w:topLinePunct w:val="0"/>
              <w:autoSpaceDE w:val="0"/>
              <w:autoSpaceDN w:val="0"/>
              <w:bidi w:val="0"/>
              <w:adjustRightInd w:val="0"/>
              <w:snapToGrid w:val="0"/>
              <w:spacing w:line="346" w:lineRule="auto"/>
              <w:ind w:left="102" w:leftChars="0" w:right="164" w:rightChars="0" w:firstLine="221"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承包人阶段工期和总工期均发生拖延的，发包人最终扣减承包人的逾期完工违 约金以总工期拖延天数计算的金额为准，但最高不超过项目《项目专用合同条款 数据表》中写明的限额。</w:t>
            </w:r>
          </w:p>
        </w:tc>
      </w:tr>
      <w:tr w14:paraId="37BE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286BECD7">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39</w:t>
            </w:r>
          </w:p>
        </w:tc>
        <w:tc>
          <w:tcPr>
            <w:tcW w:w="1111" w:type="dxa"/>
            <w:shd w:val="clear" w:color="auto" w:fill="auto"/>
            <w:noWrap w:val="0"/>
            <w:vAlign w:val="center"/>
          </w:tcPr>
          <w:p w14:paraId="6457444C">
            <w:pPr>
              <w:pageBreakBefore w:val="0"/>
              <w:kinsoku/>
              <w:wordWrap w:val="0"/>
              <w:bidi w:val="0"/>
              <w:snapToGrid w:val="0"/>
              <w:spacing w:line="36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11.5（3）</w:t>
            </w:r>
          </w:p>
        </w:tc>
        <w:tc>
          <w:tcPr>
            <w:tcW w:w="7304" w:type="dxa"/>
            <w:shd w:val="clear" w:color="auto" w:fill="auto"/>
            <w:noWrap w:val="0"/>
            <w:vAlign w:val="center"/>
          </w:tcPr>
          <w:p w14:paraId="2460C5A5">
            <w:pPr>
              <w:pageBreakBefore w:val="0"/>
              <w:kinsoku/>
              <w:wordWrap w:val="0"/>
              <w:bidi w:val="0"/>
              <w:snapToGrid w:val="0"/>
              <w:spacing w:line="360" w:lineRule="atLeast"/>
              <w:ind w:firstLine="239" w:firstLineChars="11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逾期交工违约金： 0.03%签约合同价格/天</w:t>
            </w:r>
          </w:p>
        </w:tc>
      </w:tr>
      <w:tr w14:paraId="591B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75614223">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w:t>
            </w:r>
          </w:p>
        </w:tc>
        <w:tc>
          <w:tcPr>
            <w:tcW w:w="1111" w:type="dxa"/>
            <w:noWrap w:val="0"/>
            <w:vAlign w:val="center"/>
          </w:tcPr>
          <w:p w14:paraId="3DD3095A">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7304" w:type="dxa"/>
            <w:noWrap w:val="0"/>
            <w:vAlign w:val="center"/>
          </w:tcPr>
          <w:p w14:paraId="553952C7">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逾期交工违约金限额：</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r>
              <w:rPr>
                <w:rStyle w:val="47"/>
                <w:rFonts w:hint="default" w:ascii="Times New Roman" w:hAnsi="Times New Roman" w:cs="Times New Roman"/>
                <w:color w:val="auto"/>
                <w:szCs w:val="21"/>
                <w:highlight w:val="none"/>
              </w:rPr>
              <w:footnoteReference w:id="36"/>
            </w:r>
          </w:p>
        </w:tc>
      </w:tr>
      <w:tr w14:paraId="0423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547FF0A0">
            <w:pPr>
              <w:spacing w:line="451" w:lineRule="auto"/>
              <w:rPr>
                <w:rFonts w:hint="default" w:ascii="Times New Roman" w:hAnsi="Times New Roman" w:eastAsia="宋体" w:cs="Times New Roman"/>
                <w:color w:val="auto"/>
                <w:kern w:val="2"/>
                <w:sz w:val="21"/>
                <w:szCs w:val="21"/>
                <w:highlight w:val="none"/>
                <w:lang w:val="en-US" w:eastAsia="zh-CN" w:bidi="ar-SA"/>
              </w:rPr>
            </w:pPr>
          </w:p>
          <w:p w14:paraId="3BF9A5B4">
            <w:pPr>
              <w:pStyle w:val="93"/>
              <w:spacing w:before="69"/>
              <w:ind w:left="145" w:leftChars="0"/>
              <w:rPr>
                <w:rFonts w:hint="default" w:ascii="Times New Roman" w:hAnsi="Times New Roman" w:eastAsia="宋体" w:cs="Times New Roman"/>
                <w:color w:val="auto"/>
                <w:kern w:val="2"/>
                <w:sz w:val="21"/>
                <w:szCs w:val="21"/>
                <w:highlight w:val="none"/>
                <w:lang w:val="en-US" w:eastAsia="en-US" w:bidi="ar-SA"/>
              </w:rPr>
            </w:pPr>
            <w:r>
              <w:rPr>
                <w:rFonts w:hint="eastAsia" w:ascii="Times New Roman" w:hAnsi="Times New Roman" w:cs="Times New Roman"/>
                <w:color w:val="auto"/>
                <w:kern w:val="2"/>
                <w:sz w:val="21"/>
                <w:szCs w:val="21"/>
                <w:highlight w:val="none"/>
                <w:lang w:val="en-US" w:eastAsia="zh-CN" w:bidi="ar-SA"/>
              </w:rPr>
              <w:t>41</w:t>
            </w:r>
          </w:p>
        </w:tc>
        <w:tc>
          <w:tcPr>
            <w:tcW w:w="1111" w:type="dxa"/>
            <w:shd w:val="clear" w:color="auto" w:fill="auto"/>
            <w:noWrap w:val="0"/>
            <w:vAlign w:val="top"/>
          </w:tcPr>
          <w:p w14:paraId="7CA9011D">
            <w:pPr>
              <w:spacing w:line="434" w:lineRule="auto"/>
              <w:rPr>
                <w:rFonts w:hint="default" w:ascii="Times New Roman" w:hAnsi="Times New Roman" w:eastAsia="宋体" w:cs="Times New Roman"/>
                <w:color w:val="auto"/>
                <w:kern w:val="2"/>
                <w:sz w:val="21"/>
                <w:szCs w:val="21"/>
                <w:highlight w:val="none"/>
                <w:lang w:val="en-US" w:eastAsia="zh-CN" w:bidi="ar-SA"/>
              </w:rPr>
            </w:pPr>
          </w:p>
          <w:p w14:paraId="022A00E5">
            <w:pPr>
              <w:pStyle w:val="93"/>
              <w:spacing w:before="69" w:line="222" w:lineRule="auto"/>
              <w:ind w:left="171" w:leftChars="0"/>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11.5(5)</w:t>
            </w:r>
          </w:p>
        </w:tc>
        <w:tc>
          <w:tcPr>
            <w:tcW w:w="7304" w:type="dxa"/>
            <w:shd w:val="clear" w:color="auto" w:fill="auto"/>
            <w:noWrap w:val="0"/>
            <w:vAlign w:val="top"/>
          </w:tcPr>
          <w:p w14:paraId="411745EE">
            <w:pPr>
              <w:pStyle w:val="93"/>
              <w:spacing w:before="161" w:line="301" w:lineRule="auto"/>
              <w:ind w:left="132" w:leftChars="0" w:right="146" w:rightChars="0" w:firstLine="210" w:firstLineChars="0"/>
              <w:jc w:val="both"/>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如果在合同工程完工之前，已对合同工程内按时完工的单位工程签发了完工证 明，则合同工程的逾期完工违约金，应按已签发完工证明的单位工程的价值占合 同工程价值的比例予以减少，但本规定不应影响逾期完工违约金的规定限额。</w:t>
            </w:r>
          </w:p>
        </w:tc>
      </w:tr>
      <w:tr w14:paraId="1108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20367401">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42</w:t>
            </w:r>
          </w:p>
        </w:tc>
        <w:tc>
          <w:tcPr>
            <w:tcW w:w="1111" w:type="dxa"/>
            <w:noWrap w:val="0"/>
            <w:vAlign w:val="center"/>
          </w:tcPr>
          <w:p w14:paraId="395ACF9C">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7304" w:type="dxa"/>
            <w:noWrap w:val="0"/>
            <w:vAlign w:val="center"/>
          </w:tcPr>
          <w:p w14:paraId="1EB4534A">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提前交工的奖金：</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r>
      <w:tr w14:paraId="5DC1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7CB23C40">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w:t>
            </w:r>
          </w:p>
        </w:tc>
        <w:tc>
          <w:tcPr>
            <w:tcW w:w="1111" w:type="dxa"/>
            <w:noWrap w:val="0"/>
            <w:vAlign w:val="center"/>
          </w:tcPr>
          <w:p w14:paraId="23D2FDCF">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7304" w:type="dxa"/>
            <w:noWrap w:val="0"/>
            <w:vAlign w:val="center"/>
          </w:tcPr>
          <w:p w14:paraId="3658E713">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提前交工的奖金限额：</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r>
      <w:tr w14:paraId="12B0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3F13024C">
            <w:pPr>
              <w:pStyle w:val="93"/>
              <w:spacing w:before="69"/>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44</w:t>
            </w:r>
          </w:p>
        </w:tc>
        <w:tc>
          <w:tcPr>
            <w:tcW w:w="1111" w:type="dxa"/>
            <w:noWrap w:val="0"/>
            <w:vAlign w:val="top"/>
          </w:tcPr>
          <w:p w14:paraId="2B17C766">
            <w:pPr>
              <w:spacing w:line="244" w:lineRule="auto"/>
              <w:rPr>
                <w:rFonts w:hint="default" w:ascii="Times New Roman" w:hAnsi="Times New Roman" w:eastAsia="宋体" w:cs="Times New Roman"/>
                <w:color w:val="auto"/>
                <w:kern w:val="2"/>
                <w:sz w:val="21"/>
                <w:szCs w:val="21"/>
                <w:highlight w:val="none"/>
                <w:lang w:val="en-US" w:eastAsia="zh-CN" w:bidi="ar-SA"/>
              </w:rPr>
            </w:pPr>
          </w:p>
          <w:p w14:paraId="779EB492">
            <w:pPr>
              <w:pStyle w:val="93"/>
              <w:spacing w:before="68" w:line="239" w:lineRule="auto"/>
              <w:ind w:left="22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13.1.1</w:t>
            </w:r>
          </w:p>
        </w:tc>
        <w:tc>
          <w:tcPr>
            <w:tcW w:w="7304" w:type="dxa"/>
            <w:noWrap w:val="0"/>
            <w:vAlign w:val="top"/>
          </w:tcPr>
          <w:p w14:paraId="5E154B00">
            <w:pPr>
              <w:pStyle w:val="93"/>
              <w:spacing w:before="144" w:line="279" w:lineRule="auto"/>
              <w:ind w:left="112" w:leftChars="0" w:right="54" w:rightChars="0" w:firstLine="24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养护工程质量验收按技术规范及《公路养护工程质量检验评定标准 (JTG5220-2020)》执行。</w:t>
            </w:r>
          </w:p>
        </w:tc>
      </w:tr>
      <w:tr w14:paraId="2ACB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759244A2">
            <w:pPr>
              <w:pStyle w:val="93"/>
              <w:spacing w:before="69" w:line="241"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r>
              <w:rPr>
                <w:rFonts w:hint="eastAsia" w:ascii="Times New Roman" w:hAnsi="Times New Roman" w:cs="Times New Roman"/>
                <w:color w:val="auto"/>
                <w:kern w:val="2"/>
                <w:sz w:val="21"/>
                <w:szCs w:val="21"/>
                <w:highlight w:val="none"/>
                <w:lang w:val="en-US" w:eastAsia="zh-CN" w:bidi="ar-SA"/>
              </w:rPr>
              <w:t>5</w:t>
            </w:r>
          </w:p>
        </w:tc>
        <w:tc>
          <w:tcPr>
            <w:tcW w:w="1111" w:type="dxa"/>
            <w:noWrap w:val="0"/>
            <w:vAlign w:val="top"/>
          </w:tcPr>
          <w:p w14:paraId="392ADED9">
            <w:pPr>
              <w:spacing w:line="260" w:lineRule="auto"/>
              <w:rPr>
                <w:rFonts w:hint="default" w:ascii="Times New Roman" w:hAnsi="Times New Roman" w:eastAsia="宋体" w:cs="Times New Roman"/>
                <w:color w:val="auto"/>
                <w:kern w:val="2"/>
                <w:sz w:val="21"/>
                <w:szCs w:val="21"/>
                <w:highlight w:val="none"/>
                <w:lang w:val="en-US" w:eastAsia="zh-CN" w:bidi="ar-SA"/>
              </w:rPr>
            </w:pPr>
          </w:p>
          <w:p w14:paraId="3B9D655A">
            <w:pPr>
              <w:spacing w:line="260" w:lineRule="auto"/>
              <w:rPr>
                <w:rFonts w:hint="default" w:ascii="Times New Roman" w:hAnsi="Times New Roman" w:eastAsia="宋体" w:cs="Times New Roman"/>
                <w:color w:val="auto"/>
                <w:kern w:val="2"/>
                <w:sz w:val="21"/>
                <w:szCs w:val="21"/>
                <w:highlight w:val="none"/>
                <w:lang w:val="en-US" w:eastAsia="zh-CN" w:bidi="ar-SA"/>
              </w:rPr>
            </w:pPr>
          </w:p>
          <w:p w14:paraId="1D94B413">
            <w:pPr>
              <w:pStyle w:val="93"/>
              <w:spacing w:before="68" w:line="239"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13.2.6</w:t>
            </w:r>
          </w:p>
        </w:tc>
        <w:tc>
          <w:tcPr>
            <w:tcW w:w="7304" w:type="dxa"/>
            <w:noWrap w:val="0"/>
            <w:vAlign w:val="top"/>
          </w:tcPr>
          <w:p w14:paraId="00658C73">
            <w:pPr>
              <w:pStyle w:val="93"/>
              <w:spacing w:before="143" w:line="219"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款细化：承包人应当严格按照施工图设计(含经审批的变更图纸)、施工技术规范和合同约定施工，对原材料、半成品、混合料、预制构件、工程实体进行检验，按规定施行班组自检、工序交接检、专职质检员检验的质量控制程序；对各养护单元 进行质量自评。检验或者自评不合格的，不得进入下道工序或者投入使用。未按 照上述规定进行施工和质量控制的，视为承包人违约。</w:t>
            </w:r>
          </w:p>
        </w:tc>
      </w:tr>
      <w:tr w14:paraId="62EB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F091179">
            <w:pPr>
              <w:pStyle w:val="93"/>
              <w:spacing w:before="68"/>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46</w:t>
            </w:r>
          </w:p>
        </w:tc>
        <w:tc>
          <w:tcPr>
            <w:tcW w:w="1111" w:type="dxa"/>
            <w:noWrap w:val="0"/>
            <w:vAlign w:val="top"/>
          </w:tcPr>
          <w:p w14:paraId="3095F1F8">
            <w:pPr>
              <w:spacing w:line="250" w:lineRule="auto"/>
              <w:rPr>
                <w:rFonts w:hint="default" w:ascii="Times New Roman" w:hAnsi="Times New Roman" w:eastAsia="宋体" w:cs="Times New Roman"/>
                <w:color w:val="auto"/>
                <w:kern w:val="2"/>
                <w:sz w:val="21"/>
                <w:szCs w:val="21"/>
                <w:highlight w:val="none"/>
                <w:lang w:val="en-US" w:eastAsia="zh-CN" w:bidi="ar-SA"/>
              </w:rPr>
            </w:pPr>
          </w:p>
          <w:p w14:paraId="54EB66C3">
            <w:pPr>
              <w:spacing w:line="250" w:lineRule="auto"/>
              <w:rPr>
                <w:rFonts w:hint="default" w:ascii="Times New Roman" w:hAnsi="Times New Roman" w:eastAsia="宋体" w:cs="Times New Roman"/>
                <w:color w:val="auto"/>
                <w:kern w:val="2"/>
                <w:sz w:val="21"/>
                <w:szCs w:val="21"/>
                <w:highlight w:val="none"/>
                <w:lang w:val="en-US" w:eastAsia="zh-CN" w:bidi="ar-SA"/>
              </w:rPr>
            </w:pPr>
          </w:p>
          <w:p w14:paraId="5F221815">
            <w:pPr>
              <w:spacing w:line="250" w:lineRule="auto"/>
              <w:rPr>
                <w:rFonts w:hint="default" w:ascii="Times New Roman" w:hAnsi="Times New Roman" w:eastAsia="宋体" w:cs="Times New Roman"/>
                <w:color w:val="auto"/>
                <w:kern w:val="2"/>
                <w:sz w:val="21"/>
                <w:szCs w:val="21"/>
                <w:highlight w:val="none"/>
                <w:lang w:val="en-US" w:eastAsia="zh-CN" w:bidi="ar-SA"/>
              </w:rPr>
            </w:pPr>
          </w:p>
          <w:p w14:paraId="47834885">
            <w:pPr>
              <w:spacing w:line="250" w:lineRule="auto"/>
              <w:rPr>
                <w:rFonts w:hint="default" w:ascii="Times New Roman" w:hAnsi="Times New Roman" w:eastAsia="宋体" w:cs="Times New Roman"/>
                <w:color w:val="auto"/>
                <w:kern w:val="2"/>
                <w:sz w:val="21"/>
                <w:szCs w:val="21"/>
                <w:highlight w:val="none"/>
                <w:lang w:val="en-US" w:eastAsia="zh-CN" w:bidi="ar-SA"/>
              </w:rPr>
            </w:pPr>
          </w:p>
          <w:p w14:paraId="465F5023">
            <w:pPr>
              <w:pStyle w:val="93"/>
              <w:spacing w:before="68" w:line="239"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13.2.11</w:t>
            </w:r>
          </w:p>
        </w:tc>
        <w:tc>
          <w:tcPr>
            <w:tcW w:w="7304" w:type="dxa"/>
            <w:noWrap w:val="0"/>
            <w:vAlign w:val="top"/>
          </w:tcPr>
          <w:p w14:paraId="14F1BBC2">
            <w:pPr>
              <w:pStyle w:val="93"/>
              <w:spacing w:before="143" w:line="219"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本款补充第13.2.11项：</w:t>
            </w:r>
          </w:p>
          <w:p w14:paraId="578DC847">
            <w:pPr>
              <w:pStyle w:val="93"/>
              <w:spacing w:before="143" w:line="219"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承包人应当严格按照经审批的各种施工配合比(包含但不限于沥青混合料配合 比、水泥混凝土配合比、水泥砂浆配合比、水泥稳定粒料配合比等)进行生产和 施工，并按照相关技术规范和标准制作试块(件)用于质量检验；严格按照设计图纸和技术规范使用和控制沥青、改性沥青、改性剂、温拌剂、水泥及各种添加 剂含(剂)量。发包人有权对相关材料的采购合同、发票、财务账目和使用记录进行检查，承包人应予以配合。</w:t>
            </w:r>
          </w:p>
        </w:tc>
      </w:tr>
      <w:tr w14:paraId="7F92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77E85D5F">
            <w:pPr>
              <w:pStyle w:val="93"/>
              <w:spacing w:before="68" w:line="239" w:lineRule="auto"/>
              <w:rPr>
                <w:rFonts w:hint="default" w:ascii="Times New Roman" w:hAnsi="Times New Roman" w:eastAsia="宋体" w:cs="Times New Roman"/>
                <w:color w:val="auto"/>
                <w:kern w:val="2"/>
                <w:sz w:val="21"/>
                <w:szCs w:val="21"/>
                <w:highlight w:val="none"/>
                <w:lang w:val="en-US" w:eastAsia="zh-CN" w:bidi="ar-SA"/>
              </w:rPr>
            </w:pPr>
          </w:p>
          <w:p w14:paraId="097335A3">
            <w:pPr>
              <w:pStyle w:val="93"/>
              <w:spacing w:before="68" w:line="239" w:lineRule="auto"/>
              <w:rPr>
                <w:rFonts w:hint="default" w:ascii="Times New Roman" w:hAnsi="Times New Roman" w:eastAsia="宋体" w:cs="Times New Roman"/>
                <w:color w:val="auto"/>
                <w:kern w:val="2"/>
                <w:sz w:val="21"/>
                <w:szCs w:val="21"/>
                <w:highlight w:val="none"/>
                <w:lang w:val="en-US" w:eastAsia="en-US" w:bidi="ar-SA"/>
              </w:rPr>
            </w:pPr>
            <w:r>
              <w:rPr>
                <w:rFonts w:hint="eastAsia" w:ascii="Times New Roman" w:hAnsi="Times New Roman" w:cs="Times New Roman"/>
                <w:color w:val="auto"/>
                <w:kern w:val="2"/>
                <w:sz w:val="21"/>
                <w:szCs w:val="21"/>
                <w:highlight w:val="none"/>
                <w:lang w:val="en-US" w:eastAsia="zh-CN" w:bidi="ar-SA"/>
              </w:rPr>
              <w:t>47</w:t>
            </w:r>
          </w:p>
        </w:tc>
        <w:tc>
          <w:tcPr>
            <w:tcW w:w="1111" w:type="dxa"/>
            <w:shd w:val="clear" w:color="auto" w:fill="auto"/>
            <w:noWrap w:val="0"/>
            <w:vAlign w:val="top"/>
          </w:tcPr>
          <w:p w14:paraId="1F0F06A2">
            <w:pPr>
              <w:pStyle w:val="93"/>
              <w:spacing w:before="68" w:line="239" w:lineRule="auto"/>
              <w:rPr>
                <w:rFonts w:hint="default" w:ascii="Times New Roman" w:hAnsi="Times New Roman" w:eastAsia="宋体" w:cs="Times New Roman"/>
                <w:color w:val="auto"/>
                <w:kern w:val="2"/>
                <w:sz w:val="21"/>
                <w:szCs w:val="21"/>
                <w:highlight w:val="none"/>
                <w:lang w:val="en-US" w:eastAsia="zh-CN" w:bidi="ar-SA"/>
              </w:rPr>
            </w:pPr>
          </w:p>
          <w:p w14:paraId="2166B1A9">
            <w:pPr>
              <w:pStyle w:val="93"/>
              <w:spacing w:before="68" w:line="239" w:lineRule="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13.5.4</w:t>
            </w:r>
          </w:p>
        </w:tc>
        <w:tc>
          <w:tcPr>
            <w:tcW w:w="7304" w:type="dxa"/>
            <w:shd w:val="clear" w:color="auto" w:fill="auto"/>
            <w:noWrap w:val="0"/>
            <w:vAlign w:val="top"/>
          </w:tcPr>
          <w:p w14:paraId="212FADC7">
            <w:pPr>
              <w:pStyle w:val="93"/>
              <w:spacing w:before="143" w:line="219" w:lineRule="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本款细化：承包人未通知监理人到场检查，私自将工程隐蔽部位覆盖的，或者与监理人串通，将不满足相关要求的隐蔽工程覆盖的，视为承包人违约。发包人有权指示承 包人钻孔探测或揭开检查，由此增加的费用和(或)工期延误由承包人承担。</w:t>
            </w:r>
          </w:p>
        </w:tc>
      </w:tr>
      <w:tr w14:paraId="6C6C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1DB3E3E7">
            <w:pPr>
              <w:spacing w:line="248" w:lineRule="auto"/>
              <w:rPr>
                <w:rFonts w:hint="default" w:ascii="Times New Roman" w:hAnsi="Times New Roman" w:eastAsia="宋体" w:cs="Times New Roman"/>
                <w:color w:val="auto"/>
                <w:kern w:val="2"/>
                <w:sz w:val="21"/>
                <w:szCs w:val="21"/>
                <w:highlight w:val="none"/>
                <w:lang w:val="en-US" w:eastAsia="zh-CN" w:bidi="ar-SA"/>
              </w:rPr>
            </w:pPr>
          </w:p>
          <w:p w14:paraId="1B822443">
            <w:pPr>
              <w:spacing w:line="248" w:lineRule="auto"/>
              <w:rPr>
                <w:rFonts w:hint="default" w:ascii="Times New Roman" w:hAnsi="Times New Roman" w:eastAsia="宋体" w:cs="Times New Roman"/>
                <w:color w:val="auto"/>
                <w:kern w:val="2"/>
                <w:sz w:val="21"/>
                <w:szCs w:val="21"/>
                <w:highlight w:val="none"/>
                <w:lang w:val="en-US" w:eastAsia="zh-CN" w:bidi="ar-SA"/>
              </w:rPr>
            </w:pPr>
          </w:p>
          <w:p w14:paraId="384E8D4E">
            <w:pPr>
              <w:spacing w:line="249" w:lineRule="auto"/>
              <w:rPr>
                <w:rFonts w:hint="default" w:ascii="Times New Roman" w:hAnsi="Times New Roman" w:eastAsia="宋体" w:cs="Times New Roman"/>
                <w:color w:val="auto"/>
                <w:kern w:val="2"/>
                <w:sz w:val="21"/>
                <w:szCs w:val="21"/>
                <w:highlight w:val="none"/>
                <w:lang w:val="en-US" w:eastAsia="zh-CN" w:bidi="ar-SA"/>
              </w:rPr>
            </w:pPr>
          </w:p>
          <w:p w14:paraId="321D3C43">
            <w:pPr>
              <w:spacing w:line="249" w:lineRule="auto"/>
              <w:rPr>
                <w:rFonts w:hint="default" w:ascii="Times New Roman" w:hAnsi="Times New Roman" w:eastAsia="宋体" w:cs="Times New Roman"/>
                <w:color w:val="auto"/>
                <w:kern w:val="2"/>
                <w:sz w:val="21"/>
                <w:szCs w:val="21"/>
                <w:highlight w:val="none"/>
                <w:lang w:val="en-US" w:eastAsia="zh-CN" w:bidi="ar-SA"/>
              </w:rPr>
            </w:pPr>
          </w:p>
          <w:p w14:paraId="39CCEAFB">
            <w:pPr>
              <w:spacing w:line="249" w:lineRule="auto"/>
              <w:rPr>
                <w:rFonts w:hint="default" w:ascii="Times New Roman" w:hAnsi="Times New Roman" w:eastAsia="宋体" w:cs="Times New Roman"/>
                <w:color w:val="auto"/>
                <w:kern w:val="2"/>
                <w:sz w:val="21"/>
                <w:szCs w:val="21"/>
                <w:highlight w:val="none"/>
                <w:lang w:val="en-US" w:eastAsia="zh-CN" w:bidi="ar-SA"/>
              </w:rPr>
            </w:pPr>
          </w:p>
          <w:p w14:paraId="092AC3E0">
            <w:pPr>
              <w:pStyle w:val="93"/>
              <w:spacing w:before="68"/>
              <w:ind w:left="145" w:left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48</w:t>
            </w:r>
          </w:p>
        </w:tc>
        <w:tc>
          <w:tcPr>
            <w:tcW w:w="1111" w:type="dxa"/>
            <w:noWrap w:val="0"/>
            <w:vAlign w:val="top"/>
          </w:tcPr>
          <w:p w14:paraId="6790A740">
            <w:pPr>
              <w:spacing w:line="248" w:lineRule="auto"/>
              <w:rPr>
                <w:rFonts w:hint="default" w:ascii="Times New Roman" w:hAnsi="Times New Roman" w:eastAsia="宋体" w:cs="Times New Roman"/>
                <w:color w:val="auto"/>
                <w:kern w:val="2"/>
                <w:sz w:val="21"/>
                <w:szCs w:val="21"/>
                <w:highlight w:val="none"/>
                <w:lang w:val="en-US" w:eastAsia="zh-CN" w:bidi="ar-SA"/>
              </w:rPr>
            </w:pPr>
          </w:p>
          <w:p w14:paraId="53426833">
            <w:pPr>
              <w:spacing w:line="248" w:lineRule="auto"/>
              <w:rPr>
                <w:rFonts w:hint="default" w:ascii="Times New Roman" w:hAnsi="Times New Roman" w:eastAsia="宋体" w:cs="Times New Roman"/>
                <w:color w:val="auto"/>
                <w:kern w:val="2"/>
                <w:sz w:val="21"/>
                <w:szCs w:val="21"/>
                <w:highlight w:val="none"/>
                <w:lang w:val="en-US" w:eastAsia="zh-CN" w:bidi="ar-SA"/>
              </w:rPr>
            </w:pPr>
          </w:p>
          <w:p w14:paraId="29CE3678">
            <w:pPr>
              <w:spacing w:line="249" w:lineRule="auto"/>
              <w:rPr>
                <w:rFonts w:hint="default" w:ascii="Times New Roman" w:hAnsi="Times New Roman" w:eastAsia="宋体" w:cs="Times New Roman"/>
                <w:color w:val="auto"/>
                <w:kern w:val="2"/>
                <w:sz w:val="21"/>
                <w:szCs w:val="21"/>
                <w:highlight w:val="none"/>
                <w:lang w:val="en-US" w:eastAsia="zh-CN" w:bidi="ar-SA"/>
              </w:rPr>
            </w:pPr>
          </w:p>
          <w:p w14:paraId="11780416">
            <w:pPr>
              <w:spacing w:line="249" w:lineRule="auto"/>
              <w:rPr>
                <w:rFonts w:hint="default" w:ascii="Times New Roman" w:hAnsi="Times New Roman" w:eastAsia="宋体" w:cs="Times New Roman"/>
                <w:color w:val="auto"/>
                <w:kern w:val="2"/>
                <w:sz w:val="21"/>
                <w:szCs w:val="21"/>
                <w:highlight w:val="none"/>
                <w:lang w:val="en-US" w:eastAsia="zh-CN" w:bidi="ar-SA"/>
              </w:rPr>
            </w:pPr>
          </w:p>
          <w:p w14:paraId="4F4601AA">
            <w:pPr>
              <w:spacing w:line="249" w:lineRule="auto"/>
              <w:rPr>
                <w:rFonts w:hint="default" w:ascii="Times New Roman" w:hAnsi="Times New Roman" w:eastAsia="宋体" w:cs="Times New Roman"/>
                <w:color w:val="auto"/>
                <w:kern w:val="2"/>
                <w:sz w:val="21"/>
                <w:szCs w:val="21"/>
                <w:highlight w:val="none"/>
                <w:lang w:val="en-US" w:eastAsia="zh-CN" w:bidi="ar-SA"/>
              </w:rPr>
            </w:pPr>
          </w:p>
          <w:p w14:paraId="0E3DEAE7">
            <w:pPr>
              <w:pStyle w:val="93"/>
              <w:spacing w:before="68" w:line="239" w:lineRule="auto"/>
              <w:ind w:left="24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14.1.1</w:t>
            </w:r>
          </w:p>
        </w:tc>
        <w:tc>
          <w:tcPr>
            <w:tcW w:w="7304" w:type="dxa"/>
            <w:noWrap w:val="0"/>
            <w:vAlign w:val="top"/>
          </w:tcPr>
          <w:p w14:paraId="78CC7E21">
            <w:pPr>
              <w:pStyle w:val="93"/>
              <w:keepNext w:val="0"/>
              <w:keepLines w:val="0"/>
              <w:pageBreakBefore w:val="0"/>
              <w:widowControl/>
              <w:tabs>
                <w:tab w:val="left" w:pos="7350"/>
                <w:tab w:val="left" w:pos="7560"/>
              </w:tabs>
              <w:kinsoku w:val="0"/>
              <w:wordWrap/>
              <w:overflowPunct/>
              <w:topLinePunct w:val="0"/>
              <w:autoSpaceDE/>
              <w:autoSpaceDN/>
              <w:bidi w:val="0"/>
              <w:adjustRightInd w:val="0"/>
              <w:snapToGrid w:val="0"/>
              <w:spacing w:line="344" w:lineRule="auto"/>
              <w:ind w:left="0" w:right="0" w:rightChars="0" w:firstLine="0"/>
              <w:jc w:val="left"/>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C042B3E">
            <w:pPr>
              <w:pStyle w:val="93"/>
              <w:keepNext w:val="0"/>
              <w:keepLines w:val="0"/>
              <w:pageBreakBefore w:val="0"/>
              <w:widowControl/>
              <w:tabs>
                <w:tab w:val="left" w:pos="7350"/>
                <w:tab w:val="left" w:pos="7560"/>
              </w:tabs>
              <w:kinsoku w:val="0"/>
              <w:wordWrap/>
              <w:overflowPunct/>
              <w:topLinePunct w:val="0"/>
              <w:autoSpaceDE/>
              <w:autoSpaceDN/>
              <w:bidi w:val="0"/>
              <w:adjustRightInd w:val="0"/>
              <w:snapToGrid w:val="0"/>
              <w:spacing w:line="344" w:lineRule="auto"/>
              <w:ind w:left="0" w:leftChars="0" w:right="0" w:rightChars="0"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对于路面养护工程及桥梁维修养护工程，承包人必须按《公路养护工程质量检验评定标准》(JTG5220-2020)规定划分养护单元，并按照其规定的检查方法和频率进行自检和评定。</w:t>
            </w:r>
          </w:p>
        </w:tc>
      </w:tr>
      <w:tr w14:paraId="73BC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48111612">
            <w:pPr>
              <w:spacing w:line="310" w:lineRule="auto"/>
              <w:rPr>
                <w:rFonts w:hint="default" w:ascii="Times New Roman" w:hAnsi="Times New Roman" w:eastAsia="宋体" w:cs="Times New Roman"/>
                <w:color w:val="auto"/>
                <w:kern w:val="2"/>
                <w:sz w:val="21"/>
                <w:szCs w:val="21"/>
                <w:highlight w:val="none"/>
                <w:lang w:val="en-US" w:eastAsia="zh-CN" w:bidi="ar-SA"/>
              </w:rPr>
            </w:pPr>
          </w:p>
          <w:p w14:paraId="26662D3D">
            <w:pPr>
              <w:pStyle w:val="93"/>
              <w:spacing w:before="69"/>
              <w:ind w:left="145"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r>
              <w:rPr>
                <w:rFonts w:hint="eastAsia" w:ascii="Times New Roman" w:hAnsi="Times New Roman" w:cs="Times New Roman"/>
                <w:color w:val="auto"/>
                <w:kern w:val="2"/>
                <w:sz w:val="21"/>
                <w:szCs w:val="21"/>
                <w:highlight w:val="none"/>
                <w:lang w:val="en-US" w:eastAsia="zh-CN" w:bidi="ar-SA"/>
              </w:rPr>
              <w:t>9</w:t>
            </w:r>
          </w:p>
        </w:tc>
        <w:tc>
          <w:tcPr>
            <w:tcW w:w="1111" w:type="dxa"/>
            <w:noWrap w:val="0"/>
            <w:vAlign w:val="top"/>
          </w:tcPr>
          <w:p w14:paraId="557A2778">
            <w:pPr>
              <w:spacing w:line="311" w:lineRule="auto"/>
              <w:rPr>
                <w:rFonts w:hint="default" w:ascii="Times New Roman" w:hAnsi="Times New Roman" w:eastAsia="宋体" w:cs="Times New Roman"/>
                <w:color w:val="auto"/>
                <w:kern w:val="2"/>
                <w:sz w:val="21"/>
                <w:szCs w:val="21"/>
                <w:highlight w:val="none"/>
                <w:lang w:val="en-US" w:eastAsia="zh-CN" w:bidi="ar-SA"/>
              </w:rPr>
            </w:pPr>
          </w:p>
          <w:p w14:paraId="1346DB70">
            <w:pPr>
              <w:pStyle w:val="93"/>
              <w:spacing w:before="68" w:line="239" w:lineRule="auto"/>
              <w:ind w:left="34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14.6</w:t>
            </w:r>
          </w:p>
        </w:tc>
        <w:tc>
          <w:tcPr>
            <w:tcW w:w="7304" w:type="dxa"/>
            <w:noWrap w:val="0"/>
            <w:vAlign w:val="top"/>
          </w:tcPr>
          <w:p w14:paraId="19F4AD51">
            <w:pPr>
              <w:pStyle w:val="93"/>
              <w:spacing w:before="129" w:line="281" w:lineRule="auto"/>
              <w:ind w:left="112" w:leftChars="0" w:right="142" w:rightChars="0" w:firstLine="22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承包人设立试验室的相关要求：必须满足《辽宁省公路水运工程工地试验室管理办法（试行）》（辽交安质规[2024]16号）</w:t>
            </w:r>
          </w:p>
        </w:tc>
      </w:tr>
      <w:tr w14:paraId="045A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3BC469A5">
            <w:pPr>
              <w:spacing w:line="321" w:lineRule="auto"/>
              <w:rPr>
                <w:rFonts w:hint="default" w:ascii="Times New Roman" w:hAnsi="Times New Roman" w:eastAsia="宋体" w:cs="Times New Roman"/>
                <w:color w:val="auto"/>
                <w:kern w:val="2"/>
                <w:sz w:val="21"/>
                <w:szCs w:val="21"/>
                <w:highlight w:val="none"/>
                <w:lang w:val="en-US" w:eastAsia="zh-CN" w:bidi="ar-SA"/>
              </w:rPr>
            </w:pPr>
          </w:p>
          <w:p w14:paraId="3F76C36E">
            <w:pPr>
              <w:pStyle w:val="93"/>
              <w:spacing w:before="69"/>
              <w:ind w:left="145" w:left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50</w:t>
            </w:r>
          </w:p>
        </w:tc>
        <w:tc>
          <w:tcPr>
            <w:tcW w:w="1111" w:type="dxa"/>
            <w:shd w:val="clear" w:color="auto" w:fill="auto"/>
            <w:noWrap w:val="0"/>
            <w:vAlign w:val="top"/>
          </w:tcPr>
          <w:p w14:paraId="0FCC728A">
            <w:pPr>
              <w:spacing w:line="322" w:lineRule="auto"/>
              <w:rPr>
                <w:rFonts w:hint="default" w:ascii="Times New Roman" w:hAnsi="Times New Roman" w:eastAsia="宋体" w:cs="Times New Roman"/>
                <w:color w:val="auto"/>
                <w:kern w:val="2"/>
                <w:sz w:val="21"/>
                <w:szCs w:val="21"/>
                <w:highlight w:val="none"/>
                <w:lang w:val="en-US" w:eastAsia="zh-CN" w:bidi="ar-SA"/>
              </w:rPr>
            </w:pPr>
          </w:p>
          <w:p w14:paraId="332906DD">
            <w:pPr>
              <w:pStyle w:val="93"/>
              <w:spacing w:before="68" w:line="239" w:lineRule="auto"/>
              <w:ind w:left="24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15.3.4</w:t>
            </w:r>
          </w:p>
        </w:tc>
        <w:tc>
          <w:tcPr>
            <w:tcW w:w="7304" w:type="dxa"/>
            <w:shd w:val="clear" w:color="auto" w:fill="auto"/>
            <w:noWrap w:val="0"/>
            <w:vAlign w:val="top"/>
          </w:tcPr>
          <w:p w14:paraId="58BEB533">
            <w:pPr>
              <w:pStyle w:val="93"/>
              <w:spacing w:before="160" w:line="272" w:lineRule="auto"/>
              <w:ind w:right="568"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本项目设计变更的程序按行业主管部门、项目管理法人制定的规定执行。 除设计变更外，其他合同工程费用增减的审批程序参照上述规定的执行。</w:t>
            </w:r>
          </w:p>
        </w:tc>
      </w:tr>
      <w:tr w14:paraId="7B5C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27A9FD73">
            <w:pPr>
              <w:spacing w:line="325" w:lineRule="auto"/>
              <w:rPr>
                <w:rFonts w:hint="default" w:ascii="Times New Roman" w:hAnsi="Times New Roman" w:eastAsia="宋体" w:cs="Times New Roman"/>
                <w:color w:val="auto"/>
                <w:kern w:val="2"/>
                <w:sz w:val="21"/>
                <w:szCs w:val="21"/>
                <w:highlight w:val="none"/>
                <w:lang w:val="en-US" w:eastAsia="zh-CN" w:bidi="ar-SA"/>
              </w:rPr>
            </w:pPr>
          </w:p>
          <w:p w14:paraId="3F8F1446">
            <w:pPr>
              <w:spacing w:line="325" w:lineRule="auto"/>
              <w:rPr>
                <w:rFonts w:hint="default" w:ascii="Times New Roman" w:hAnsi="Times New Roman" w:eastAsia="宋体" w:cs="Times New Roman"/>
                <w:color w:val="auto"/>
                <w:kern w:val="2"/>
                <w:sz w:val="21"/>
                <w:szCs w:val="21"/>
                <w:highlight w:val="none"/>
                <w:lang w:val="en-US" w:eastAsia="zh-CN" w:bidi="ar-SA"/>
              </w:rPr>
            </w:pPr>
          </w:p>
          <w:p w14:paraId="27ECA522">
            <w:pPr>
              <w:pStyle w:val="93"/>
              <w:spacing w:before="69"/>
              <w:ind w:left="145" w:leftChars="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1</w:t>
            </w:r>
          </w:p>
        </w:tc>
        <w:tc>
          <w:tcPr>
            <w:tcW w:w="1111" w:type="dxa"/>
            <w:shd w:val="clear" w:color="auto" w:fill="auto"/>
            <w:noWrap w:val="0"/>
            <w:vAlign w:val="top"/>
          </w:tcPr>
          <w:p w14:paraId="7DCCC236">
            <w:pPr>
              <w:spacing w:line="325" w:lineRule="auto"/>
              <w:rPr>
                <w:rFonts w:hint="default" w:ascii="Times New Roman" w:hAnsi="Times New Roman" w:eastAsia="宋体" w:cs="Times New Roman"/>
                <w:color w:val="auto"/>
                <w:kern w:val="2"/>
                <w:sz w:val="21"/>
                <w:szCs w:val="21"/>
                <w:highlight w:val="none"/>
                <w:lang w:val="en-US" w:eastAsia="zh-CN" w:bidi="ar-SA"/>
              </w:rPr>
            </w:pPr>
          </w:p>
          <w:p w14:paraId="78BEFFDB">
            <w:pPr>
              <w:spacing w:line="326" w:lineRule="auto"/>
              <w:rPr>
                <w:rFonts w:hint="default" w:ascii="Times New Roman" w:hAnsi="Times New Roman" w:eastAsia="宋体" w:cs="Times New Roman"/>
                <w:color w:val="auto"/>
                <w:kern w:val="2"/>
                <w:sz w:val="21"/>
                <w:szCs w:val="21"/>
                <w:highlight w:val="none"/>
                <w:lang w:val="en-US" w:eastAsia="zh-CN" w:bidi="ar-SA"/>
              </w:rPr>
            </w:pPr>
          </w:p>
          <w:p w14:paraId="0E279062">
            <w:pPr>
              <w:pStyle w:val="93"/>
              <w:spacing w:before="68" w:line="239" w:lineRule="auto"/>
              <w:ind w:left="24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15.3.5</w:t>
            </w:r>
          </w:p>
        </w:tc>
        <w:tc>
          <w:tcPr>
            <w:tcW w:w="7304" w:type="dxa"/>
            <w:shd w:val="clear" w:color="auto" w:fill="auto"/>
            <w:noWrap w:val="0"/>
            <w:vAlign w:val="top"/>
          </w:tcPr>
          <w:p w14:paraId="4ED065AD">
            <w:pPr>
              <w:pStyle w:val="93"/>
              <w:spacing w:before="170" w:line="348" w:lineRule="auto"/>
              <w:ind w:right="20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除本合同第5.2款、第15.4款、第16.1款约定外，“承包人工程施工价款”不 予调整。但如承包人减少工程量的变更未办理相关手续，发包人有权从“承包人工程施 工价款"中扣减相关费用。本项目工程变更应按本款规定办理相关手续。</w:t>
            </w:r>
          </w:p>
        </w:tc>
      </w:tr>
      <w:tr w14:paraId="2183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4FC78BCA">
            <w:pPr>
              <w:spacing w:line="252" w:lineRule="auto"/>
              <w:rPr>
                <w:rFonts w:hint="default" w:ascii="Times New Roman" w:hAnsi="Times New Roman" w:eastAsia="宋体" w:cs="Times New Roman"/>
                <w:color w:val="auto"/>
                <w:kern w:val="2"/>
                <w:sz w:val="21"/>
                <w:szCs w:val="21"/>
                <w:highlight w:val="none"/>
                <w:lang w:val="en-US" w:eastAsia="zh-CN" w:bidi="ar-SA"/>
              </w:rPr>
            </w:pPr>
          </w:p>
          <w:p w14:paraId="0ED09064">
            <w:pPr>
              <w:spacing w:line="252" w:lineRule="auto"/>
              <w:rPr>
                <w:rFonts w:hint="default" w:ascii="Times New Roman" w:hAnsi="Times New Roman" w:eastAsia="宋体" w:cs="Times New Roman"/>
                <w:color w:val="auto"/>
                <w:kern w:val="2"/>
                <w:sz w:val="21"/>
                <w:szCs w:val="21"/>
                <w:highlight w:val="none"/>
                <w:lang w:val="en-US" w:eastAsia="zh-CN" w:bidi="ar-SA"/>
              </w:rPr>
            </w:pPr>
          </w:p>
          <w:p w14:paraId="7DE570AA">
            <w:pPr>
              <w:spacing w:line="252" w:lineRule="auto"/>
              <w:rPr>
                <w:rFonts w:hint="default" w:ascii="Times New Roman" w:hAnsi="Times New Roman" w:eastAsia="宋体" w:cs="Times New Roman"/>
                <w:color w:val="auto"/>
                <w:kern w:val="2"/>
                <w:sz w:val="21"/>
                <w:szCs w:val="21"/>
                <w:highlight w:val="none"/>
                <w:lang w:val="en-US" w:eastAsia="zh-CN" w:bidi="ar-SA"/>
              </w:rPr>
            </w:pPr>
          </w:p>
          <w:p w14:paraId="6B324907">
            <w:pPr>
              <w:spacing w:line="252" w:lineRule="auto"/>
              <w:rPr>
                <w:rFonts w:hint="default" w:ascii="Times New Roman" w:hAnsi="Times New Roman" w:eastAsia="宋体" w:cs="Times New Roman"/>
                <w:color w:val="auto"/>
                <w:kern w:val="2"/>
                <w:sz w:val="21"/>
                <w:szCs w:val="21"/>
                <w:highlight w:val="none"/>
                <w:lang w:val="en-US" w:eastAsia="zh-CN" w:bidi="ar-SA"/>
              </w:rPr>
            </w:pPr>
          </w:p>
          <w:p w14:paraId="3D7A1981">
            <w:pPr>
              <w:spacing w:line="252" w:lineRule="auto"/>
              <w:rPr>
                <w:rFonts w:hint="default" w:ascii="Times New Roman" w:hAnsi="Times New Roman" w:eastAsia="宋体" w:cs="Times New Roman"/>
                <w:color w:val="auto"/>
                <w:kern w:val="2"/>
                <w:sz w:val="21"/>
                <w:szCs w:val="21"/>
                <w:highlight w:val="none"/>
                <w:lang w:val="en-US" w:eastAsia="zh-CN" w:bidi="ar-SA"/>
              </w:rPr>
            </w:pPr>
          </w:p>
          <w:p w14:paraId="6444B324">
            <w:pPr>
              <w:spacing w:line="252" w:lineRule="auto"/>
              <w:rPr>
                <w:rFonts w:hint="default" w:ascii="Times New Roman" w:hAnsi="Times New Roman" w:eastAsia="宋体" w:cs="Times New Roman"/>
                <w:color w:val="auto"/>
                <w:kern w:val="2"/>
                <w:sz w:val="21"/>
                <w:szCs w:val="21"/>
                <w:highlight w:val="none"/>
                <w:lang w:val="en-US" w:eastAsia="zh-CN" w:bidi="ar-SA"/>
              </w:rPr>
            </w:pPr>
          </w:p>
          <w:p w14:paraId="578F816E">
            <w:pPr>
              <w:spacing w:line="252" w:lineRule="auto"/>
              <w:rPr>
                <w:rFonts w:hint="default" w:ascii="Times New Roman" w:hAnsi="Times New Roman" w:eastAsia="宋体" w:cs="Times New Roman"/>
                <w:color w:val="auto"/>
                <w:kern w:val="2"/>
                <w:sz w:val="21"/>
                <w:szCs w:val="21"/>
                <w:highlight w:val="none"/>
                <w:lang w:val="en-US" w:eastAsia="zh-CN" w:bidi="ar-SA"/>
              </w:rPr>
            </w:pPr>
          </w:p>
          <w:p w14:paraId="75A7715E">
            <w:pPr>
              <w:spacing w:line="252" w:lineRule="auto"/>
              <w:rPr>
                <w:rFonts w:hint="default" w:ascii="Times New Roman" w:hAnsi="Times New Roman" w:eastAsia="宋体" w:cs="Times New Roman"/>
                <w:color w:val="auto"/>
                <w:kern w:val="2"/>
                <w:sz w:val="21"/>
                <w:szCs w:val="21"/>
                <w:highlight w:val="none"/>
                <w:lang w:val="en-US" w:eastAsia="zh-CN" w:bidi="ar-SA"/>
              </w:rPr>
            </w:pPr>
          </w:p>
          <w:p w14:paraId="47B0A2AB">
            <w:pPr>
              <w:spacing w:line="252" w:lineRule="auto"/>
              <w:rPr>
                <w:rFonts w:hint="default" w:ascii="Times New Roman" w:hAnsi="Times New Roman" w:eastAsia="宋体" w:cs="Times New Roman"/>
                <w:color w:val="auto"/>
                <w:kern w:val="2"/>
                <w:sz w:val="21"/>
                <w:szCs w:val="21"/>
                <w:highlight w:val="none"/>
                <w:lang w:val="en-US" w:eastAsia="zh-CN" w:bidi="ar-SA"/>
              </w:rPr>
            </w:pPr>
          </w:p>
          <w:p w14:paraId="74D278EF">
            <w:pPr>
              <w:spacing w:line="253" w:lineRule="auto"/>
              <w:rPr>
                <w:rFonts w:hint="default" w:ascii="Times New Roman" w:hAnsi="Times New Roman" w:eastAsia="宋体" w:cs="Times New Roman"/>
                <w:color w:val="auto"/>
                <w:kern w:val="2"/>
                <w:sz w:val="21"/>
                <w:szCs w:val="21"/>
                <w:highlight w:val="none"/>
                <w:lang w:val="en-US" w:eastAsia="zh-CN" w:bidi="ar-SA"/>
              </w:rPr>
            </w:pPr>
          </w:p>
          <w:p w14:paraId="02E814FB">
            <w:pPr>
              <w:spacing w:line="253" w:lineRule="auto"/>
              <w:rPr>
                <w:rFonts w:hint="default" w:ascii="Times New Roman" w:hAnsi="Times New Roman" w:eastAsia="宋体" w:cs="Times New Roman"/>
                <w:color w:val="auto"/>
                <w:kern w:val="2"/>
                <w:sz w:val="21"/>
                <w:szCs w:val="21"/>
                <w:highlight w:val="none"/>
                <w:lang w:val="en-US" w:eastAsia="zh-CN" w:bidi="ar-SA"/>
              </w:rPr>
            </w:pPr>
          </w:p>
          <w:p w14:paraId="1F6E7D3C">
            <w:pPr>
              <w:spacing w:line="253" w:lineRule="auto"/>
              <w:rPr>
                <w:rFonts w:hint="default" w:ascii="Times New Roman" w:hAnsi="Times New Roman" w:eastAsia="宋体" w:cs="Times New Roman"/>
                <w:color w:val="auto"/>
                <w:kern w:val="2"/>
                <w:sz w:val="21"/>
                <w:szCs w:val="21"/>
                <w:highlight w:val="none"/>
                <w:lang w:val="en-US" w:eastAsia="zh-CN" w:bidi="ar-SA"/>
              </w:rPr>
            </w:pPr>
          </w:p>
          <w:p w14:paraId="78F6C01B">
            <w:pPr>
              <w:pStyle w:val="93"/>
              <w:spacing w:before="68"/>
              <w:ind w:left="145" w:left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52</w:t>
            </w:r>
          </w:p>
        </w:tc>
        <w:tc>
          <w:tcPr>
            <w:tcW w:w="1111" w:type="dxa"/>
            <w:shd w:val="clear" w:color="auto" w:fill="auto"/>
            <w:noWrap w:val="0"/>
            <w:vAlign w:val="top"/>
          </w:tcPr>
          <w:p w14:paraId="3C103D01">
            <w:pPr>
              <w:spacing w:line="252" w:lineRule="auto"/>
              <w:rPr>
                <w:rFonts w:hint="default" w:ascii="Times New Roman" w:hAnsi="Times New Roman" w:eastAsia="宋体" w:cs="Times New Roman"/>
                <w:color w:val="auto"/>
                <w:kern w:val="2"/>
                <w:sz w:val="21"/>
                <w:szCs w:val="21"/>
                <w:highlight w:val="none"/>
                <w:lang w:val="en-US" w:eastAsia="zh-CN" w:bidi="ar-SA"/>
              </w:rPr>
            </w:pPr>
          </w:p>
          <w:p w14:paraId="1570F903">
            <w:pPr>
              <w:spacing w:line="252" w:lineRule="auto"/>
              <w:rPr>
                <w:rFonts w:hint="default" w:ascii="Times New Roman" w:hAnsi="Times New Roman" w:eastAsia="宋体" w:cs="Times New Roman"/>
                <w:color w:val="auto"/>
                <w:kern w:val="2"/>
                <w:sz w:val="21"/>
                <w:szCs w:val="21"/>
                <w:highlight w:val="none"/>
                <w:lang w:val="en-US" w:eastAsia="zh-CN" w:bidi="ar-SA"/>
              </w:rPr>
            </w:pPr>
          </w:p>
          <w:p w14:paraId="4B6D7A98">
            <w:pPr>
              <w:spacing w:line="252" w:lineRule="auto"/>
              <w:rPr>
                <w:rFonts w:hint="default" w:ascii="Times New Roman" w:hAnsi="Times New Roman" w:eastAsia="宋体" w:cs="Times New Roman"/>
                <w:color w:val="auto"/>
                <w:kern w:val="2"/>
                <w:sz w:val="21"/>
                <w:szCs w:val="21"/>
                <w:highlight w:val="none"/>
                <w:lang w:val="en-US" w:eastAsia="zh-CN" w:bidi="ar-SA"/>
              </w:rPr>
            </w:pPr>
          </w:p>
          <w:p w14:paraId="4819E2AE">
            <w:pPr>
              <w:spacing w:line="252" w:lineRule="auto"/>
              <w:rPr>
                <w:rFonts w:hint="default" w:ascii="Times New Roman" w:hAnsi="Times New Roman" w:eastAsia="宋体" w:cs="Times New Roman"/>
                <w:color w:val="auto"/>
                <w:kern w:val="2"/>
                <w:sz w:val="21"/>
                <w:szCs w:val="21"/>
                <w:highlight w:val="none"/>
                <w:lang w:val="en-US" w:eastAsia="zh-CN" w:bidi="ar-SA"/>
              </w:rPr>
            </w:pPr>
          </w:p>
          <w:p w14:paraId="4E1A9748">
            <w:pPr>
              <w:spacing w:line="252" w:lineRule="auto"/>
              <w:rPr>
                <w:rFonts w:hint="default" w:ascii="Times New Roman" w:hAnsi="Times New Roman" w:eastAsia="宋体" w:cs="Times New Roman"/>
                <w:color w:val="auto"/>
                <w:kern w:val="2"/>
                <w:sz w:val="21"/>
                <w:szCs w:val="21"/>
                <w:highlight w:val="none"/>
                <w:lang w:val="en-US" w:eastAsia="zh-CN" w:bidi="ar-SA"/>
              </w:rPr>
            </w:pPr>
          </w:p>
          <w:p w14:paraId="3BBFBAFA">
            <w:pPr>
              <w:spacing w:line="252" w:lineRule="auto"/>
              <w:rPr>
                <w:rFonts w:hint="default" w:ascii="Times New Roman" w:hAnsi="Times New Roman" w:eastAsia="宋体" w:cs="Times New Roman"/>
                <w:color w:val="auto"/>
                <w:kern w:val="2"/>
                <w:sz w:val="21"/>
                <w:szCs w:val="21"/>
                <w:highlight w:val="none"/>
                <w:lang w:val="en-US" w:eastAsia="zh-CN" w:bidi="ar-SA"/>
              </w:rPr>
            </w:pPr>
          </w:p>
          <w:p w14:paraId="0DD87BBF">
            <w:pPr>
              <w:spacing w:line="252" w:lineRule="auto"/>
              <w:rPr>
                <w:rFonts w:hint="default" w:ascii="Times New Roman" w:hAnsi="Times New Roman" w:eastAsia="宋体" w:cs="Times New Roman"/>
                <w:color w:val="auto"/>
                <w:kern w:val="2"/>
                <w:sz w:val="21"/>
                <w:szCs w:val="21"/>
                <w:highlight w:val="none"/>
                <w:lang w:val="en-US" w:eastAsia="zh-CN" w:bidi="ar-SA"/>
              </w:rPr>
            </w:pPr>
          </w:p>
          <w:p w14:paraId="76A27786">
            <w:pPr>
              <w:spacing w:line="252" w:lineRule="auto"/>
              <w:rPr>
                <w:rFonts w:hint="default" w:ascii="Times New Roman" w:hAnsi="Times New Roman" w:eastAsia="宋体" w:cs="Times New Roman"/>
                <w:color w:val="auto"/>
                <w:kern w:val="2"/>
                <w:sz w:val="21"/>
                <w:szCs w:val="21"/>
                <w:highlight w:val="none"/>
                <w:lang w:val="en-US" w:eastAsia="zh-CN" w:bidi="ar-SA"/>
              </w:rPr>
            </w:pPr>
          </w:p>
          <w:p w14:paraId="156DE8C2">
            <w:pPr>
              <w:spacing w:line="252" w:lineRule="auto"/>
              <w:rPr>
                <w:rFonts w:hint="default" w:ascii="Times New Roman" w:hAnsi="Times New Roman" w:eastAsia="宋体" w:cs="Times New Roman"/>
                <w:color w:val="auto"/>
                <w:kern w:val="2"/>
                <w:sz w:val="21"/>
                <w:szCs w:val="21"/>
                <w:highlight w:val="none"/>
                <w:lang w:val="en-US" w:eastAsia="zh-CN" w:bidi="ar-SA"/>
              </w:rPr>
            </w:pPr>
          </w:p>
          <w:p w14:paraId="4C5FB378">
            <w:pPr>
              <w:spacing w:line="253" w:lineRule="auto"/>
              <w:rPr>
                <w:rFonts w:hint="default" w:ascii="Times New Roman" w:hAnsi="Times New Roman" w:eastAsia="宋体" w:cs="Times New Roman"/>
                <w:color w:val="auto"/>
                <w:kern w:val="2"/>
                <w:sz w:val="21"/>
                <w:szCs w:val="21"/>
                <w:highlight w:val="none"/>
                <w:lang w:val="en-US" w:eastAsia="zh-CN" w:bidi="ar-SA"/>
              </w:rPr>
            </w:pPr>
          </w:p>
          <w:p w14:paraId="3AD188C1">
            <w:pPr>
              <w:spacing w:line="253" w:lineRule="auto"/>
              <w:rPr>
                <w:rFonts w:hint="default" w:ascii="Times New Roman" w:hAnsi="Times New Roman" w:eastAsia="宋体" w:cs="Times New Roman"/>
                <w:color w:val="auto"/>
                <w:kern w:val="2"/>
                <w:sz w:val="21"/>
                <w:szCs w:val="21"/>
                <w:highlight w:val="none"/>
                <w:lang w:val="en-US" w:eastAsia="zh-CN" w:bidi="ar-SA"/>
              </w:rPr>
            </w:pPr>
          </w:p>
          <w:p w14:paraId="777208DE">
            <w:pPr>
              <w:spacing w:line="253" w:lineRule="auto"/>
              <w:rPr>
                <w:rFonts w:hint="default" w:ascii="Times New Roman" w:hAnsi="Times New Roman" w:eastAsia="宋体" w:cs="Times New Roman"/>
                <w:color w:val="auto"/>
                <w:kern w:val="2"/>
                <w:sz w:val="21"/>
                <w:szCs w:val="21"/>
                <w:highlight w:val="none"/>
                <w:lang w:val="en-US" w:eastAsia="zh-CN" w:bidi="ar-SA"/>
              </w:rPr>
            </w:pPr>
          </w:p>
          <w:p w14:paraId="1AF987AD">
            <w:pPr>
              <w:pStyle w:val="93"/>
              <w:spacing w:before="68" w:line="239" w:lineRule="auto"/>
              <w:ind w:left="341" w:lef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15.4</w:t>
            </w:r>
          </w:p>
        </w:tc>
        <w:tc>
          <w:tcPr>
            <w:tcW w:w="7304" w:type="dxa"/>
            <w:shd w:val="clear" w:color="auto" w:fill="auto"/>
            <w:noWrap w:val="0"/>
            <w:vAlign w:val="top"/>
          </w:tcPr>
          <w:p w14:paraId="73909BDC">
            <w:pPr>
              <w:pStyle w:val="93"/>
              <w:keepNext w:val="0"/>
              <w:keepLines w:val="0"/>
              <w:pageBreakBefore w:val="0"/>
              <w:widowControl w:val="0"/>
              <w:kinsoku/>
              <w:wordWrap/>
              <w:overflowPunct/>
              <w:topLinePunct w:val="0"/>
              <w:autoSpaceDE/>
              <w:autoSpaceDN/>
              <w:bidi w:val="0"/>
              <w:adjustRightInd/>
              <w:snapToGrid/>
              <w:spacing w:before="161" w:line="355"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15.4.1出现施工图设计文件本身存在错误和缺陷，导致施工图设计文件必须修改 和补充所导致的变更，由发包人上报项目管理法人。仅当项目管理法人对上述变  更批准同意后，方可作为本合同工程的变更情形。</w:t>
            </w:r>
          </w:p>
          <w:p w14:paraId="0AB3E549">
            <w:pPr>
              <w:pStyle w:val="93"/>
              <w:keepNext w:val="0"/>
              <w:keepLines w:val="0"/>
              <w:pageBreakBefore w:val="0"/>
              <w:widowControl w:val="0"/>
              <w:kinsoku/>
              <w:wordWrap/>
              <w:overflowPunct/>
              <w:topLinePunct w:val="0"/>
              <w:autoSpaceDE/>
              <w:autoSpaceDN/>
              <w:bidi w:val="0"/>
              <w:adjustRightInd/>
              <w:snapToGrid/>
              <w:spacing w:before="3" w:line="348" w:lineRule="auto"/>
              <w:ind w:left="102" w:right="103" w:firstLine="25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路面修复养护工程施工图设计中的原路病害处治相关工程量，在施工时仅作为 参考。为保证路面工程质量，承包人在实际施工中应按照发包人及监理人的合理 要求将原路病害全部处理到位方能进行路面主体施工。确因施工图设计文件存在 问题和错误，导致病害处理工程量变化较大的，经监理人、设计人和发包人确认 无误，由发包人上报项目管理法人，仅当项目管理法人对上述变更批准同意后， 方可作为本合同工程的变更情形，否则，不予变更。</w:t>
            </w:r>
          </w:p>
          <w:p w14:paraId="66513BB9">
            <w:pPr>
              <w:pStyle w:val="93"/>
              <w:keepNext w:val="0"/>
              <w:keepLines w:val="0"/>
              <w:pageBreakBefore w:val="0"/>
              <w:widowControl w:val="0"/>
              <w:kinsoku/>
              <w:wordWrap/>
              <w:overflowPunct/>
              <w:topLinePunct w:val="0"/>
              <w:autoSpaceDE/>
              <w:autoSpaceDN/>
              <w:bidi w:val="0"/>
              <w:adjustRightInd/>
              <w:snapToGrid/>
              <w:spacing w:before="1" w:line="364" w:lineRule="auto"/>
              <w:ind w:right="315"/>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15.4.2本合同工程变更工作(增或减)的单价，由承包人提出并经监理人、发 包人确认后上报项目管理法人，项目管理法人按以下约定处理：</w:t>
            </w:r>
          </w:p>
          <w:p w14:paraId="070319D3">
            <w:pPr>
              <w:pStyle w:val="93"/>
              <w:keepNext w:val="0"/>
              <w:keepLines w:val="0"/>
              <w:pageBreakBefore w:val="0"/>
              <w:widowControl w:val="0"/>
              <w:kinsoku/>
              <w:wordWrap/>
              <w:overflowPunct/>
              <w:topLinePunct w:val="0"/>
              <w:autoSpaceDE/>
              <w:autoSpaceDN/>
              <w:bidi w:val="0"/>
              <w:adjustRightInd/>
              <w:snapToGrid/>
              <w:spacing w:before="1" w:line="217"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15.4.2.1已标价工程量清单中有适用于变更工作的子目的，采用该子目的单价。</w:t>
            </w:r>
          </w:p>
          <w:p w14:paraId="5C784BA4">
            <w:pPr>
              <w:pStyle w:val="93"/>
              <w:keepNext w:val="0"/>
              <w:keepLines w:val="0"/>
              <w:pageBreakBefore w:val="0"/>
              <w:widowControl w:val="0"/>
              <w:kinsoku/>
              <w:wordWrap/>
              <w:overflowPunct/>
              <w:topLinePunct w:val="0"/>
              <w:autoSpaceDE/>
              <w:autoSpaceDN/>
              <w:bidi w:val="0"/>
              <w:adjustRightInd/>
              <w:snapToGrid/>
              <w:spacing w:before="141" w:line="285" w:lineRule="auto"/>
              <w:ind w:right="94"/>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15.4.2.2已标价工程量清单中无适用于变更工作的子目的，可在合理范围内参 照已标价子目单价，根据各级政府部门、交通运输(或住建)主管部门及其造价</w:t>
            </w:r>
          </w:p>
          <w:p w14:paraId="358AF41A">
            <w:pPr>
              <w:pStyle w:val="93"/>
              <w:keepNext w:val="0"/>
              <w:keepLines w:val="0"/>
              <w:pageBreakBefore w:val="0"/>
              <w:widowControl w:val="0"/>
              <w:kinsoku/>
              <w:wordWrap/>
              <w:overflowPunct/>
              <w:topLinePunct w:val="0"/>
              <w:autoSpaceDE/>
              <w:autoSpaceDN/>
              <w:bidi w:val="0"/>
              <w:adjustRightInd/>
              <w:snapToGrid/>
              <w:spacing w:before="146" w:line="218" w:lineRule="auto"/>
              <w:ind w:left="102"/>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管理部门、财政主管部门、税务主管部门等现行的预算编制办法、定额、计价计 费规则等进行审核，并综合承包人、监理人、发包人等各方意见后确定变更工作的单价。</w:t>
            </w:r>
          </w:p>
          <w:p w14:paraId="4803BCCD">
            <w:pPr>
              <w:pStyle w:val="93"/>
              <w:keepNext w:val="0"/>
              <w:keepLines w:val="0"/>
              <w:pageBreakBefore w:val="0"/>
              <w:widowControl w:val="0"/>
              <w:kinsoku/>
              <w:wordWrap/>
              <w:overflowPunct/>
              <w:topLinePunct w:val="0"/>
              <w:autoSpaceDE/>
              <w:autoSpaceDN/>
              <w:bidi w:val="0"/>
              <w:adjustRightInd/>
              <w:snapToGrid/>
              <w:spacing w:before="171" w:line="276" w:lineRule="auto"/>
              <w:ind w:right="129"/>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15.4.3根据变更工程量(增或减)、变更单价计算“承包人工程施工价款”的变 更总价，并对“承包人工程施工价款”进行调整。</w:t>
            </w:r>
          </w:p>
          <w:p w14:paraId="691D4A0E">
            <w:pPr>
              <w:pStyle w:val="93"/>
              <w:keepNext w:val="0"/>
              <w:keepLines w:val="0"/>
              <w:pageBreakBefore w:val="0"/>
              <w:widowControl w:val="0"/>
              <w:kinsoku/>
              <w:wordWrap/>
              <w:overflowPunct/>
              <w:topLinePunct w:val="0"/>
              <w:autoSpaceDE/>
              <w:autoSpaceDN/>
              <w:bidi w:val="0"/>
              <w:adjustRightInd/>
              <w:snapToGrid/>
              <w:spacing w:before="153" w:line="267" w:lineRule="auto"/>
              <w:ind w:right="10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15.4.4如审计方对变更引起的“承包人工程施工价款”调整出具了审计意见，则 以审计方最终核定的金额为准。</w:t>
            </w:r>
          </w:p>
        </w:tc>
      </w:tr>
      <w:tr w14:paraId="4842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center"/>
          </w:tcPr>
          <w:p w14:paraId="304C156B">
            <w:pPr>
              <w:pageBreakBefore w:val="0"/>
              <w:kinsoku/>
              <w:wordWrap w:val="0"/>
              <w:bidi w:val="0"/>
              <w:snapToGrid w:val="0"/>
              <w:spacing w:line="360" w:lineRule="atLeast"/>
              <w:jc w:val="center"/>
              <w:rPr>
                <w:rFonts w:hint="eastAsia" w:ascii="Times New Roman" w:hAnsi="Times New Roman" w:cs="Times New Roman"/>
                <w:color w:val="auto"/>
                <w:kern w:val="2"/>
                <w:sz w:val="21"/>
                <w:szCs w:val="21"/>
                <w:highlight w:val="none"/>
                <w:lang w:val="en-US" w:eastAsia="zh-CN" w:bidi="ar-SA"/>
              </w:rPr>
            </w:pPr>
          </w:p>
        </w:tc>
        <w:tc>
          <w:tcPr>
            <w:tcW w:w="1111" w:type="dxa"/>
            <w:shd w:val="clear" w:color="auto" w:fill="auto"/>
            <w:noWrap w:val="0"/>
            <w:vAlign w:val="center"/>
          </w:tcPr>
          <w:p w14:paraId="6C17ED6F">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p>
        </w:tc>
        <w:tc>
          <w:tcPr>
            <w:tcW w:w="7304" w:type="dxa"/>
            <w:shd w:val="clear" w:color="auto" w:fill="auto"/>
            <w:noWrap w:val="0"/>
            <w:vAlign w:val="center"/>
          </w:tcPr>
          <w:p w14:paraId="5C710C83">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p>
        </w:tc>
      </w:tr>
      <w:tr w14:paraId="1414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center"/>
          </w:tcPr>
          <w:p w14:paraId="48EC6915">
            <w:pPr>
              <w:pageBreakBefore w:val="0"/>
              <w:kinsoku/>
              <w:wordWrap w:val="0"/>
              <w:bidi w:val="0"/>
              <w:snapToGrid w:val="0"/>
              <w:spacing w:line="36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3</w:t>
            </w:r>
          </w:p>
        </w:tc>
        <w:tc>
          <w:tcPr>
            <w:tcW w:w="1111" w:type="dxa"/>
            <w:shd w:val="clear" w:color="auto" w:fill="auto"/>
            <w:noWrap w:val="0"/>
            <w:vAlign w:val="center"/>
          </w:tcPr>
          <w:p w14:paraId="3B2FE3EE">
            <w:pPr>
              <w:pageBreakBefore w:val="0"/>
              <w:kinsoku/>
              <w:wordWrap w:val="0"/>
              <w:bidi w:val="0"/>
              <w:snapToGrid w:val="0"/>
              <w:spacing w:line="36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15.5.2</w:t>
            </w:r>
          </w:p>
        </w:tc>
        <w:tc>
          <w:tcPr>
            <w:tcW w:w="7304" w:type="dxa"/>
            <w:shd w:val="clear" w:color="auto" w:fill="auto"/>
            <w:noWrap w:val="0"/>
            <w:vAlign w:val="center"/>
          </w:tcPr>
          <w:p w14:paraId="4FE1811C">
            <w:pPr>
              <w:pageBreakBefore w:val="0"/>
              <w:kinsoku/>
              <w:wordWrap w:val="0"/>
              <w:bidi w:val="0"/>
              <w:snapToGrid w:val="0"/>
              <w:spacing w:line="360" w:lineRule="atLeast"/>
              <w:ind w:firstLine="239" w:firstLineChars="114"/>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承包人提出的合理化建议降低了合同价格或者提高了工程经济效益的，发包人按所节约成本的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%或增加收益的</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%给予奖励</w:t>
            </w:r>
          </w:p>
        </w:tc>
      </w:tr>
      <w:tr w14:paraId="28F4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668BA2A">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54</w:t>
            </w:r>
          </w:p>
        </w:tc>
        <w:tc>
          <w:tcPr>
            <w:tcW w:w="1111" w:type="dxa"/>
            <w:noWrap w:val="0"/>
            <w:vAlign w:val="center"/>
          </w:tcPr>
          <w:p w14:paraId="4795A855">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w:t>
            </w:r>
          </w:p>
        </w:tc>
        <w:tc>
          <w:tcPr>
            <w:tcW w:w="7304" w:type="dxa"/>
            <w:noWrap w:val="0"/>
            <w:vAlign w:val="center"/>
          </w:tcPr>
          <w:p w14:paraId="268D3B09">
            <w:pPr>
              <w:pStyle w:val="26"/>
              <w:pageBreakBefore w:val="0"/>
              <w:tabs>
                <w:tab w:val="clear" w:pos="4153"/>
                <w:tab w:val="clear" w:pos="8306"/>
              </w:tabs>
              <w:kinsoku/>
              <w:wordWrap w:val="0"/>
              <w:bidi w:val="0"/>
              <w:spacing w:line="360" w:lineRule="atLeast"/>
              <w:ind w:firstLine="364" w:firstLineChars="114"/>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32"/>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因物价波动引起的价格调整：</w:t>
            </w:r>
          </w:p>
          <w:p w14:paraId="7465E594">
            <w:pPr>
              <w:pStyle w:val="26"/>
              <w:pageBreakBefore w:val="0"/>
              <w:tabs>
                <w:tab w:val="clear" w:pos="4153"/>
                <w:tab w:val="clear" w:pos="8306"/>
              </w:tabs>
              <w:kinsoku/>
              <w:wordWrap w:val="0"/>
              <w:bidi w:val="0"/>
              <w:spacing w:line="360" w:lineRule="atLeast"/>
              <w:ind w:firstLine="239" w:firstLineChars="114"/>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16.1.1依据辽宁省交通运输厅印发的《辽宁省公路工程材料价差调整管理办法》（辽交公水规[2020]11号）及投资政策等规定，发包人对我省普通干线公路桥梁工程及路线中的波形梁护栏、混凝土护栏等交通安全设施等公路工程养护项目的永久性实体工程所用钢材类、水泥类材料，进行价差调整。</w:t>
            </w:r>
          </w:p>
          <w:p w14:paraId="3A8A9634">
            <w:pPr>
              <w:pStyle w:val="26"/>
              <w:pageBreakBefore w:val="0"/>
              <w:tabs>
                <w:tab w:val="clear" w:pos="4153"/>
                <w:tab w:val="clear" w:pos="8306"/>
              </w:tabs>
              <w:kinsoku/>
              <w:wordWrap w:val="0"/>
              <w:bidi w:val="0"/>
              <w:spacing w:line="360" w:lineRule="atLeast"/>
              <w:ind w:firstLine="239" w:firstLineChars="114"/>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16.1.2其他如工作流程及其他未尽事项详见《辽宁省普通干线公路养护工程项目材料价差调整工作规则》，若项目实施期间遇政策调整，则按新政策执行。</w:t>
            </w:r>
          </w:p>
          <w:p w14:paraId="3A270E87">
            <w:pPr>
              <w:pStyle w:val="26"/>
              <w:pageBreakBefore w:val="0"/>
              <w:tabs>
                <w:tab w:val="clear" w:pos="4153"/>
                <w:tab w:val="clear" w:pos="8306"/>
              </w:tabs>
              <w:kinsoku/>
              <w:wordWrap w:val="0"/>
              <w:bidi w:val="0"/>
              <w:spacing w:line="360" w:lineRule="atLeast"/>
              <w:ind w:firstLine="239" w:firstLineChars="114"/>
              <w:rPr>
                <w:rFonts w:hint="default" w:ascii="Times New Roman" w:hAnsi="Times New Roman" w:cs="Times New Roman"/>
                <w:color w:val="auto"/>
                <w:sz w:val="21"/>
                <w:szCs w:val="21"/>
                <w:highlight w:val="yellow"/>
              </w:rPr>
            </w:pPr>
            <w:r>
              <w:rPr>
                <w:rFonts w:hint="eastAsia" w:ascii="Times New Roman" w:hAnsi="Times New Roman" w:eastAsia="宋体" w:cs="Times New Roman"/>
                <w:color w:val="auto"/>
                <w:kern w:val="2"/>
                <w:sz w:val="21"/>
                <w:szCs w:val="21"/>
                <w:highlight w:val="none"/>
                <w:lang w:val="en-US" w:eastAsia="zh-CN" w:bidi="ar-SA"/>
              </w:rPr>
              <w:t>□合同期内不调价，因物价波动引起的价格调整本合同内不予考虑（由发包人提供的材料物价波动引起的价格调整除外）。</w:t>
            </w:r>
          </w:p>
        </w:tc>
      </w:tr>
      <w:tr w14:paraId="229D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3746A613">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681DC71C">
            <w:pPr>
              <w:pageBreakBefore w:val="0"/>
              <w:kinsoku/>
              <w:wordWrap w:val="0"/>
              <w:bidi w:val="0"/>
              <w:snapToGrid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5</w:t>
            </w:r>
          </w:p>
        </w:tc>
        <w:tc>
          <w:tcPr>
            <w:tcW w:w="1111" w:type="dxa"/>
            <w:noWrap w:val="0"/>
            <w:vAlign w:val="top"/>
          </w:tcPr>
          <w:p w14:paraId="31851AAA">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6C2D1E77">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16.3</w:t>
            </w:r>
          </w:p>
        </w:tc>
        <w:tc>
          <w:tcPr>
            <w:tcW w:w="7304" w:type="dxa"/>
            <w:noWrap w:val="0"/>
            <w:vAlign w:val="top"/>
          </w:tcPr>
          <w:p w14:paraId="0BCBACC0">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除非发包人和监理人专门批准，如果本工程技术规范和图纸标准低于国家和行 业标准，则应按国家和行业标准执行，承包人由此增加的费用，项目管理法人不另行计量支付。</w:t>
            </w:r>
          </w:p>
        </w:tc>
      </w:tr>
      <w:tr w14:paraId="2E73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top"/>
          </w:tcPr>
          <w:p w14:paraId="03615ABF">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6DC14959">
            <w:pPr>
              <w:pageBreakBefore w:val="0"/>
              <w:kinsoku/>
              <w:wordWrap w:val="0"/>
              <w:bidi w:val="0"/>
              <w:snapToGrid w:val="0"/>
              <w:spacing w:line="360" w:lineRule="atLeast"/>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6</w:t>
            </w:r>
          </w:p>
        </w:tc>
        <w:tc>
          <w:tcPr>
            <w:tcW w:w="1111" w:type="dxa"/>
            <w:noWrap w:val="0"/>
            <w:vAlign w:val="top"/>
          </w:tcPr>
          <w:p w14:paraId="3C7C0B90">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237BD086">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17.1.3</w:t>
            </w:r>
          </w:p>
        </w:tc>
        <w:tc>
          <w:tcPr>
            <w:tcW w:w="7304" w:type="dxa"/>
            <w:noWrap w:val="0"/>
            <w:vAlign w:val="top"/>
          </w:tcPr>
          <w:p w14:paraId="2ABD346C">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单价子目已完成工程量按月计量，总价子目按第17.1.5项(总价子目的计量) 计量后，汇入当月计量。</w:t>
            </w:r>
          </w:p>
          <w:p w14:paraId="5FC3AF97">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未按计量周期规定的时间提交计量资料，或因提交的计量资料不齐全、有错误而未按照发包人限定的期限内补充、修改并提交计量资料的，视为承包人违约;承包人提交的计量资料因数据错误多次修改，被发包人或市、省级交通运输主管部门通报批评或影响年度计划投资拨付的，视为承包人违约。</w:t>
            </w:r>
          </w:p>
        </w:tc>
      </w:tr>
      <w:tr w14:paraId="36B7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2C4275A">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77B9C6AA">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085B59B0">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012F43DA">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57210891">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3B479909">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60301EF9">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482E544B">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4D483A68">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3C39C557">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61FDA023">
            <w:pPr>
              <w:pageBreakBefore w:val="0"/>
              <w:kinsoku/>
              <w:wordWrap w:val="0"/>
              <w:bidi w:val="0"/>
              <w:snapToGrid w:val="0"/>
              <w:spacing w:line="360" w:lineRule="atLeast"/>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7</w:t>
            </w:r>
          </w:p>
        </w:tc>
        <w:tc>
          <w:tcPr>
            <w:tcW w:w="1111" w:type="dxa"/>
            <w:noWrap w:val="0"/>
            <w:vAlign w:val="center"/>
          </w:tcPr>
          <w:p w14:paraId="1FF268AE">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18694F88">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2AFC27F1">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60E6EA2D">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7A486330">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0096265D">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0760933E">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4C42C30A">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0C449879">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577FBE11">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p>
          <w:p w14:paraId="5D50D3C7">
            <w:pPr>
              <w:pageBreakBefore w:val="0"/>
              <w:kinsoku/>
              <w:wordWrap w:val="0"/>
              <w:bidi w:val="0"/>
              <w:snapToGrid w:val="0"/>
              <w:spacing w:line="360" w:lineRule="atLeast"/>
              <w:ind w:firstLine="239" w:firstLineChars="114"/>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17.1.4</w:t>
            </w:r>
          </w:p>
        </w:tc>
        <w:tc>
          <w:tcPr>
            <w:tcW w:w="7304" w:type="dxa"/>
            <w:noWrap w:val="0"/>
            <w:vAlign w:val="top"/>
          </w:tcPr>
          <w:p w14:paraId="2F0A91D4">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（1）已标价工程量清单中涉及发包人提供基质沥青、SBS改性沥青的子目价格，是不含“基质沥青出厂价”“、SBS改性沥青”的“承包人工程施工价款”子目单价。</w:t>
            </w:r>
          </w:p>
          <w:p w14:paraId="2A9E417E">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（2）已标价工程量清单中的单价子目工程量为估算工程量。结算工程量是承包人实际完成的，并按合同约定的计量方法进行计量的工程量。除本合同第 15.4款约定外，不因估算工程量和结算工程量的差异引起“承包人工程施工价款”的调整。</w:t>
            </w:r>
          </w:p>
          <w:p w14:paraId="77645C92">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（3）承包人对已完成的工程进行计量，向监理人提交进度付款申请单、已完成工程量报表和有关计量资料。但当计量至已标价工程量清单中的估算工程量时，虽予以计量，但不随进度付款支付。</w:t>
            </w:r>
          </w:p>
          <w:p w14:paraId="0D7A92BD">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对于实际完成工程量超出已标价工程量清单中估算工程量的部分，虽不随进度付款支付，但承包人仍应对超出部分的工程量严格按照计量资料的有关要求编制整理汇总上报监理人和发包人审查核实，以作为编制验收资料的依据。</w:t>
            </w:r>
          </w:p>
          <w:p w14:paraId="42FF4462">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(4)承包人提交的计量资料，对未实际完成或未经监理人确认合格的工程量进行计量的(即超前计量)，视为承包人违约。</w:t>
            </w:r>
          </w:p>
        </w:tc>
      </w:tr>
      <w:tr w14:paraId="77D0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center"/>
          </w:tcPr>
          <w:p w14:paraId="720AC880">
            <w:pPr>
              <w:pageBreakBefore w:val="0"/>
              <w:kinsoku/>
              <w:wordWrap w:val="0"/>
              <w:bidi w:val="0"/>
              <w:snapToGrid w:val="0"/>
              <w:spacing w:line="360" w:lineRule="atLeast"/>
              <w:jc w:val="both"/>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8</w:t>
            </w:r>
          </w:p>
        </w:tc>
        <w:tc>
          <w:tcPr>
            <w:tcW w:w="1111" w:type="dxa"/>
            <w:shd w:val="clear" w:color="auto" w:fill="auto"/>
            <w:noWrap w:val="0"/>
            <w:vAlign w:val="center"/>
          </w:tcPr>
          <w:p w14:paraId="633090BD">
            <w:pPr>
              <w:pageBreakBefore w:val="0"/>
              <w:kinsoku/>
              <w:wordWrap w:val="0"/>
              <w:bidi w:val="0"/>
              <w:snapToGrid w:val="0"/>
              <w:spacing w:line="360" w:lineRule="atLeast"/>
              <w:jc w:val="both"/>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17.1.5</w:t>
            </w:r>
          </w:p>
        </w:tc>
        <w:tc>
          <w:tcPr>
            <w:tcW w:w="7304" w:type="dxa"/>
            <w:shd w:val="clear" w:color="auto" w:fill="auto"/>
            <w:noWrap w:val="0"/>
            <w:vAlign w:val="top"/>
          </w:tcPr>
          <w:p w14:paraId="362333B7">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本项目工程量清单中总价子目的分解和计量原则补充以下约定：</w:t>
            </w:r>
          </w:p>
          <w:p w14:paraId="4CDD7A52">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（1）承包人编制完竣工文件后上交发包人，经发包人确认后对竣工文件编制费（如有）一次性计量。</w:t>
            </w:r>
          </w:p>
          <w:p w14:paraId="248757AE">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（2）施工环保费（如有）、安全生产费用参照工程量完成比例按月计量。</w:t>
            </w:r>
          </w:p>
          <w:p w14:paraId="487826DC">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（3）临时工程与设施费用（如有）在第一次计量时计量总额50%，在完工前最后一次计量时计量总额30%，剩余费用在完工后计量。</w:t>
            </w:r>
          </w:p>
          <w:p w14:paraId="7075D14B">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（4）承包人驻地建设费用（如有）分两次计量。在驻地建设完成且具备生活条件，经代建单位及监理人验收合格后，计量总额的70%，拆除、恢复原貌且经监理人验收合格后计量剩余费用。</w:t>
            </w:r>
          </w:p>
        </w:tc>
      </w:tr>
      <w:tr w14:paraId="0E03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EA92E62">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59</w:t>
            </w:r>
          </w:p>
        </w:tc>
        <w:tc>
          <w:tcPr>
            <w:tcW w:w="1111" w:type="dxa"/>
            <w:noWrap w:val="0"/>
            <w:vAlign w:val="center"/>
          </w:tcPr>
          <w:p w14:paraId="27D5FEBD">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17.2.1（1）</w:t>
            </w:r>
          </w:p>
        </w:tc>
        <w:tc>
          <w:tcPr>
            <w:tcW w:w="7304" w:type="dxa"/>
            <w:noWrap w:val="0"/>
            <w:vAlign w:val="center"/>
          </w:tcPr>
          <w:p w14:paraId="659F2212">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开工预付款金额：</w:t>
            </w:r>
            <w:r>
              <w:rPr>
                <w:rFonts w:hint="eastAsia" w:cs="Times New Roman"/>
                <w:color w:val="auto"/>
                <w:szCs w:val="21"/>
                <w:highlight w:val="none"/>
                <w:lang w:val="en-US" w:eastAsia="zh-CN"/>
              </w:rPr>
              <w:t>10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r>
              <w:rPr>
                <w:rStyle w:val="47"/>
                <w:rFonts w:hint="default" w:ascii="Times New Roman" w:hAnsi="Times New Roman" w:cs="Times New Roman"/>
                <w:color w:val="auto"/>
                <w:szCs w:val="21"/>
                <w:highlight w:val="none"/>
              </w:rPr>
              <w:footnoteReference w:id="37"/>
            </w:r>
            <w:r>
              <w:rPr>
                <w:rFonts w:hint="default" w:ascii="Times New Roman" w:hAnsi="Times New Roman" w:cs="Times New Roman"/>
                <w:color w:val="auto"/>
                <w:szCs w:val="21"/>
                <w:highlight w:val="none"/>
              </w:rPr>
              <w:t>(开工预付款金额应不超过10%签约合同价，预付款的30%存入农民工账户)</w:t>
            </w:r>
          </w:p>
        </w:tc>
      </w:tr>
      <w:tr w14:paraId="5581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4721C976">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w:t>
            </w:r>
          </w:p>
        </w:tc>
        <w:tc>
          <w:tcPr>
            <w:tcW w:w="1111" w:type="dxa"/>
            <w:noWrap w:val="0"/>
            <w:vAlign w:val="center"/>
          </w:tcPr>
          <w:p w14:paraId="523E87E5">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17.2.1（2）</w:t>
            </w:r>
          </w:p>
        </w:tc>
        <w:tc>
          <w:tcPr>
            <w:tcW w:w="7304" w:type="dxa"/>
            <w:noWrap w:val="0"/>
            <w:vAlign w:val="center"/>
          </w:tcPr>
          <w:p w14:paraId="13770402">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材料、设备预付款比例：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等主要材料、设备单据所列费用的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Style w:val="47"/>
                <w:rFonts w:hint="default" w:ascii="Times New Roman" w:hAnsi="Times New Roman" w:cs="Times New Roman"/>
                <w:color w:val="auto"/>
                <w:szCs w:val="21"/>
                <w:highlight w:val="none"/>
              </w:rPr>
              <w:t xml:space="preserve"> </w:t>
            </w:r>
            <w:r>
              <w:rPr>
                <w:rStyle w:val="47"/>
                <w:rFonts w:hint="default" w:ascii="Times New Roman" w:hAnsi="Times New Roman" w:cs="Times New Roman"/>
                <w:color w:val="auto"/>
                <w:szCs w:val="21"/>
                <w:highlight w:val="none"/>
              </w:rPr>
              <w:footnoteReference w:id="38"/>
            </w:r>
          </w:p>
        </w:tc>
      </w:tr>
      <w:tr w14:paraId="6886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0A699227">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11781020">
            <w:pPr>
              <w:pageBreakBefore w:val="0"/>
              <w:kinsoku/>
              <w:wordWrap w:val="0"/>
              <w:bidi w:val="0"/>
              <w:snapToGrid w:val="0"/>
              <w:spacing w:line="360" w:lineRule="atLeas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61</w:t>
            </w:r>
          </w:p>
        </w:tc>
        <w:tc>
          <w:tcPr>
            <w:tcW w:w="1111" w:type="dxa"/>
            <w:shd w:val="clear" w:color="auto" w:fill="auto"/>
            <w:noWrap w:val="0"/>
            <w:vAlign w:val="top"/>
          </w:tcPr>
          <w:p w14:paraId="76690402">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28F35B3B">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17.2.2</w:t>
            </w:r>
          </w:p>
        </w:tc>
        <w:tc>
          <w:tcPr>
            <w:tcW w:w="7304" w:type="dxa"/>
            <w:shd w:val="clear" w:color="auto" w:fill="auto"/>
            <w:noWrap w:val="0"/>
            <w:vAlign w:val="top"/>
          </w:tcPr>
          <w:p w14:paraId="7B550B0A">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承包人无须向发包人提交预付款保函。发包人向承包人支付的预付款，应按照本合同第17.2.1项规定使用，承包人提交的履约保证金对预付款的正常使用承担保证责任。</w:t>
            </w:r>
          </w:p>
        </w:tc>
      </w:tr>
      <w:tr w14:paraId="26EC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6D60CC05">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794D687D">
            <w:pPr>
              <w:pageBreakBefore w:val="0"/>
              <w:kinsoku/>
              <w:wordWrap w:val="0"/>
              <w:bidi w:val="0"/>
              <w:snapToGrid w:val="0"/>
              <w:spacing w:line="360" w:lineRule="atLeas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62</w:t>
            </w:r>
          </w:p>
        </w:tc>
        <w:tc>
          <w:tcPr>
            <w:tcW w:w="1111" w:type="dxa"/>
            <w:shd w:val="clear" w:color="auto" w:fill="auto"/>
            <w:noWrap w:val="0"/>
            <w:vAlign w:val="top"/>
          </w:tcPr>
          <w:p w14:paraId="6BC27EF6">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79C68CBF">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17.2.3</w:t>
            </w:r>
          </w:p>
        </w:tc>
        <w:tc>
          <w:tcPr>
            <w:tcW w:w="7304" w:type="dxa"/>
            <w:shd w:val="clear" w:color="auto" w:fill="auto"/>
            <w:noWrap w:val="0"/>
            <w:vAlign w:val="top"/>
          </w:tcPr>
          <w:p w14:paraId="4B815AA9">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lang w:val="en-US" w:eastAsia="en-US"/>
              </w:rPr>
              <w:t>预付款的扣回与还清:发包人不向承包人支付开工预付款，本项不适用。开工预付款在进度付款证书的累计金额未达到签约合同价的30%之前不予扣回，在达到签约合同价30%之后，并在进度付款证书的累计金额达到签约合同价的50%之前，从进度付款证书中一次性扣回。</w:t>
            </w:r>
          </w:p>
        </w:tc>
      </w:tr>
      <w:tr w14:paraId="6135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4C88AE98">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63</w:t>
            </w:r>
          </w:p>
        </w:tc>
        <w:tc>
          <w:tcPr>
            <w:tcW w:w="1111" w:type="dxa"/>
            <w:noWrap w:val="0"/>
            <w:vAlign w:val="center"/>
          </w:tcPr>
          <w:p w14:paraId="6DFD99AA">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17.3.2</w:t>
            </w:r>
          </w:p>
        </w:tc>
        <w:tc>
          <w:tcPr>
            <w:tcW w:w="7304" w:type="dxa"/>
            <w:noWrap w:val="0"/>
            <w:vAlign w:val="center"/>
          </w:tcPr>
          <w:p w14:paraId="40F901DF">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承包人在每个付款周期末向监理人提交进度付款申请单的份数：</w:t>
            </w:r>
            <w:r>
              <w:rPr>
                <w:rFonts w:hint="eastAsia" w:cs="Times New Roman"/>
                <w:color w:val="auto"/>
                <w:spacing w:val="-2"/>
                <w:szCs w:val="21"/>
                <w:highlight w:val="none"/>
                <w:lang w:val="en-US" w:eastAsia="zh-CN"/>
              </w:rPr>
              <w:t>6</w:t>
            </w:r>
            <w:r>
              <w:rPr>
                <w:rFonts w:hint="default" w:ascii="Times New Roman" w:hAnsi="Times New Roman" w:cs="Times New Roman"/>
                <w:color w:val="auto"/>
                <w:spacing w:val="-2"/>
                <w:szCs w:val="21"/>
                <w:highlight w:val="none"/>
                <w:u w:val="single"/>
              </w:rPr>
              <w:t xml:space="preserve">  </w:t>
            </w:r>
            <w:r>
              <w:rPr>
                <w:rFonts w:hint="default" w:ascii="Times New Roman" w:hAnsi="Times New Roman" w:cs="Times New Roman"/>
                <w:color w:val="auto"/>
                <w:spacing w:val="-2"/>
                <w:szCs w:val="21"/>
                <w:highlight w:val="none"/>
              </w:rPr>
              <w:t>份</w:t>
            </w:r>
          </w:p>
          <w:p w14:paraId="0A9047ED">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承包人提交进度付款申请单时，应附相应的支持性证明文件。进度付款申请单的 内容如下：</w:t>
            </w:r>
          </w:p>
          <w:p w14:paraId="008A8A66">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(1)包括截至本次付款周期末已实施工程的价款，但不包括超过已标价工程量清 单中对应子目合价的工程价款；</w:t>
            </w:r>
          </w:p>
          <w:p w14:paraId="0C5D3AFB">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(2)不包括第15条引起“承包人工程施工价款”调整的变更金额，不包括第16  条引起的材料价差调整金额：因变更引起的“承包人工程施工价款”调整及材料价差调整，在最终结算时增加或扣减；</w:t>
            </w:r>
          </w:p>
          <w:p w14:paraId="7549FFC8">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(3)包括根据第17.2款约定应支付的预付款和扣减的返还预付款；</w:t>
            </w:r>
          </w:p>
          <w:p w14:paraId="516CD2B4">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(4)包括根据第17.4.1项约定应扣减的质量保证金；</w:t>
            </w:r>
          </w:p>
          <w:p w14:paraId="27ACEDA3">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(5)不包括根据第23条应增加和扣减的索赔金额；</w:t>
            </w:r>
          </w:p>
          <w:p w14:paraId="4FDAD101">
            <w:pPr>
              <w:pageBreakBefore w:val="0"/>
              <w:kinsoku/>
              <w:wordWrap w:val="0"/>
              <w:bidi w:val="0"/>
              <w:snapToGrid w:val="0"/>
              <w:spacing w:line="360" w:lineRule="atLeast"/>
              <w:ind w:firstLine="234" w:firstLineChars="114"/>
              <w:rPr>
                <w:rFonts w:hint="default" w:ascii="Times New Roman" w:hAnsi="Times New Roman" w:cs="Times New Roman"/>
                <w:color w:val="auto"/>
                <w:spacing w:val="-2"/>
                <w:szCs w:val="21"/>
                <w:highlight w:val="none"/>
              </w:rPr>
            </w:pPr>
            <w:r>
              <w:rPr>
                <w:rFonts w:hint="default" w:ascii="Times New Roman" w:hAnsi="Times New Roman" w:cs="Times New Roman"/>
                <w:color w:val="auto"/>
                <w:spacing w:val="-2"/>
                <w:szCs w:val="21"/>
                <w:highlight w:val="none"/>
              </w:rPr>
              <w:t>(6)包括根据合同应增加和扣减的其他金额(如有)。</w:t>
            </w:r>
          </w:p>
        </w:tc>
      </w:tr>
      <w:tr w14:paraId="0B34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1555BE02">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64</w:t>
            </w:r>
          </w:p>
        </w:tc>
        <w:tc>
          <w:tcPr>
            <w:tcW w:w="1111" w:type="dxa"/>
            <w:noWrap w:val="0"/>
            <w:vAlign w:val="center"/>
          </w:tcPr>
          <w:p w14:paraId="21D3DD94">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17.3.3（1）</w:t>
            </w:r>
          </w:p>
        </w:tc>
        <w:tc>
          <w:tcPr>
            <w:tcW w:w="7304" w:type="dxa"/>
            <w:noWrap w:val="0"/>
            <w:vAlign w:val="center"/>
          </w:tcPr>
          <w:p w14:paraId="53F28918">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进度付款证书最低限额：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r>
              <w:rPr>
                <w:rStyle w:val="47"/>
                <w:rFonts w:hint="default" w:ascii="Times New Roman" w:hAnsi="Times New Roman" w:cs="Times New Roman"/>
                <w:color w:val="auto"/>
                <w:szCs w:val="21"/>
                <w:highlight w:val="none"/>
              </w:rPr>
              <w:footnoteReference w:id="39"/>
            </w:r>
          </w:p>
        </w:tc>
      </w:tr>
      <w:tr w14:paraId="24C2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1ADB97F">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65</w:t>
            </w:r>
          </w:p>
        </w:tc>
        <w:tc>
          <w:tcPr>
            <w:tcW w:w="1111" w:type="dxa"/>
            <w:noWrap w:val="0"/>
            <w:vAlign w:val="center"/>
          </w:tcPr>
          <w:p w14:paraId="4A778ABF">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17.3.3（2）</w:t>
            </w:r>
          </w:p>
        </w:tc>
        <w:tc>
          <w:tcPr>
            <w:tcW w:w="7304" w:type="dxa"/>
            <w:noWrap w:val="0"/>
            <w:vAlign w:val="center"/>
          </w:tcPr>
          <w:p w14:paraId="5F4B4976">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none"/>
              </w:rPr>
              <w:t xml:space="preserve">逾期付款违约金的利率： 本项目进度付款涉及政府投资资金，进度付款按照国库集中支付等国家及项目所在地省市及地区的政府及各级行业主管部门的相关规定办理  </w:t>
            </w:r>
          </w:p>
        </w:tc>
      </w:tr>
      <w:tr w14:paraId="4C6F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2AAC9221">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1973500B">
            <w:pPr>
              <w:pageBreakBefore w:val="0"/>
              <w:kinsoku/>
              <w:wordWrap w:val="0"/>
              <w:bidi w:val="0"/>
              <w:snapToGrid w:val="0"/>
              <w:spacing w:line="360" w:lineRule="atLeast"/>
              <w:rPr>
                <w:rFonts w:hint="default" w:ascii="Times New Roman" w:hAnsi="Times New Roman" w:eastAsia="宋体" w:cs="Times New Roman"/>
                <w:color w:val="auto"/>
                <w:spacing w:val="-2"/>
                <w:szCs w:val="21"/>
                <w:highlight w:val="none"/>
                <w:lang w:val="en-US" w:eastAsia="zh-CN"/>
              </w:rPr>
            </w:pPr>
            <w:r>
              <w:rPr>
                <w:rFonts w:hint="eastAsia" w:cs="Times New Roman"/>
                <w:color w:val="auto"/>
                <w:spacing w:val="-2"/>
                <w:szCs w:val="21"/>
                <w:highlight w:val="none"/>
                <w:lang w:val="en-US" w:eastAsia="zh-CN"/>
              </w:rPr>
              <w:t>66</w:t>
            </w:r>
          </w:p>
        </w:tc>
        <w:tc>
          <w:tcPr>
            <w:tcW w:w="1111" w:type="dxa"/>
            <w:shd w:val="clear" w:color="auto" w:fill="auto"/>
            <w:noWrap w:val="0"/>
            <w:vAlign w:val="top"/>
          </w:tcPr>
          <w:p w14:paraId="59F31048">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15E2D1A9">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lang w:val="en-US" w:eastAsia="en-US"/>
              </w:rPr>
            </w:pPr>
            <w:r>
              <w:rPr>
                <w:rFonts w:hint="default" w:ascii="Times New Roman" w:hAnsi="Times New Roman" w:eastAsia="宋体" w:cs="Times New Roman"/>
                <w:color w:val="auto"/>
                <w:spacing w:val="-2"/>
                <w:szCs w:val="21"/>
                <w:highlight w:val="none"/>
              </w:rPr>
              <w:t>17.3.5</w:t>
            </w:r>
          </w:p>
        </w:tc>
        <w:tc>
          <w:tcPr>
            <w:tcW w:w="7304" w:type="dxa"/>
            <w:shd w:val="clear" w:color="auto" w:fill="auto"/>
            <w:noWrap w:val="0"/>
            <w:vAlign w:val="top"/>
          </w:tcPr>
          <w:p w14:paraId="09629AFB">
            <w:pPr>
              <w:pageBreakBefore w:val="0"/>
              <w:kinsoku/>
              <w:wordWrap w:val="0"/>
              <w:bidi w:val="0"/>
              <w:snapToGrid w:val="0"/>
              <w:spacing w:line="360" w:lineRule="atLeast"/>
              <w:rPr>
                <w:rFonts w:hint="eastAsia" w:ascii="Times New Roman" w:hAnsi="Times New Roman" w:eastAsia="宋体" w:cs="Times New Roman"/>
                <w:color w:val="auto"/>
                <w:spacing w:val="-2"/>
                <w:szCs w:val="21"/>
                <w:highlight w:val="none"/>
                <w:lang w:val="en-US" w:eastAsia="zh-CN"/>
              </w:rPr>
            </w:pPr>
            <w:r>
              <w:rPr>
                <w:rFonts w:hint="default" w:ascii="Times New Roman" w:hAnsi="Times New Roman" w:eastAsia="宋体" w:cs="Times New Roman"/>
                <w:color w:val="auto"/>
                <w:spacing w:val="-2"/>
                <w:szCs w:val="21"/>
                <w:highlight w:val="none"/>
              </w:rPr>
              <w:t>农民工工资保证金的额度、提交形式、使用范围、扣留条件、返还时间：执行项目所在省、市的人力资源社会保障行政部门、交通运输主管部门等施行的规定。</w:t>
            </w:r>
          </w:p>
        </w:tc>
      </w:tr>
      <w:tr w14:paraId="3111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5FEE3769">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0E0D5855">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14DF992A">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5B3A7B45">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5CE35D05">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0775FB70">
            <w:pPr>
              <w:pageBreakBefore w:val="0"/>
              <w:kinsoku/>
              <w:wordWrap w:val="0"/>
              <w:bidi w:val="0"/>
              <w:snapToGrid w:val="0"/>
              <w:spacing w:line="360" w:lineRule="atLeast"/>
              <w:rPr>
                <w:rFonts w:hint="eastAsia" w:ascii="Times New Roman" w:hAnsi="Times New Roman" w:eastAsia="宋体" w:cs="Times New Roman"/>
                <w:color w:val="auto"/>
                <w:spacing w:val="-2"/>
                <w:szCs w:val="21"/>
                <w:highlight w:val="none"/>
                <w:lang w:val="en-US" w:eastAsia="zh-CN"/>
              </w:rPr>
            </w:pPr>
            <w:r>
              <w:rPr>
                <w:rFonts w:hint="default" w:ascii="Times New Roman" w:hAnsi="Times New Roman" w:eastAsia="宋体" w:cs="Times New Roman"/>
                <w:color w:val="auto"/>
                <w:spacing w:val="-2"/>
                <w:szCs w:val="21"/>
                <w:highlight w:val="none"/>
              </w:rPr>
              <w:t>6</w:t>
            </w:r>
            <w:r>
              <w:rPr>
                <w:rFonts w:hint="eastAsia" w:cs="Times New Roman"/>
                <w:color w:val="auto"/>
                <w:spacing w:val="-2"/>
                <w:szCs w:val="21"/>
                <w:highlight w:val="none"/>
                <w:lang w:val="en-US" w:eastAsia="zh-CN"/>
              </w:rPr>
              <w:t>7</w:t>
            </w:r>
          </w:p>
        </w:tc>
        <w:tc>
          <w:tcPr>
            <w:tcW w:w="1111" w:type="dxa"/>
            <w:shd w:val="clear" w:color="auto" w:fill="auto"/>
            <w:noWrap w:val="0"/>
            <w:vAlign w:val="top"/>
          </w:tcPr>
          <w:p w14:paraId="26144FD5">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0FFAE5AE">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7E9F144E">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04F6EA11">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0587D48B">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p>
          <w:p w14:paraId="18F47BAA">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lang w:val="en-US" w:eastAsia="en-US"/>
              </w:rPr>
            </w:pPr>
            <w:r>
              <w:rPr>
                <w:rFonts w:hint="default" w:ascii="Times New Roman" w:hAnsi="Times New Roman" w:eastAsia="宋体" w:cs="Times New Roman"/>
                <w:color w:val="auto"/>
                <w:spacing w:val="-2"/>
                <w:szCs w:val="21"/>
                <w:highlight w:val="none"/>
              </w:rPr>
              <w:t>17.3.6</w:t>
            </w:r>
          </w:p>
        </w:tc>
        <w:tc>
          <w:tcPr>
            <w:tcW w:w="7304" w:type="dxa"/>
            <w:shd w:val="clear" w:color="auto" w:fill="auto"/>
            <w:noWrap w:val="0"/>
            <w:vAlign w:val="top"/>
          </w:tcPr>
          <w:p w14:paraId="3D913BEB">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工程进度付款的结算原则：</w:t>
            </w:r>
          </w:p>
          <w:p w14:paraId="00BE984A">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(1)工程进度付款结算以经本标段监理人、总监理工程师签证后经发包人、项 目管理法人盖章认证的《工程计量支付统计报表》为依据，承包人向发包人开具 符合要求的发票，由项目管理法人直接支付。</w:t>
            </w:r>
          </w:p>
          <w:p w14:paraId="23F9917E">
            <w:pPr>
              <w:pageBreakBefore w:val="0"/>
              <w:kinsoku/>
              <w:wordWrap w:val="0"/>
              <w:bidi w:val="0"/>
              <w:snapToGrid w:val="0"/>
              <w:spacing w:line="360" w:lineRule="atLeast"/>
              <w:ind w:firstLine="234" w:firstLineChars="114"/>
              <w:rPr>
                <w:rFonts w:hint="default" w:ascii="Times New Roman" w:hAnsi="Times New Roman" w:eastAsia="宋体" w:cs="Times New Roman"/>
                <w:color w:val="auto"/>
                <w:spacing w:val="-2"/>
                <w:szCs w:val="21"/>
                <w:highlight w:val="none"/>
              </w:rPr>
            </w:pPr>
            <w:r>
              <w:rPr>
                <w:rFonts w:hint="default" w:ascii="Times New Roman" w:hAnsi="Times New Roman" w:eastAsia="宋体" w:cs="Times New Roman"/>
                <w:color w:val="auto"/>
                <w:spacing w:val="-2"/>
                <w:szCs w:val="21"/>
                <w:highlight w:val="none"/>
              </w:rPr>
              <w:t>(2)发包人指派第三方检测机构对承包人上报的工程量进行复核、对工程质量 进行检查的，应经第三方检测机构检查合格并核定后方予计量工程量。</w:t>
            </w:r>
          </w:p>
          <w:p w14:paraId="14021855">
            <w:pPr>
              <w:pageBreakBefore w:val="0"/>
              <w:kinsoku/>
              <w:wordWrap w:val="0"/>
              <w:bidi w:val="0"/>
              <w:snapToGrid w:val="0"/>
              <w:spacing w:line="360" w:lineRule="atLeast"/>
              <w:ind w:firstLine="234" w:firstLineChars="114"/>
              <w:rPr>
                <w:rFonts w:hint="eastAsia" w:ascii="Times New Roman" w:hAnsi="Times New Roman" w:eastAsia="宋体" w:cs="Times New Roman"/>
                <w:color w:val="auto"/>
                <w:spacing w:val="-2"/>
                <w:szCs w:val="21"/>
                <w:highlight w:val="none"/>
                <w:lang w:val="en-US" w:eastAsia="zh-CN"/>
              </w:rPr>
            </w:pPr>
            <w:r>
              <w:rPr>
                <w:rFonts w:hint="default" w:ascii="Times New Roman" w:hAnsi="Times New Roman" w:eastAsia="宋体" w:cs="Times New Roman"/>
                <w:color w:val="auto"/>
                <w:spacing w:val="-2"/>
                <w:szCs w:val="21"/>
                <w:highlight w:val="none"/>
              </w:rPr>
              <w:t>(3)项目管理法人只对经确认的承包人工程进度款收款账户、农民工工资专用账户进行支付。合同签订后30天内承包人应将开户行、银行账号报发包人确认备案。</w:t>
            </w:r>
          </w:p>
        </w:tc>
      </w:tr>
      <w:tr w14:paraId="7C06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67828320">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68</w:t>
            </w:r>
          </w:p>
        </w:tc>
        <w:tc>
          <w:tcPr>
            <w:tcW w:w="1111" w:type="dxa"/>
            <w:noWrap w:val="0"/>
            <w:vAlign w:val="center"/>
          </w:tcPr>
          <w:p w14:paraId="79A30E88">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17.4.1</w:t>
            </w:r>
          </w:p>
        </w:tc>
        <w:tc>
          <w:tcPr>
            <w:tcW w:w="7304" w:type="dxa"/>
            <w:noWrap w:val="0"/>
            <w:vAlign w:val="center"/>
          </w:tcPr>
          <w:p w14:paraId="71A9F7C2">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质量保证金金额，规定为：2%工程价款结算总额，以</w:t>
            </w:r>
            <w:r>
              <w:rPr>
                <w:rFonts w:hint="default" w:ascii="Times New Roman" w:hAnsi="Times New Roman" w:cs="Times New Roman"/>
                <w:color w:val="auto"/>
                <w:szCs w:val="21"/>
                <w:highlight w:val="none"/>
              </w:rPr>
              <w:t>现金或支票形式递交的，退还银行同期存款利息。</w:t>
            </w:r>
          </w:p>
          <w:p w14:paraId="2A05A4A7">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(1)承包人履约保证金、质量保证金均采用银行保函</w:t>
            </w:r>
            <w:r>
              <w:rPr>
                <w:rFonts w:hint="default" w:ascii="Times New Roman" w:hAnsi="Times New Roman" w:cs="Times New Roman"/>
                <w:color w:val="auto"/>
                <w:szCs w:val="21"/>
                <w:highlight w:val="none"/>
                <w:lang w:eastAsia="zh-CN"/>
              </w:rPr>
              <w:t>（或电子保函）</w:t>
            </w:r>
            <w:r>
              <w:rPr>
                <w:rFonts w:hint="default" w:ascii="Times New Roman" w:hAnsi="Times New Roman" w:cs="Times New Roman"/>
                <w:color w:val="auto"/>
                <w:szCs w:val="21"/>
                <w:highlight w:val="none"/>
              </w:rPr>
              <w:t>形式的，在发包人与承包 人完成本合同工程价款结算后，承包人应在工程验收证书颁发之前，按《项目专 用合同条款数据表》中规定的额度向发包人提交质量保证金银行保函</w:t>
            </w:r>
            <w:r>
              <w:rPr>
                <w:rFonts w:hint="default" w:ascii="Times New Roman" w:hAnsi="Times New Roman" w:cs="Times New Roman"/>
                <w:color w:val="auto"/>
                <w:szCs w:val="21"/>
                <w:highlight w:val="none"/>
                <w:lang w:eastAsia="zh-CN"/>
              </w:rPr>
              <w:t>（或电子保函）</w:t>
            </w:r>
            <w:r>
              <w:rPr>
                <w:rFonts w:hint="default" w:ascii="Times New Roman" w:hAnsi="Times New Roman" w:cs="Times New Roman"/>
                <w:color w:val="auto"/>
                <w:szCs w:val="21"/>
                <w:highlight w:val="none"/>
              </w:rPr>
              <w:t>，出具保函 的银行须具有相应担保能力，且按照发包人批准的格式出具，所需费用由承包人 承担，保函的有效期应至缺陷责任期满之日止。</w:t>
            </w:r>
          </w:p>
          <w:p w14:paraId="402F61AD">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履约保证金保函的有效期至缺陷责任期满之日止，且承包人履约保证金保函金额不低于质量保证金金额的，承包人无须另行提交质量保证金银行保函。</w:t>
            </w:r>
          </w:p>
          <w:p w14:paraId="56436FE8">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履约保证金保函的有效期至缺陷责任期满之日止，但承包人履约保证金保函金 额低于质量保证金金额的，承包人应另行提交全额质量保证金银行保函。同时，发包人将提前终止承包人履约保证金保函的有效期(至颁发工程验收证书之日), 并函告出具保函的银行。</w:t>
            </w:r>
          </w:p>
          <w:p w14:paraId="562FBAFB">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(2)承包人履约保证金、质量保证金均采用现金(电汇或银行汇票形式)的，</w:t>
            </w:r>
          </w:p>
          <w:p w14:paraId="289FD426">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承包人应在签发工程验收证书时，按《项目专用合同条款数据表》中的规定的金 额向发包人提交质量保证金。</w:t>
            </w:r>
          </w:p>
          <w:p w14:paraId="0B02E5D5">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如履约保证金金额不低于质量保证金金额的，发包人从履约保证金中扣留相应额度的质量保证金，并在签发工程验收证书时，将剩余履约保证金退还给承包人。</w:t>
            </w:r>
          </w:p>
          <w:p w14:paraId="045A6A1E">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如履约保证金金额低于质量保证金金额的，发包人将扣留全部履约保证金作为 质量保证金的一部分，且承包人应在签发工程验收证书时向发包人提交质量保证 金的剩余部分(“质量保证金”减去"履约保证金")。</w:t>
            </w:r>
          </w:p>
          <w:p w14:paraId="71E63B23">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(3)承包人履约保证金采用现金(电汇或银行汇票形式)、质量保证金采用银</w:t>
            </w:r>
          </w:p>
          <w:p w14:paraId="1D3B9CE0">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行保函</w:t>
            </w:r>
            <w:r>
              <w:rPr>
                <w:rFonts w:hint="default" w:ascii="Times New Roman" w:hAnsi="Times New Roman" w:cs="Times New Roman"/>
                <w:color w:val="auto"/>
                <w:szCs w:val="21"/>
                <w:highlight w:val="none"/>
                <w:lang w:eastAsia="zh-CN"/>
              </w:rPr>
              <w:t>（或电子保函）</w:t>
            </w:r>
            <w:r>
              <w:rPr>
                <w:rFonts w:hint="default" w:ascii="Times New Roman" w:hAnsi="Times New Roman" w:cs="Times New Roman"/>
                <w:color w:val="auto"/>
                <w:szCs w:val="21"/>
                <w:highlight w:val="none"/>
              </w:rPr>
              <w:t>形式的，在发包人与承包人完成本合同工程价款结算后，承包人应在工程 验收证书颁发时，按《项目专用合同条款数据表》中规定的额度向发包人提交质 量保证金银行保函，出具保函的银行须具有相应担保能力，且按照发包人批准的 格式出具，所需费用由承包人承担，保函的有效期应至缺陷责任期满之日止。</w:t>
            </w:r>
          </w:p>
          <w:p w14:paraId="10C7303A">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(4)承包人履约保证金采用银行保函</w:t>
            </w:r>
            <w:r>
              <w:rPr>
                <w:rFonts w:hint="default" w:ascii="Times New Roman" w:hAnsi="Times New Roman" w:cs="Times New Roman"/>
                <w:color w:val="auto"/>
                <w:szCs w:val="21"/>
                <w:highlight w:val="none"/>
                <w:lang w:eastAsia="zh-CN"/>
              </w:rPr>
              <w:t>（或电子保函）</w:t>
            </w:r>
            <w:r>
              <w:rPr>
                <w:rFonts w:hint="default" w:ascii="Times New Roman" w:hAnsi="Times New Roman" w:cs="Times New Roman"/>
                <w:color w:val="auto"/>
                <w:szCs w:val="21"/>
                <w:highlight w:val="none"/>
              </w:rPr>
              <w:t>形式、质量保证金采用现金(电汇或银行 汇票形式)的，承包人应在工程验收证书颁发时，按《项目专用合同条款数据表》中规定的额度向发包人提交质量保证金。</w:t>
            </w:r>
          </w:p>
          <w:p w14:paraId="60825E61">
            <w:pPr>
              <w:pageBreakBefore w:val="0"/>
              <w:kinsoku/>
              <w:wordWrap w:val="0"/>
              <w:bidi w:val="0"/>
              <w:snapToGrid w:val="0"/>
              <w:spacing w:line="360" w:lineRule="atLeast"/>
              <w:ind w:firstLine="239" w:firstLineChars="114"/>
              <w:rPr>
                <w:rFonts w:hint="default" w:ascii="Times New Roman" w:hAnsi="Times New Roman" w:eastAsia="宋体 ，Arial" w:cs="Times New Roman"/>
                <w:color w:val="auto"/>
                <w:kern w:val="0"/>
                <w:szCs w:val="21"/>
                <w:highlight w:val="none"/>
              </w:rPr>
            </w:pPr>
            <w:r>
              <w:rPr>
                <w:rFonts w:hint="default" w:ascii="Times New Roman" w:hAnsi="Times New Roman" w:cs="Times New Roman"/>
                <w:color w:val="auto"/>
                <w:szCs w:val="21"/>
                <w:highlight w:val="none"/>
              </w:rPr>
              <w:t>(5)质量保证金属建设资金，应专款专用，承包人不得用于抵债或作为处理经济纠纷。质量保证金是否</w:t>
            </w:r>
            <w:r>
              <w:rPr>
                <w:rFonts w:hint="default" w:ascii="Times New Roman" w:hAnsi="Times New Roman" w:eastAsia="宋体 ，Arial" w:cs="Times New Roman"/>
                <w:color w:val="auto"/>
                <w:kern w:val="0"/>
                <w:szCs w:val="21"/>
                <w:highlight w:val="none"/>
              </w:rPr>
              <w:t xml:space="preserve">计付利息：   </w:t>
            </w:r>
          </w:p>
          <w:p w14:paraId="060BB353">
            <w:pPr>
              <w:pageBreakBefore w:val="0"/>
              <w:kinsoku/>
              <w:wordWrap w:val="0"/>
              <w:bidi w:val="0"/>
              <w:snapToGrid w:val="0"/>
              <w:spacing w:line="360" w:lineRule="atLeast"/>
              <w:ind w:firstLine="364" w:firstLineChars="114"/>
              <w:rPr>
                <w:rFonts w:hint="default" w:ascii="Times New Roman" w:hAnsi="Times New Roman" w:eastAsia="宋体 ，Arial" w:cs="Times New Roman"/>
                <w:color w:val="auto"/>
                <w:kern w:val="0"/>
                <w:szCs w:val="21"/>
                <w:highlight w:val="none"/>
              </w:rPr>
            </w:pPr>
            <w:r>
              <w:rPr>
                <w:rFonts w:hint="default" w:ascii="Times New Roman" w:hAnsi="Times New Roman" w:cs="Times New Roman"/>
                <w:color w:val="auto"/>
                <w:sz w:val="32"/>
                <w:highlight w:val="none"/>
              </w:rPr>
              <w:t>□</w:t>
            </w:r>
            <w:r>
              <w:rPr>
                <w:rFonts w:hint="default" w:ascii="Times New Roman" w:hAnsi="Times New Roman" w:cs="Times New Roman"/>
                <w:color w:val="auto"/>
                <w:szCs w:val="21"/>
                <w:highlight w:val="none"/>
              </w:rPr>
              <w:t>是，</w:t>
            </w:r>
            <w:r>
              <w:rPr>
                <w:rFonts w:hint="default" w:ascii="Times New Roman" w:hAnsi="Times New Roman" w:eastAsia="宋体 ，Arial" w:cs="Times New Roman"/>
                <w:color w:val="auto"/>
                <w:kern w:val="0"/>
                <w:szCs w:val="21"/>
                <w:highlight w:val="none"/>
              </w:rPr>
              <w:t>利息的计算方式：</w:t>
            </w:r>
            <w:r>
              <w:rPr>
                <w:rFonts w:hint="default" w:ascii="Times New Roman" w:hAnsi="Times New Roman" w:eastAsia="宋体 ，Arial" w:cs="Times New Roman"/>
                <w:color w:val="auto"/>
                <w:kern w:val="0"/>
                <w:szCs w:val="21"/>
                <w:highlight w:val="none"/>
                <w:u w:val="single"/>
              </w:rPr>
              <w:t xml:space="preserve">              </w:t>
            </w:r>
          </w:p>
          <w:p w14:paraId="1BBA2749">
            <w:pPr>
              <w:pageBreakBefore w:val="0"/>
              <w:kinsoku/>
              <w:wordWrap w:val="0"/>
              <w:bidi w:val="0"/>
              <w:snapToGrid w:val="0"/>
              <w:spacing w:line="360" w:lineRule="atLeast"/>
              <w:ind w:firstLine="364" w:firstLineChars="114"/>
              <w:rPr>
                <w:rFonts w:hint="default" w:ascii="Times New Roman" w:hAnsi="Times New Roman" w:cs="Times New Roman"/>
                <w:color w:val="auto"/>
                <w:szCs w:val="21"/>
                <w:highlight w:val="none"/>
              </w:rPr>
            </w:pPr>
            <w:r>
              <w:rPr>
                <w:rFonts w:hint="eastAsia" w:cs="Times New Roman"/>
                <w:color w:val="auto"/>
                <w:sz w:val="32"/>
                <w:highlight w:val="none"/>
                <w:lang w:eastAsia="zh-CN"/>
              </w:rPr>
              <w:t>☑</w:t>
            </w:r>
            <w:r>
              <w:rPr>
                <w:rFonts w:hint="default" w:ascii="Times New Roman" w:hAnsi="Times New Roman" w:cs="Times New Roman"/>
                <w:color w:val="auto"/>
                <w:szCs w:val="21"/>
                <w:highlight w:val="none"/>
              </w:rPr>
              <w:t>否</w:t>
            </w:r>
          </w:p>
          <w:p w14:paraId="1779CB9E">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合同履行期间，当承包人存在下述违约情形时，发包人将要求承包人支付违约金：</w:t>
            </w:r>
          </w:p>
          <w:p w14:paraId="7BF8F6F7">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a、承包人因施工质量问题、安全（含内业）问题等被市级及以上交通运输主管部门通报批评的，发包人将要求承包人按5000元/次的标准支付违约金。</w:t>
            </w:r>
          </w:p>
          <w:p w14:paraId="6EED4C7E">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b、在市级及以上交通运输主管部门或财政部门或审计部门组织的绩效评价、绩效监督、专项审计、市场检查等过程中，承包人被查实未按合同履约的（包括但不限于：未严格按设计图纸施工、施工内业存在问题、超前申请计量、自检频率不足、分包管理不规范、未按规定执行农民工工资保障政策），发包人将要求承包人按5000元/项的标准支付违约金。</w:t>
            </w:r>
          </w:p>
        </w:tc>
      </w:tr>
      <w:tr w14:paraId="56EA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3EE3D8B3">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69</w:t>
            </w:r>
          </w:p>
        </w:tc>
        <w:tc>
          <w:tcPr>
            <w:tcW w:w="1111" w:type="dxa"/>
            <w:noWrap w:val="0"/>
            <w:vAlign w:val="center"/>
          </w:tcPr>
          <w:p w14:paraId="34D0CC3F">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17.5.1（1）</w:t>
            </w:r>
          </w:p>
        </w:tc>
        <w:tc>
          <w:tcPr>
            <w:tcW w:w="7304" w:type="dxa"/>
            <w:noWrap w:val="0"/>
            <w:vAlign w:val="center"/>
          </w:tcPr>
          <w:p w14:paraId="537485A4">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承包人向监理人提交交工付款申请单（包括相关证明材料）的份数：</w:t>
            </w:r>
          </w:p>
          <w:p w14:paraId="2CFC8FCB">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6</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tc>
      </w:tr>
      <w:tr w14:paraId="3DCF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tcBorders>
              <w:bottom w:val="single" w:color="auto" w:sz="4" w:space="0"/>
            </w:tcBorders>
            <w:noWrap w:val="0"/>
            <w:vAlign w:val="center"/>
          </w:tcPr>
          <w:p w14:paraId="58E436DF">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w:t>
            </w:r>
          </w:p>
        </w:tc>
        <w:tc>
          <w:tcPr>
            <w:tcW w:w="1111" w:type="dxa"/>
            <w:tcBorders>
              <w:bottom w:val="single" w:color="auto" w:sz="4" w:space="0"/>
            </w:tcBorders>
            <w:noWrap w:val="0"/>
            <w:vAlign w:val="center"/>
          </w:tcPr>
          <w:p w14:paraId="27AD6509">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17.6.1（1）</w:t>
            </w:r>
          </w:p>
        </w:tc>
        <w:tc>
          <w:tcPr>
            <w:tcW w:w="7304" w:type="dxa"/>
            <w:tcBorders>
              <w:bottom w:val="single" w:color="auto" w:sz="4" w:space="0"/>
            </w:tcBorders>
            <w:noWrap w:val="0"/>
            <w:vAlign w:val="center"/>
          </w:tcPr>
          <w:p w14:paraId="2E91BDF1">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承包人向监理人提交最终结清申请单（包括相关证明材料）的份数：</w:t>
            </w:r>
          </w:p>
          <w:p w14:paraId="47639BEF">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6</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tc>
      </w:tr>
      <w:tr w14:paraId="0058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4" w:space="0"/>
              <w:bottom w:val="single" w:color="auto" w:sz="4" w:space="0"/>
              <w:right w:val="single" w:color="auto" w:sz="4" w:space="0"/>
            </w:tcBorders>
            <w:noWrap w:val="0"/>
            <w:vAlign w:val="center"/>
          </w:tcPr>
          <w:p w14:paraId="2C6181D4">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71</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3CDABA5B">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18.2（2）</w:t>
            </w:r>
          </w:p>
        </w:tc>
        <w:tc>
          <w:tcPr>
            <w:tcW w:w="7304" w:type="dxa"/>
            <w:tcBorders>
              <w:top w:val="single" w:color="auto" w:sz="4" w:space="0"/>
              <w:left w:val="single" w:color="auto" w:sz="4" w:space="0"/>
              <w:bottom w:val="single" w:color="auto" w:sz="4" w:space="0"/>
              <w:right w:val="single" w:color="auto" w:sz="4" w:space="0"/>
            </w:tcBorders>
            <w:noWrap w:val="0"/>
            <w:vAlign w:val="center"/>
          </w:tcPr>
          <w:p w14:paraId="3E1FBFDE">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竣工资料的份数：</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6</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tc>
      </w:tr>
      <w:tr w14:paraId="01C9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4" w:space="0"/>
              <w:bottom w:val="single" w:color="auto" w:sz="4" w:space="0"/>
              <w:right w:val="single" w:color="auto" w:sz="4" w:space="0"/>
            </w:tcBorders>
            <w:noWrap w:val="0"/>
            <w:vAlign w:val="center"/>
          </w:tcPr>
          <w:p w14:paraId="75036853">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72</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48208852">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18.5.1</w:t>
            </w:r>
          </w:p>
        </w:tc>
        <w:tc>
          <w:tcPr>
            <w:tcW w:w="7304" w:type="dxa"/>
            <w:tcBorders>
              <w:top w:val="single" w:color="auto" w:sz="4" w:space="0"/>
              <w:left w:val="single" w:color="auto" w:sz="4" w:space="0"/>
              <w:bottom w:val="single" w:color="auto" w:sz="4" w:space="0"/>
              <w:right w:val="single" w:color="auto" w:sz="4" w:space="0"/>
            </w:tcBorders>
            <w:noWrap w:val="0"/>
            <w:vAlign w:val="center"/>
          </w:tcPr>
          <w:p w14:paraId="03FA39D0">
            <w:pPr>
              <w:pageBreakBefore w:val="0"/>
              <w:kinsoku/>
              <w:wordWrap w:val="0"/>
              <w:bidi w:val="0"/>
              <w:spacing w:line="360" w:lineRule="atLeast"/>
              <w:ind w:firstLine="239" w:firstLineChars="114"/>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单位工程或工程设备是否需投入施工期运行：</w:t>
            </w:r>
            <w:r>
              <w:rPr>
                <w:rFonts w:hint="default" w:ascii="Times New Roman" w:hAnsi="Times New Roman" w:cs="Times New Roman"/>
                <w:color w:val="auto"/>
                <w:szCs w:val="21"/>
                <w:highlight w:val="none"/>
                <w:u w:val="single"/>
              </w:rPr>
              <w:t xml:space="preserve"> 否 </w:t>
            </w:r>
          </w:p>
          <w:p w14:paraId="06965C7F">
            <w:pPr>
              <w:pageBreakBefore w:val="0"/>
              <w:kinsoku/>
              <w:wordWrap w:val="0"/>
              <w:bidi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如单位工程或工程设备需要进行施工期运行，需要施工期运行的单位工程或工程设备规定如下：</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r>
      <w:tr w14:paraId="4BF9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tcBorders>
              <w:top w:val="single" w:color="auto" w:sz="4" w:space="0"/>
              <w:left w:val="single" w:color="auto" w:sz="4" w:space="0"/>
              <w:bottom w:val="single" w:color="auto" w:sz="4" w:space="0"/>
              <w:right w:val="single" w:color="auto" w:sz="4" w:space="0"/>
            </w:tcBorders>
            <w:noWrap w:val="0"/>
            <w:vAlign w:val="center"/>
          </w:tcPr>
          <w:p w14:paraId="108181D1">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73</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6798AFF2">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18.6.1</w:t>
            </w:r>
          </w:p>
        </w:tc>
        <w:tc>
          <w:tcPr>
            <w:tcW w:w="7304" w:type="dxa"/>
            <w:tcBorders>
              <w:top w:val="single" w:color="auto" w:sz="4" w:space="0"/>
              <w:left w:val="single" w:color="auto" w:sz="4" w:space="0"/>
              <w:bottom w:val="single" w:color="auto" w:sz="4" w:space="0"/>
              <w:right w:val="single" w:color="auto" w:sz="4" w:space="0"/>
            </w:tcBorders>
            <w:noWrap w:val="0"/>
            <w:vAlign w:val="center"/>
          </w:tcPr>
          <w:p w14:paraId="00FDF013">
            <w:pPr>
              <w:pageBreakBefore w:val="0"/>
              <w:kinsoku/>
              <w:wordWrap w:val="0"/>
              <w:bidi w:val="0"/>
              <w:spacing w:line="360" w:lineRule="atLeast"/>
              <w:ind w:firstLine="239" w:firstLineChars="114"/>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本工程及工程设备是否进行试运行：</w:t>
            </w:r>
            <w:r>
              <w:rPr>
                <w:rFonts w:hint="default" w:ascii="Times New Roman" w:hAnsi="Times New Roman" w:cs="Times New Roman"/>
                <w:color w:val="auto"/>
                <w:szCs w:val="21"/>
                <w:highlight w:val="none"/>
                <w:u w:val="single"/>
              </w:rPr>
              <w:t xml:space="preserve"> 否 </w:t>
            </w:r>
          </w:p>
          <w:p w14:paraId="49B819A9">
            <w:pPr>
              <w:pageBreakBefore w:val="0"/>
              <w:kinsoku/>
              <w:wordWrap w:val="0"/>
              <w:bidi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如本工程及工程设备需要进行试运行，试运行的具体规定如下：</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p>
        </w:tc>
      </w:tr>
      <w:tr w14:paraId="4F4D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649DD313">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74</w:t>
            </w:r>
          </w:p>
        </w:tc>
        <w:tc>
          <w:tcPr>
            <w:tcW w:w="1111" w:type="dxa"/>
            <w:noWrap w:val="0"/>
            <w:vAlign w:val="center"/>
          </w:tcPr>
          <w:p w14:paraId="2A360DF7">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19.7（1）</w:t>
            </w:r>
          </w:p>
        </w:tc>
        <w:tc>
          <w:tcPr>
            <w:tcW w:w="7304" w:type="dxa"/>
            <w:noWrap w:val="0"/>
            <w:vAlign w:val="center"/>
          </w:tcPr>
          <w:p w14:paraId="06F46F15">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保修期：自实际交工日期起计算</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Style w:val="47"/>
                <w:rFonts w:hint="default" w:ascii="Times New Roman" w:hAnsi="Times New Roman" w:cs="Times New Roman"/>
                <w:color w:val="auto"/>
                <w:szCs w:val="21"/>
                <w:highlight w:val="none"/>
              </w:rPr>
              <w:footnoteReference w:id="40"/>
            </w:r>
          </w:p>
        </w:tc>
      </w:tr>
      <w:tr w14:paraId="0990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7DB5221">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c>
          <w:tcPr>
            <w:tcW w:w="1111" w:type="dxa"/>
            <w:noWrap w:val="0"/>
            <w:vAlign w:val="center"/>
          </w:tcPr>
          <w:p w14:paraId="6DBA391B">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20.1</w:t>
            </w:r>
          </w:p>
        </w:tc>
        <w:tc>
          <w:tcPr>
            <w:tcW w:w="7304" w:type="dxa"/>
            <w:noWrap w:val="0"/>
            <w:vAlign w:val="center"/>
          </w:tcPr>
          <w:p w14:paraId="191051E9">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建筑工程一切险的投保内容：为本合同工程的永久工程、临时工程和设备及已运至施工工地用于永久工程的材料和设备所投的保险。</w:t>
            </w:r>
          </w:p>
          <w:p w14:paraId="6BC9A9CB">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保险金额：工程量清单全部章节的合计金额。</w:t>
            </w:r>
          </w:p>
          <w:p w14:paraId="1B60B82D">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保险期限：开工日起直至本合同工程签发缺陷责任期终止证书止(即合同工期 +缺陷责任期)。</w:t>
            </w:r>
          </w:p>
          <w:p w14:paraId="1311D371">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承包人应以发包人和承包人的共同名义投保建筑工程一切险。承包人因办理建 筑工程一切险所发生的费用应认为已含入其他支付项中，发包人不另行计量，项 目管理法人不另行支付。</w:t>
            </w:r>
          </w:p>
          <w:p w14:paraId="2BD054A4">
            <w:pPr>
              <w:pageBreakBefore w:val="0"/>
              <w:kinsoku/>
              <w:wordWrap w:val="0"/>
              <w:bidi w:val="0"/>
              <w:snapToGrid w:val="0"/>
              <w:spacing w:line="360" w:lineRule="atLeast"/>
              <w:ind w:firstLine="239" w:firstLineChars="11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当本合同工程发生损失或损害时，承包人应按保险单规定的条件和期限及时向 保险人报告，并抄送发包人和监理人。如损害继续发生，承包人在递交第一次报 告后，每7天报告一次，直到损害结束。办理本款所述的保险并不免除合同规定的承包人的义务和责任。</w:t>
            </w:r>
          </w:p>
        </w:tc>
      </w:tr>
      <w:tr w14:paraId="12F8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59E0EFC9">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76</w:t>
            </w:r>
          </w:p>
        </w:tc>
        <w:tc>
          <w:tcPr>
            <w:tcW w:w="1111" w:type="dxa"/>
            <w:noWrap w:val="0"/>
            <w:vAlign w:val="center"/>
          </w:tcPr>
          <w:p w14:paraId="51956614">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w:t>
            </w:r>
          </w:p>
        </w:tc>
        <w:tc>
          <w:tcPr>
            <w:tcW w:w="7304" w:type="dxa"/>
            <w:noWrap w:val="0"/>
            <w:vAlign w:val="center"/>
          </w:tcPr>
          <w:p w14:paraId="0A4D355E">
            <w:pPr>
              <w:pageBreakBefore w:val="0"/>
              <w:kinsoku/>
              <w:wordWrap w:val="0"/>
              <w:bidi w:val="0"/>
              <w:snapToGrid w:val="0"/>
              <w:spacing w:line="360" w:lineRule="atLeast"/>
              <w:ind w:firstLine="237" w:firstLineChars="1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20.4.1第三者责任系指在保险期内，对因工程意外事故造成的、依法应由被保险 人负责的工地上及毗邻地区的第三者人身伤亡、疾病或财产损失(本工程除外),  以及被保险人因此而支付的诉讼费用和事先经保险人书面同意支付的其他费用等  赔偿责任。</w:t>
            </w:r>
          </w:p>
          <w:p w14:paraId="7CD06A3A">
            <w:pPr>
              <w:pageBreakBefore w:val="0"/>
              <w:kinsoku/>
              <w:wordWrap w:val="0"/>
              <w:bidi w:val="0"/>
              <w:snapToGrid w:val="0"/>
              <w:spacing w:line="360" w:lineRule="atLeast"/>
              <w:ind w:firstLine="237" w:firstLineChars="1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20.4.2在缺陷责任期终止证书颁发前，承包人应以承包人和发包人的共同名义， 投保第20.4.1项约定的第三者责任险，其中：</w:t>
            </w:r>
          </w:p>
          <w:p w14:paraId="1D751BD3">
            <w:pPr>
              <w:pageBreakBefore w:val="0"/>
              <w:kinsoku/>
              <w:wordWrap w:val="0"/>
              <w:bidi w:val="0"/>
              <w:snapToGrid w:val="0"/>
              <w:spacing w:line="360" w:lineRule="atLeast"/>
              <w:ind w:firstLine="237" w:firstLineChars="1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第三者责任险的最低投保金额，规定为：100万元。</w:t>
            </w:r>
          </w:p>
          <w:p w14:paraId="69F6142D">
            <w:pPr>
              <w:pageBreakBefore w:val="0"/>
              <w:kinsoku/>
              <w:wordWrap w:val="0"/>
              <w:bidi w:val="0"/>
              <w:snapToGrid w:val="0"/>
              <w:spacing w:line="360" w:lineRule="atLeast"/>
              <w:ind w:firstLine="237" w:firstLineChars="1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保险费率：由承包人与保险服务商自行商定。</w:t>
            </w:r>
          </w:p>
          <w:p w14:paraId="0256063A">
            <w:pPr>
              <w:pageBreakBefore w:val="0"/>
              <w:kinsoku/>
              <w:wordWrap w:val="0"/>
              <w:bidi w:val="0"/>
              <w:snapToGrid w:val="0"/>
              <w:spacing w:line="360" w:lineRule="atLeast"/>
              <w:ind w:firstLine="237" w:firstLineChars="1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20.4.3承包人因办理第三者责任险所发生的费用应认为已含入其他支付项中，发包人不另行计量，项目管理法人不另行支付。</w:t>
            </w:r>
          </w:p>
        </w:tc>
      </w:tr>
      <w:tr w14:paraId="3B72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4A426BF3">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157A09EA">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12531520">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3E76BE63">
            <w:pPr>
              <w:pageBreakBefore w:val="0"/>
              <w:kinsoku/>
              <w:wordWrap w:val="0"/>
              <w:bidi w:val="0"/>
              <w:snapToGrid w:val="0"/>
              <w:spacing w:line="360" w:lineRule="atLeast"/>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7</w:t>
            </w:r>
            <w:r>
              <w:rPr>
                <w:rFonts w:hint="eastAsia" w:cs="Times New Roman"/>
                <w:color w:val="auto"/>
                <w:szCs w:val="21"/>
                <w:highlight w:val="none"/>
                <w:lang w:val="en-US" w:eastAsia="zh-CN"/>
              </w:rPr>
              <w:t>7</w:t>
            </w:r>
          </w:p>
        </w:tc>
        <w:tc>
          <w:tcPr>
            <w:tcW w:w="1111" w:type="dxa"/>
            <w:shd w:val="clear" w:color="auto" w:fill="auto"/>
            <w:noWrap w:val="0"/>
            <w:vAlign w:val="top"/>
          </w:tcPr>
          <w:p w14:paraId="2EA457C7">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44B158E0">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2C76A14F">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p>
          <w:p w14:paraId="6D9386BD">
            <w:pPr>
              <w:pageBreakBefore w:val="0"/>
              <w:kinsoku/>
              <w:wordWrap w:val="0"/>
              <w:bidi w:val="0"/>
              <w:snapToGrid w:val="0"/>
              <w:spacing w:line="360" w:lineRule="atLeast"/>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20.5</w:t>
            </w:r>
          </w:p>
        </w:tc>
        <w:tc>
          <w:tcPr>
            <w:tcW w:w="7304" w:type="dxa"/>
            <w:shd w:val="clear" w:color="auto" w:fill="auto"/>
            <w:noWrap w:val="0"/>
            <w:vAlign w:val="top"/>
          </w:tcPr>
          <w:p w14:paraId="189C0D3F">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承包人职工的(人身)事故险及建筑意外伤害险由承包人自行投保，保险费应 认为已含入其他支付项中，发包人不另行计量，项目管理法人不另行支付。</w:t>
            </w:r>
          </w:p>
          <w:p w14:paraId="12D01EB5">
            <w:pPr>
              <w:pageBreakBefore w:val="0"/>
              <w:kinsoku/>
              <w:wordWrap w:val="0"/>
              <w:bidi w:val="0"/>
              <w:snapToGrid w:val="0"/>
              <w:spacing w:line="360" w:lineRule="atLeast"/>
              <w:ind w:firstLine="239" w:firstLineChars="114"/>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承包人应按《人力资源社会保障部、交通运输部、水利部、能源局、铁路局、 民航局关于铁路、公路、水运、水利、能源、机场工程建设项目参加工伤保险工  作的通知》(人社部发〔2018〕3号)文件的规定，在进场施工前，办理相关手续并提交人员参加工伤保险的证明。</w:t>
            </w:r>
          </w:p>
        </w:tc>
      </w:tr>
      <w:tr w14:paraId="28A0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top"/>
          </w:tcPr>
          <w:p w14:paraId="05E665A9">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0C3AF7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591C09B">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39D78A9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358B04DF">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3B094512">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65792832">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4C3F1C4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AAE565C">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38804CDC">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371FED03">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0CDC6F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4BF8B231">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768A95F">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1B8ABD21">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E11DC20">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63A9423D">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407B0451">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4B58916A">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10201DE">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97EF824">
            <w:pPr>
              <w:pageBreakBefore w:val="0"/>
              <w:kinsoku/>
              <w:wordWrap w:val="0"/>
              <w:bidi w:val="0"/>
              <w:spacing w:line="360" w:lineRule="atLeast"/>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7</w:t>
            </w:r>
            <w:r>
              <w:rPr>
                <w:rFonts w:hint="eastAsia" w:cs="Times New Roman"/>
                <w:color w:val="auto"/>
                <w:szCs w:val="21"/>
                <w:highlight w:val="none"/>
                <w:lang w:val="en-US" w:eastAsia="zh-CN"/>
              </w:rPr>
              <w:t>8</w:t>
            </w:r>
          </w:p>
        </w:tc>
        <w:tc>
          <w:tcPr>
            <w:tcW w:w="1111" w:type="dxa"/>
            <w:shd w:val="clear" w:color="auto" w:fill="auto"/>
            <w:noWrap w:val="0"/>
            <w:vAlign w:val="top"/>
          </w:tcPr>
          <w:p w14:paraId="7B428F5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4CF18D8C">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4D3E1A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D3402CE">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30134DD">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7E05F024">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7533E479">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11EBC1C5">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C3604B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15C333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B1F705E">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6C8EF46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5AE678E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32B287A3">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87343D9">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7D9129E0">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79791605">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796D3046">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08F89A9B">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284A3B1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p>
          <w:p w14:paraId="5625B6B4">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22.1.1</w:t>
            </w:r>
          </w:p>
        </w:tc>
        <w:tc>
          <w:tcPr>
            <w:tcW w:w="7304" w:type="dxa"/>
            <w:shd w:val="clear" w:color="auto" w:fill="auto"/>
            <w:noWrap w:val="0"/>
            <w:vAlign w:val="top"/>
          </w:tcPr>
          <w:p w14:paraId="53219CEF">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22.1.1承包人违约的情形</w:t>
            </w:r>
          </w:p>
          <w:p w14:paraId="5C6BE99B">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在履行合同过程中发生的下列情况属承包人违约：</w:t>
            </w:r>
          </w:p>
          <w:p w14:paraId="55CE765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(1)承包人违反第1.8款或第4.3款的约定，私自将合同的全部或部分权利转 让给其他人，或私自将合同的全部或部分义务转移给其他人；</w:t>
            </w:r>
          </w:p>
          <w:p w14:paraId="0F01BD6E">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(2)承包人违反第1.6.4项的约定，发现图纸中存在错误，但因对自身有利而 故意隐瞒不报、按错图施工的；</w:t>
            </w:r>
          </w:p>
          <w:p w14:paraId="611FD00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(3)承包人违反第4.5.1项的约定，未按合同约定指派项目经理和项目总工，</w:t>
            </w:r>
          </w:p>
          <w:p w14:paraId="7DB8F21D">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或项目经理和项目总工未按期到任的，因亡故、伤残或重大疾病等特殊原因以外 的理由更换项目经理和项目总工的；</w:t>
            </w:r>
          </w:p>
          <w:p w14:paraId="0457A2E2">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(4)承包人违反第4.5.1项的约定，实际到任的其他人员为非本单位人员；承 包人未经发包人同意，更换在合同谈判时向发包人报送的其他人员；</w:t>
            </w:r>
          </w:p>
          <w:p w14:paraId="33127D2B">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(5)承包人违反第4.6款或第6.3款的规定，未按承诺或未按监理人的要求及 时配备称职的主要管理人员、技术骨干或关键施工设备；</w:t>
            </w:r>
          </w:p>
          <w:p w14:paraId="1C39DF8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(6)承包人违反第4.7款的约定，未对其项目经理和其他人员进行有效管理； 监理人或发包人要求撤换不能胜任本职工作、行为不端或玩忽职守的承包人项目 经理和其他人员，并向承包人发出书面通知后，承包人未按合同约定执行的；</w:t>
            </w:r>
          </w:p>
          <w:p w14:paraId="21A6F61D">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(7)承包人违反第4.9款的约定，在监理人或发包人对本项目已支付工程款的 去向进行检查(包括银行流水、财务账目等)时，承包人无正当理由拒绝配合；</w:t>
            </w:r>
          </w:p>
          <w:p w14:paraId="5790B60C">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经查发现本项目已支付工程款用于跟本项目无关的其他事项；发包人责令承包人限期追回或通过其他合法渠道弥补该资金缺口，承包人未按合同约定执行的；</w:t>
            </w:r>
          </w:p>
          <w:p w14:paraId="5829051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(8)承包人违反第5.3款或第6.4款的约定，未经监理人批准，私自将己按合 同约定进入施工场地的施工设备、临时设施、材料或工程设备撤离施工场地；</w:t>
            </w:r>
          </w:p>
          <w:p w14:paraId="2F2EB6E4">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(9)承包人违反第5.4款的约定使用了不合格材料或工程设备，工程质量达不 到标准要求，又拒绝清除不合格工程；</w:t>
            </w:r>
          </w:p>
          <w:p w14:paraId="7747CFCD">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(10)承包人违反第13.2.6项的约定，未严格按照施工图设计(含经审批的变更图纸)、施工技术规范和合同约定施工；承包人未按约定对原材料、半成品、 混合料、预制构件、工程实体进行检验和自评的；检验或者自评不合格而进入下 道工序或者投入使用的；</w:t>
            </w:r>
          </w:p>
          <w:p w14:paraId="463634E7">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(11)承包人违反第13.2.11项的约定，未严格按照经审批的各种施工配合比(包 含但不限于沥青混合料配合比、水泥混凝土配合比、水泥砂浆配合比、水泥稳定粒料配合比等)进行生产和施工的；未按照相关技术规范和标准制作试块(件)用于质量检验的；未严格按照设计图纸和技术规范使用和控制沥青、改性沥青、 改性剂、温拌剂、水泥及各种添加剂含(剂)量的；发包人对相关材料的采购合同、发票、财务账目和使用记录进行检查时，承包人无正当理由拒绝配合；</w:t>
            </w:r>
          </w:p>
          <w:p w14:paraId="7607DC6B">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承包人违反第14.1.1项的约定，未进行材料、工程设备和工程的试验和检验的，或未为监理人对上述材料、工程设备和工程的质量检查提供必要的试验资料和原始记录的；按合同约定应由监理人与承包人共同进行试验和检验，而承包人拒不提供必要的试验资料和原始记录的；承包人未按规定划分养护单元(或单位、分部及分项工程),或未按照其规定的检查方法和频率进行自检和评定的；</w:t>
            </w:r>
          </w:p>
          <w:p w14:paraId="28668CC6">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(13)承包人违反第20.1款、第20.4款约定，未能在开工前以发包人和承包人 的共同名义投保建筑工程一切险、第三者责任险的；</w:t>
            </w:r>
          </w:p>
          <w:p w14:paraId="0EB3C994">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(14)承包人未能按合同进度计划及时完成合同约定的工作，己造成或预期造 成工期延误；</w:t>
            </w:r>
          </w:p>
          <w:p w14:paraId="28B7E8F5">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(15)承包人在缺陷责任期内，未能对工程接收证书所列的缺陷清单的内容或 缺陷责任期内发生的缺陷进行修复，而又拒绝按监理人指示再进行修补；</w:t>
            </w:r>
          </w:p>
          <w:p w14:paraId="414637CB">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(16)承包人无法继续履行或明确表示不履行或实质上己停止履行合同；</w:t>
            </w:r>
          </w:p>
          <w:p w14:paraId="5E348D16">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(17)由于承包人原因引起暂时停工，承包人不积极采取补救措施造成工期严 重延误 ；</w:t>
            </w:r>
          </w:p>
          <w:p w14:paraId="3ABF5CA3">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(18)无视监理人事先的书面警告， 一贯或公然忽视履行其合同规定的义务；</w:t>
            </w:r>
          </w:p>
          <w:p w14:paraId="195966C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(19)承包人未经批准擅自撤离工地；</w:t>
            </w:r>
          </w:p>
          <w:p w14:paraId="23FCCE75">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(20)在工程实施期间，承包人倒卖或者偷换用于本工程的甲供材料(如有);</w:t>
            </w:r>
          </w:p>
          <w:p w14:paraId="1E5A1A5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(21)在合同履行期间，发现承包人在投标文件中递交了虚假资料；</w:t>
            </w:r>
          </w:p>
          <w:p w14:paraId="6857DABF">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(22)合同履行期间，承包人因施工质量、安全(含内业)、环境保护、进度</w:t>
            </w:r>
          </w:p>
          <w:p w14:paraId="48F4ACBB">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等问题被发包人或市级及以上交通运输主管部门通报批评；承包人在各级交通运 输主管部门或财政部门组织的审计中发现问题并下达审计取证单；</w:t>
            </w:r>
          </w:p>
          <w:p w14:paraId="613C7E30">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(23)承包人未按规定开设或者使用农民工工资专用账户代发工资、未按规定  存储工资保证金或者未提供金融机构保函、未实行劳动用工实名制管理、实行施 工现场维权信息公示制度、未按要求录入管理服务信息平台(如有)或者发现问题未在规定的时间内及时改正、私自挪用农民工工资专用账户的资金等行为；</w:t>
            </w:r>
          </w:p>
          <w:p w14:paraId="13BDA8CA">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(24)承包人未能按期开工；</w:t>
            </w:r>
          </w:p>
          <w:p w14:paraId="7195D59F">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(25)经监理人和发包人检查，发现承包人有安全问题或有违反安全管理规章 制度的情况；</w:t>
            </w:r>
          </w:p>
          <w:p w14:paraId="5FDD19AC">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(26)在工程实施期间，承包人在签订合同时确认的主要人员以及其他人员缺 员30%以上，在监理人发出书面警告14天后，仍未见纠正违约行为；</w:t>
            </w:r>
          </w:p>
          <w:p w14:paraId="427502A8">
            <w:pPr>
              <w:pageBreakBefore w:val="0"/>
              <w:kinsoku/>
              <w:wordWrap w:val="0"/>
              <w:bidi w:val="0"/>
              <w:spacing w:line="360" w:lineRule="atLeast"/>
              <w:ind w:left="-17" w:leftChars="-8" w:firstLine="237" w:firstLineChars="113"/>
              <w:rPr>
                <w:rFonts w:hint="default" w:ascii="Times New Roman" w:hAnsi="Times New Roman" w:eastAsia="宋体" w:cs="Times New Roman"/>
                <w:color w:val="auto"/>
                <w:szCs w:val="21"/>
                <w:highlight w:val="none"/>
                <w:lang w:val="en-US" w:eastAsia="en-US"/>
              </w:rPr>
            </w:pPr>
            <w:r>
              <w:rPr>
                <w:rFonts w:hint="default" w:ascii="Times New Roman" w:hAnsi="Times New Roman" w:eastAsia="宋体" w:cs="Times New Roman"/>
                <w:color w:val="auto"/>
                <w:szCs w:val="21"/>
                <w:highlight w:val="none"/>
              </w:rPr>
              <w:t>(27)承包人不按合同约定履行义务的其他情况。</w:t>
            </w:r>
          </w:p>
        </w:tc>
      </w:tr>
      <w:tr w14:paraId="0994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center"/>
          </w:tcPr>
          <w:p w14:paraId="4E10B1A8">
            <w:pPr>
              <w:widowControl/>
              <w:wordWrap w:val="0"/>
              <w:autoSpaceDE w:val="0"/>
              <w:autoSpaceDN w:val="0"/>
              <w:adjustRightInd w:val="0"/>
              <w:snapToGrid w:val="0"/>
              <w:spacing w:line="400" w:lineRule="exact"/>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7</w:t>
            </w:r>
            <w:r>
              <w:rPr>
                <w:rFonts w:hint="eastAsia"/>
                <w:color w:val="auto"/>
                <w:szCs w:val="21"/>
                <w:highlight w:val="none"/>
                <w:lang w:val="en-US" w:eastAsia="zh-CN"/>
              </w:rPr>
              <w:t>9</w:t>
            </w:r>
          </w:p>
        </w:tc>
        <w:tc>
          <w:tcPr>
            <w:tcW w:w="1111" w:type="dxa"/>
            <w:shd w:val="clear" w:color="auto" w:fill="auto"/>
            <w:noWrap w:val="0"/>
            <w:vAlign w:val="center"/>
          </w:tcPr>
          <w:p w14:paraId="1ED15626">
            <w:pPr>
              <w:widowControl/>
              <w:autoSpaceDE w:val="0"/>
              <w:autoSpaceDN w:val="0"/>
              <w:adjustRightInd w:val="0"/>
              <w:snapToGrid w:val="0"/>
              <w:spacing w:line="400" w:lineRule="exac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22.1.2</w:t>
            </w:r>
          </w:p>
        </w:tc>
        <w:tc>
          <w:tcPr>
            <w:tcW w:w="7304" w:type="dxa"/>
            <w:shd w:val="clear" w:color="auto" w:fill="auto"/>
            <w:noWrap w:val="0"/>
            <w:vAlign w:val="center"/>
          </w:tcPr>
          <w:p w14:paraId="4832EA38">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22. 1.2  对承包人违约的处理</w:t>
            </w:r>
          </w:p>
          <w:p w14:paraId="7D34805C">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（1）承包人发生第 22.1.1（1</w:t>
            </w:r>
            <w:r>
              <w:rPr>
                <w:rFonts w:hint="eastAsia" w:ascii="宋体" w:hAnsi="宋体" w:cs="宋体"/>
                <w:color w:val="auto"/>
                <w:szCs w:val="21"/>
                <w:highlight w:val="none"/>
              </w:rPr>
              <w:t>6</w:t>
            </w:r>
            <w:r>
              <w:rPr>
                <w:rFonts w:ascii="宋体" w:hAnsi="宋体" w:cs="宋体"/>
                <w:color w:val="auto"/>
                <w:szCs w:val="21"/>
                <w:highlight w:val="none"/>
              </w:rPr>
              <w:t>） 目约定的违约情况时，即承包人无法继续履行或明确表示不履行或实质上已停止履行合同的，发包人可通知承包人立即解除合同，并按有关法律程序执行。</w:t>
            </w:r>
          </w:p>
          <w:p w14:paraId="1091A10C">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（2）承包人发生第 22.1.1（</w:t>
            </w:r>
            <w:r>
              <w:rPr>
                <w:rFonts w:hint="eastAsia" w:ascii="宋体" w:hAnsi="宋体" w:cs="宋体"/>
                <w:color w:val="auto"/>
                <w:szCs w:val="21"/>
                <w:highlight w:val="none"/>
              </w:rPr>
              <w:t>21</w:t>
            </w:r>
            <w:r>
              <w:rPr>
                <w:rFonts w:ascii="宋体" w:hAnsi="宋体" w:cs="宋体"/>
                <w:color w:val="auto"/>
                <w:szCs w:val="21"/>
                <w:highlight w:val="none"/>
              </w:rPr>
              <w:t>） 目约定的违约情况，即本项目评标过程中未发现，而在签约后合同履行过程中发现承包人在投标文件中递交了虚假资料的，视轻重程度，发包人有权要求承包人支付合同价格 10%的违约金；如该虚假资料直接影响评标结论和中标结果的，发包人可通知承包人立即解除合同，该项目履约保证金将不予退还。</w:t>
            </w:r>
          </w:p>
          <w:p w14:paraId="54FBF8E0">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（3）承包人发生第 22.1.1（1）、（2）、（7）、（8）、（9）、（1</w:t>
            </w:r>
            <w:r>
              <w:rPr>
                <w:rFonts w:hint="eastAsia" w:ascii="宋体" w:hAnsi="宋体" w:cs="宋体"/>
                <w:color w:val="auto"/>
                <w:szCs w:val="21"/>
                <w:highlight w:val="none"/>
              </w:rPr>
              <w:t>0</w:t>
            </w:r>
            <w:r>
              <w:rPr>
                <w:rFonts w:ascii="宋体" w:hAnsi="宋体" w:cs="宋体"/>
                <w:color w:val="auto"/>
                <w:szCs w:val="21"/>
                <w:highlight w:val="none"/>
              </w:rPr>
              <w:t>）、（1</w:t>
            </w: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7</w:t>
            </w:r>
            <w:r>
              <w:rPr>
                <w:rFonts w:ascii="宋体" w:hAnsi="宋体" w:cs="宋体"/>
                <w:color w:val="auto"/>
                <w:szCs w:val="21"/>
                <w:highlight w:val="none"/>
              </w:rPr>
              <w:t>）、（1</w:t>
            </w: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19</w:t>
            </w:r>
            <w:r>
              <w:rPr>
                <w:rFonts w:ascii="宋体" w:hAnsi="宋体" w:cs="宋体"/>
                <w:color w:val="auto"/>
                <w:szCs w:val="21"/>
                <w:highlight w:val="none"/>
              </w:rPr>
              <w:t>）、（2</w:t>
            </w:r>
            <w:r>
              <w:rPr>
                <w:rFonts w:hint="eastAsia" w:ascii="宋体" w:hAnsi="宋体" w:cs="宋体"/>
                <w:color w:val="auto"/>
                <w:szCs w:val="21"/>
                <w:highlight w:val="none"/>
              </w:rPr>
              <w:t>0</w:t>
            </w:r>
            <w:r>
              <w:rPr>
                <w:rFonts w:ascii="宋体" w:hAnsi="宋体" w:cs="宋体"/>
                <w:color w:val="auto"/>
                <w:szCs w:val="21"/>
                <w:highlight w:val="none"/>
              </w:rPr>
              <w:t>）、（2</w:t>
            </w: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（4）、(27）</w:t>
            </w:r>
            <w:r>
              <w:rPr>
                <w:rFonts w:ascii="宋体" w:hAnsi="宋体" w:cs="宋体"/>
                <w:color w:val="auto"/>
                <w:szCs w:val="21"/>
                <w:highlight w:val="none"/>
              </w:rPr>
              <w:t>目约定的违约情况时，监理人或发包人可向承 包人发出整改通知，要求其在指定的期限内改正。同时，发包人可视承包人违约的严重程度采取下列措施之一。承包人应承担其违约所引起的费用增加和（或）工期延误。</w:t>
            </w:r>
          </w:p>
          <w:p w14:paraId="6203D246">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a 、发包人可要求承包人支付合同价格的 10%（每次）作为违约金。即使交纳了违约金，承包人仍应按合同规定继续实施和完成本合同工程及其缺陷修复。</w:t>
            </w:r>
          </w:p>
          <w:p w14:paraId="729E4487">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b 、发包人可雇用其他承包人完成部分工程。承包人无权对此提出反对意见并应按合同规定完成合同工程其余部分的施工和缺陷修复。在这种情况下，项目管理法人向承包人支付的工程价款中不包括由其他承包人完成部分工程的价格。监理人将确定由于承包人违约而给发包人造成的费用增加和其他损失，报发包人批准后从应付或到期应付给承包人的款项中扣除，并将上述决定通知承包人。</w:t>
            </w:r>
          </w:p>
          <w:p w14:paraId="34D79841">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（4）经检查证明承包人已采取了有效措施纠正违约行为，具备复工条件的，可由监理人签发复工通知复工。</w:t>
            </w:r>
          </w:p>
          <w:p w14:paraId="699775B1">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（5）承包人发生第 22.1.1 项约定的违约情况时，无论发包人是否解除合同，发包人均有权向承包人课以项目专用合同条款中规定的违约金，并由发包人将其违约行为上报省级交通运输主管部门，作为不良记录纳入公路建设市场监督管理系统。</w:t>
            </w:r>
          </w:p>
          <w:p w14:paraId="1C6AC901">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（6）当承包人发生了下述违约情形时，发包人有权要求承包人支付违约金：</w:t>
            </w:r>
          </w:p>
          <w:p w14:paraId="47800633">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 xml:space="preserve">a 、承包人未按合同约定指派项目经理（或项目总工），或项目经理（或项目总  工）在签订合同协议书后 </w:t>
            </w:r>
            <w:r>
              <w:rPr>
                <w:rFonts w:hint="eastAsia" w:ascii="宋体" w:hAnsi="宋体" w:cs="宋体"/>
                <w:color w:val="auto"/>
                <w:szCs w:val="21"/>
                <w:highlight w:val="none"/>
              </w:rPr>
              <w:t>14</w:t>
            </w:r>
            <w:r>
              <w:rPr>
                <w:rFonts w:ascii="宋体" w:hAnsi="宋体" w:cs="宋体"/>
                <w:color w:val="auto"/>
                <w:szCs w:val="21"/>
                <w:highlight w:val="none"/>
              </w:rPr>
              <w:t>天内未到任，或到任后未经批准又离开工地，发包人有权要求承包人按 1 万元（每人每天） 的标准支付违约金；其他人员没有按时到任，或到任后未经批准又离开工地，发包人有权要求承包人按 5000 元（每人每天） 的标准支付违约金。直至缺员到任为止。根据本项规定支付的违约金累计不超过签约合同价的 5%。</w:t>
            </w:r>
          </w:p>
          <w:p w14:paraId="6D82C4A7">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b、承包人按照监理人规定进场的项目经理、项目总工及其他技术和管理人员每人每月在岗时间应满足监理人批准的承包人施工场地管理机构及人员安排报告中的规定，且项目经理及项目总工离开岗位，须经发包人同意，否则发包人有权要求承包人按1万元(项目经理、项目总工、每人每天)、5000元(其他技术和管理人员、每人每天)的标准支付违约金。根据本项规定支付的违约金累计不超过签约合同价的5%。</w:t>
            </w:r>
          </w:p>
          <w:p w14:paraId="28576C02">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c、承包人按照监理人规定进场的每个专业岗位管理人员同时离开工地人数不得 超过 1 人，否则发包人有权要求承包人按 5000 元（每人每天）的标准支付违约金。根据本项规定扣除的违约金累计不超过签约合同价的 2%。</w:t>
            </w:r>
          </w:p>
          <w:p w14:paraId="1D96D33C">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d、承包人的项目经理发生更换情形(因亡故、伤残或重大疾病确实无法履职除外)的，发包人有权要求承包人按1%签约合同价(每人每次)的标准支付违约金，但违约金金额应不低于2万且不高于20万:承包人的项目总工发生更换情形(因亡故、伤残或重大疾病确实无法履职除外)的，发包人有权要求承包人按1%签约合同价(每人每次)的标准支付违约金，但违约金金额应不低于2万且不高于15万。由于相关人员不能胜任本职工作、行为不端或玩忽职守而被监理人按合同条款第4.7款规定要求撤换的，除按照本目的规定交纳违约金外，承包人发生项目经理或项目总工更换的情形时还应向发包人另行支付2万元(每人次)的违约金。</w:t>
            </w:r>
          </w:p>
          <w:p w14:paraId="67FF62D7">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e、承包人存在安全问题或有违反安全管理规章制度的情况时，视其情节轻重，分别给予承包人通报批评、警告、责令停工整改等处罚，发包人有权要求承包人支付5万元的违约金。</w:t>
            </w:r>
          </w:p>
          <w:p w14:paraId="425E27CE">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f、承包人应按劳动合同及时发放薪酬，不得因此影响工程的正常进展及发包人的声誉。因此造成的劳务纠纷，发包人在收到劳动部门的仲裁结果后，有权根据仲裁结果从应付给承包人的工程款中代为扣付。对工程的正常进展及发包人声誉造成影响的，发包人有权要求承包人支付5万元的违约金。</w:t>
            </w:r>
          </w:p>
          <w:p w14:paraId="0CDDCB4B">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（7）当承包人发生了下述违约情形时，发包人将要求承包人支付违约金：</w:t>
            </w:r>
          </w:p>
          <w:p w14:paraId="6C8ADED0">
            <w:pPr>
              <w:spacing w:line="400" w:lineRule="exact"/>
              <w:ind w:left="105" w:leftChars="50" w:right="105" w:rightChars="50"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a、承包人因施工质量问题、安全(含内业)问题等被市级及以上交通运输主管部门通报批评的，发包人将要求承包人按5000元/次的标准支付违约金。    </w:t>
            </w:r>
          </w:p>
          <w:p w14:paraId="20B4E675">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b、在市级及以上交通运输主管部门或财政部门或审计部门组织的绩效评价、绩效监督、专项审计、市场检查等过程中，承包人被查实未按合同履约的(包括但不限于:未严格按设计图纸施工、施工内业存在问题、超前申请计量、自检频率不足、分包管理不规范、未按规定执行农民工工资保障政策)，发包人将要求承包人按5000元/项的标准支付违约金。</w:t>
            </w:r>
          </w:p>
          <w:p w14:paraId="6AD936C4">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c、承包人在监理人规定的截止日前，签订合同时所确认的主要机械及试验、测量设备不能按时进场，每迟到1天，发包人将要求承包人按照该设备的台班费(以交通运输部现行《预算定额》为准)的三倍支付违约金，直到设备进场为止。</w:t>
            </w:r>
          </w:p>
          <w:p w14:paraId="07D2E2F9">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d、在工程实施期间，未经监理人批准，承包人进场的施工机械和材料试验、质检仪器设备撤离现场，发包人将要求承包人按该设备的重置价值支付违约金。</w:t>
            </w:r>
          </w:p>
          <w:p w14:paraId="5A611DA8">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e </w:t>
            </w:r>
            <w:r>
              <w:rPr>
                <w:rFonts w:ascii="宋体" w:hAnsi="宋体" w:cs="宋体"/>
                <w:color w:val="auto"/>
                <w:szCs w:val="21"/>
                <w:highlight w:val="none"/>
              </w:rPr>
              <w:t>、在施工期间，承包人若违反施工操作及管理程序，一经发现，发包人将要求承包人按 5 万元/次的标准支付违约金。</w:t>
            </w:r>
          </w:p>
          <w:p w14:paraId="796C2328">
            <w:pPr>
              <w:spacing w:line="400" w:lineRule="exact"/>
              <w:ind w:left="105" w:leftChars="50" w:right="105" w:rightChars="50" w:firstLine="420" w:firstLineChars="200"/>
              <w:rPr>
                <w:rFonts w:ascii="宋体" w:hAnsi="宋体" w:cs="宋体"/>
                <w:color w:val="auto"/>
                <w:szCs w:val="21"/>
                <w:highlight w:val="none"/>
              </w:rPr>
            </w:pPr>
            <w:r>
              <w:rPr>
                <w:rFonts w:hint="eastAsia" w:ascii="宋体" w:hAnsi="宋体" w:cs="宋体"/>
                <w:color w:val="auto"/>
                <w:szCs w:val="21"/>
                <w:highlight w:val="none"/>
              </w:rPr>
              <w:t>f、承包人在施工期间如果在各种报表及检查试验记录中自己作假或诱导监理人作假，发包人将要求承包人按每次1万~5万元的标准支付违约金。</w:t>
            </w:r>
          </w:p>
          <w:p w14:paraId="3752F4A3">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g、</w:t>
            </w:r>
            <w:r>
              <w:rPr>
                <w:rFonts w:hint="eastAsia" w:ascii="宋体" w:hAnsi="宋体" w:cs="宋体"/>
                <w:color w:val="auto"/>
                <w:szCs w:val="21"/>
                <w:highlight w:val="none"/>
              </w:rPr>
              <w:t>承包人在施工期间如果未按照发包人要求及规定的时间上报各种进度报表、情况说明、整改报告等相关材料，经发包人督促后仍不整改的，发包人将要求承包人按每次1万~5万元标准支付违约金。</w:t>
            </w:r>
          </w:p>
          <w:p w14:paraId="0521976B">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h、承包人降低施工标准或偷工减料的，发包人将要求承包人按每次 5 万元的标准支付违约金。</w:t>
            </w:r>
          </w:p>
          <w:p w14:paraId="7FFDB350">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i、因承包人原因发生一般及以上质量事故所造成的经济纠纷及第三方损失，由承包人自行处理并承担相关费用。</w:t>
            </w:r>
          </w:p>
          <w:p w14:paraId="5C261804">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j 、因承包人原因发生《公路水运建设工程质量事故等级划分和报告制度》（交办安监〔2016〕146 号）中的质量问题、一般质量事故、较大质量事故、重大质量事故、特别重大质量事故的，发包人将要求承包人按每次5万元、10 万元、20万元、30 万元的标准支付违约金。</w:t>
            </w:r>
          </w:p>
          <w:p w14:paraId="1FC338A7">
            <w:pPr>
              <w:spacing w:line="400" w:lineRule="exact"/>
              <w:ind w:left="105" w:leftChars="50" w:right="105" w:rightChars="50" w:firstLine="420" w:firstLineChars="200"/>
              <w:rPr>
                <w:rFonts w:ascii="宋体" w:hAnsi="宋体" w:cs="宋体"/>
                <w:color w:val="auto"/>
                <w:szCs w:val="21"/>
                <w:highlight w:val="none"/>
              </w:rPr>
            </w:pPr>
            <w:r>
              <w:rPr>
                <w:rFonts w:ascii="宋体" w:hAnsi="宋体" w:cs="宋体"/>
                <w:color w:val="auto"/>
                <w:szCs w:val="21"/>
                <w:highlight w:val="none"/>
              </w:rPr>
              <w:t>k、由于承包人原因导致本合同工程质量未达到合同约定的目标，发包人将要求承包人支付质量保证金的30%作为违约金。如因承包人原因导致本项目质量未达到工程验收质量目标，发包人将要求承包人支付质量保证金的50%作为违约金。承包人缴纳了违约金，不免除其按照合同约定使工程达到合同约定目标的义务。</w:t>
            </w:r>
          </w:p>
          <w:p w14:paraId="29B74FFF">
            <w:pPr>
              <w:widowControl/>
              <w:autoSpaceDE w:val="0"/>
              <w:autoSpaceDN w:val="0"/>
              <w:adjustRightInd w:val="0"/>
              <w:snapToGrid w:val="0"/>
              <w:spacing w:line="400" w:lineRule="exact"/>
              <w:ind w:firstLine="210" w:firstLineChars="100"/>
              <w:textAlignment w:val="baseline"/>
              <w:rPr>
                <w:rFonts w:hint="default" w:ascii="Times New Roman" w:hAnsi="Times New Roman" w:eastAsia="宋体" w:cs="Times New Roman"/>
                <w:color w:val="auto"/>
                <w:kern w:val="2"/>
                <w:sz w:val="21"/>
                <w:szCs w:val="21"/>
                <w:highlight w:val="none"/>
                <w:lang w:val="en-US" w:eastAsia="zh-CN" w:bidi="ar-SA"/>
              </w:rPr>
            </w:pPr>
            <w:r>
              <w:rPr>
                <w:rFonts w:ascii="宋体" w:hAnsi="宋体" w:cs="宋体"/>
                <w:color w:val="auto"/>
                <w:szCs w:val="21"/>
                <w:highlight w:val="none"/>
              </w:rPr>
              <w:t>本款提及的所有违约金（包括由于承包人违约而给发包人造成的费用增加和其他损失，下同）将从期中支付证书中扣除或现金形式的履约保证金中扣除或汇入发包人账户或通知履约保函开具银行支付，直至通过诉讼手段向承包人进行追索。</w:t>
            </w:r>
          </w:p>
        </w:tc>
      </w:tr>
      <w:tr w14:paraId="4288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center"/>
          </w:tcPr>
          <w:p w14:paraId="14C671D5">
            <w:pPr>
              <w:widowControl/>
              <w:wordWrap w:val="0"/>
              <w:autoSpaceDE w:val="0"/>
              <w:autoSpaceDN w:val="0"/>
              <w:adjustRightInd w:val="0"/>
              <w:snapToGrid w:val="0"/>
              <w:spacing w:line="400" w:lineRule="exact"/>
              <w:jc w:val="center"/>
              <w:textAlignment w:val="baseline"/>
              <w:rPr>
                <w:rFonts w:hint="default" w:ascii="Times New Roman" w:hAnsi="Times New Roman" w:eastAsia="宋体" w:cs="Times New Roman"/>
                <w:kern w:val="2"/>
                <w:sz w:val="21"/>
                <w:szCs w:val="21"/>
                <w:lang w:val="en-US" w:eastAsia="zh-CN" w:bidi="ar-SA"/>
              </w:rPr>
            </w:pPr>
            <w:r>
              <w:rPr>
                <w:rFonts w:hint="eastAsia"/>
                <w:szCs w:val="21"/>
                <w:lang w:val="en-US" w:eastAsia="zh-CN"/>
              </w:rPr>
              <w:t>80</w:t>
            </w:r>
          </w:p>
        </w:tc>
        <w:tc>
          <w:tcPr>
            <w:tcW w:w="1111" w:type="dxa"/>
            <w:shd w:val="clear" w:color="auto" w:fill="auto"/>
            <w:noWrap w:val="0"/>
            <w:vAlign w:val="center"/>
          </w:tcPr>
          <w:p w14:paraId="23EFA4BB">
            <w:pPr>
              <w:widowControl/>
              <w:autoSpaceDE w:val="0"/>
              <w:autoSpaceDN w:val="0"/>
              <w:adjustRightInd w:val="0"/>
              <w:snapToGrid w:val="0"/>
              <w:spacing w:line="400" w:lineRule="exact"/>
              <w:jc w:val="center"/>
              <w:textAlignment w:val="baseline"/>
              <w:rPr>
                <w:rFonts w:hint="default" w:ascii="Times New Roman" w:hAnsi="Times New Roman" w:eastAsia="宋体" w:cs="Times New Roman"/>
                <w:kern w:val="2"/>
                <w:sz w:val="21"/>
                <w:szCs w:val="21"/>
                <w:lang w:val="en-US" w:eastAsia="zh-CN" w:bidi="ar-SA"/>
              </w:rPr>
            </w:pPr>
            <w:r>
              <w:rPr>
                <w:rFonts w:hint="eastAsia"/>
                <w:szCs w:val="21"/>
              </w:rPr>
              <w:t>22.1.3</w:t>
            </w:r>
          </w:p>
        </w:tc>
        <w:tc>
          <w:tcPr>
            <w:tcW w:w="7304" w:type="dxa"/>
            <w:shd w:val="clear" w:color="auto" w:fill="auto"/>
            <w:noWrap w:val="0"/>
            <w:vAlign w:val="center"/>
          </w:tcPr>
          <w:p w14:paraId="21AE645D">
            <w:pPr>
              <w:widowControl/>
              <w:autoSpaceDE w:val="0"/>
              <w:autoSpaceDN w:val="0"/>
              <w:adjustRightInd w:val="0"/>
              <w:snapToGrid w:val="0"/>
              <w:spacing w:line="400" w:lineRule="exact"/>
              <w:textAlignment w:val="baseline"/>
              <w:rPr>
                <w:szCs w:val="21"/>
              </w:rPr>
            </w:pPr>
            <w:r>
              <w:rPr>
                <w:rFonts w:hint="eastAsia"/>
                <w:szCs w:val="21"/>
              </w:rPr>
              <w:t>22.1.3承包人违约解除合同</w:t>
            </w:r>
          </w:p>
          <w:p w14:paraId="07B06F35">
            <w:pPr>
              <w:widowControl/>
              <w:autoSpaceDE w:val="0"/>
              <w:autoSpaceDN w:val="0"/>
              <w:adjustRightInd w:val="0"/>
              <w:snapToGrid w:val="0"/>
              <w:spacing w:line="400" w:lineRule="exact"/>
              <w:ind w:firstLine="210" w:firstLineChars="100"/>
              <w:textAlignment w:val="baseline"/>
              <w:rPr>
                <w:rFonts w:hint="default" w:ascii="Times New Roman" w:hAnsi="Times New Roman" w:eastAsia="宋体" w:cs="Times New Roman"/>
                <w:kern w:val="2"/>
                <w:sz w:val="21"/>
                <w:szCs w:val="21"/>
                <w:lang w:val="en-US" w:eastAsia="zh-CN" w:bidi="ar-SA"/>
              </w:rPr>
            </w:pPr>
            <w:r>
              <w:rPr>
                <w:rFonts w:hint="eastAsia"/>
                <w:szCs w:val="21"/>
              </w:rPr>
              <w:t>当承包人发生违约情形，且监理人发出整改通知14天后，承包人仍不纠正违约行为的，发包人可向承包人发出解除合同通知，终止承包人对本合同工程的承包，但不因此解除合同规定的承包人的任何义务和责任，或影响合同赋予发包人或监理人的各种权利和权限。合同解除后，发包人可派员进驻施工场地接管工程，自行完成该工程或邀请其他承包人完成该工程。发包人或其他承包人因继续完成该工程的需要，有权扣留使用承包人在现场的材料、设备和临时设施。合同解除后的有关事宜应按照第22.1.4和22.1.5款的规定办理。</w:t>
            </w:r>
          </w:p>
        </w:tc>
      </w:tr>
      <w:tr w14:paraId="097B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shd w:val="clear" w:color="auto" w:fill="auto"/>
            <w:noWrap w:val="0"/>
            <w:vAlign w:val="center"/>
          </w:tcPr>
          <w:p w14:paraId="628CCD7F">
            <w:pPr>
              <w:widowControl/>
              <w:wordWrap w:val="0"/>
              <w:autoSpaceDE w:val="0"/>
              <w:autoSpaceDN w:val="0"/>
              <w:adjustRightInd w:val="0"/>
              <w:snapToGrid w:val="0"/>
              <w:spacing w:line="400" w:lineRule="exact"/>
              <w:jc w:val="center"/>
              <w:textAlignment w:val="baseline"/>
              <w:rPr>
                <w:rFonts w:hint="default" w:ascii="Times New Roman" w:hAnsi="Times New Roman" w:eastAsia="宋体" w:cs="Times New Roman"/>
                <w:kern w:val="2"/>
                <w:sz w:val="21"/>
                <w:szCs w:val="21"/>
                <w:lang w:val="en-US" w:eastAsia="zh-CN" w:bidi="ar-SA"/>
              </w:rPr>
            </w:pPr>
            <w:r>
              <w:rPr>
                <w:rFonts w:hint="eastAsia"/>
                <w:szCs w:val="21"/>
                <w:lang w:val="en-US" w:eastAsia="zh-CN"/>
              </w:rPr>
              <w:t>81</w:t>
            </w:r>
          </w:p>
        </w:tc>
        <w:tc>
          <w:tcPr>
            <w:tcW w:w="1111" w:type="dxa"/>
            <w:shd w:val="clear" w:color="auto" w:fill="auto"/>
            <w:noWrap w:val="0"/>
            <w:vAlign w:val="center"/>
          </w:tcPr>
          <w:p w14:paraId="7D31AB7F">
            <w:pPr>
              <w:widowControl/>
              <w:autoSpaceDE w:val="0"/>
              <w:autoSpaceDN w:val="0"/>
              <w:adjustRightInd w:val="0"/>
              <w:snapToGrid w:val="0"/>
              <w:spacing w:line="400" w:lineRule="exact"/>
              <w:jc w:val="center"/>
              <w:textAlignment w:val="baseline"/>
              <w:rPr>
                <w:rFonts w:hint="default" w:ascii="Times New Roman" w:hAnsi="Times New Roman" w:eastAsia="宋体" w:cs="Times New Roman"/>
                <w:kern w:val="2"/>
                <w:sz w:val="21"/>
                <w:szCs w:val="21"/>
                <w:lang w:val="en-US" w:eastAsia="zh-CN" w:bidi="ar-SA"/>
              </w:rPr>
            </w:pPr>
            <w:r>
              <w:rPr>
                <w:rFonts w:hint="eastAsia"/>
                <w:szCs w:val="21"/>
              </w:rPr>
              <w:t>22.2.2</w:t>
            </w:r>
          </w:p>
        </w:tc>
        <w:tc>
          <w:tcPr>
            <w:tcW w:w="7304" w:type="dxa"/>
            <w:shd w:val="clear" w:color="auto" w:fill="auto"/>
            <w:noWrap w:val="0"/>
            <w:vAlign w:val="center"/>
          </w:tcPr>
          <w:p w14:paraId="0B1AF6BB">
            <w:pPr>
              <w:widowControl/>
              <w:autoSpaceDE w:val="0"/>
              <w:autoSpaceDN w:val="0"/>
              <w:adjustRightInd w:val="0"/>
              <w:snapToGrid w:val="0"/>
              <w:spacing w:line="400" w:lineRule="exact"/>
              <w:textAlignment w:val="baseline"/>
              <w:rPr>
                <w:szCs w:val="21"/>
                <w:u w:val="single"/>
              </w:rPr>
            </w:pPr>
            <w:r>
              <w:rPr>
                <w:rFonts w:hint="eastAsia"/>
                <w:szCs w:val="21"/>
              </w:rPr>
              <w:t>如承包人采用现金形式向发包人提交履约保证金</w:t>
            </w:r>
            <w:r>
              <w:rPr>
                <w:szCs w:val="21"/>
              </w:rPr>
              <w:fldChar w:fldCharType="begin"/>
            </w:r>
            <w:r>
              <w:rPr>
                <w:rFonts w:hint="eastAsia"/>
                <w:szCs w:val="21"/>
              </w:rPr>
              <w:instrText xml:space="preserve">INDEX \o "S" \z "2052"</w:instrText>
            </w:r>
            <w:r>
              <w:rPr>
                <w:szCs w:val="21"/>
              </w:rPr>
              <w:fldChar w:fldCharType="end"/>
            </w:r>
            <w:r>
              <w:rPr>
                <w:rFonts w:hint="eastAsia"/>
                <w:szCs w:val="21"/>
              </w:rPr>
              <w:t>或质量保证金时，发包人无正当理由不按时返还的，发包人应向承包人支付的违约金：</w:t>
            </w:r>
            <w:r>
              <w:rPr>
                <w:rFonts w:hint="eastAsia"/>
                <w:szCs w:val="21"/>
                <w:u w:val="single"/>
              </w:rPr>
              <w:t>本项目进度付款涉及政府投资资金，</w:t>
            </w:r>
            <w:r>
              <w:rPr>
                <w:rFonts w:hint="eastAsia" w:ascii="宋体" w:hAnsi="宋体" w:cs="宋体"/>
                <w:szCs w:val="21"/>
                <w:u w:val="single"/>
              </w:rPr>
              <w:t>进度付款按照国库集中支付等国家及项目所在地省市及地区的政府及各级行业主管部门的相关规定办理。</w:t>
            </w:r>
          </w:p>
          <w:p w14:paraId="410B618F">
            <w:pPr>
              <w:widowControl/>
              <w:autoSpaceDE w:val="0"/>
              <w:autoSpaceDN w:val="0"/>
              <w:adjustRightInd w:val="0"/>
              <w:snapToGrid w:val="0"/>
              <w:spacing w:line="400" w:lineRule="exact"/>
              <w:textAlignment w:val="baseline"/>
              <w:rPr>
                <w:rFonts w:hint="default" w:ascii="Times New Roman" w:hAnsi="Times New Roman" w:eastAsia="宋体" w:cs="Times New Roman"/>
                <w:kern w:val="2"/>
                <w:sz w:val="21"/>
                <w:szCs w:val="21"/>
                <w:lang w:val="en-US" w:eastAsia="zh-CN" w:bidi="ar-SA"/>
              </w:rPr>
            </w:pPr>
            <w:r>
              <w:rPr>
                <w:rFonts w:hint="eastAsia"/>
                <w:szCs w:val="21"/>
              </w:rPr>
              <w:t>发包人无正当理由不按时返还农民工工资保证金的，应向承包人支付的违约金：</w:t>
            </w:r>
            <w:r>
              <w:rPr>
                <w:rFonts w:hint="eastAsia"/>
                <w:szCs w:val="21"/>
                <w:u w:val="single"/>
              </w:rPr>
              <w:t>不适用</w:t>
            </w:r>
            <w:r>
              <w:rPr>
                <w:rFonts w:hint="eastAsia"/>
                <w:szCs w:val="21"/>
              </w:rPr>
              <w:t>。</w:t>
            </w:r>
          </w:p>
        </w:tc>
      </w:tr>
      <w:tr w14:paraId="2CE4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 w:type="dxa"/>
            <w:noWrap w:val="0"/>
            <w:vAlign w:val="center"/>
          </w:tcPr>
          <w:p w14:paraId="17239D69">
            <w:pPr>
              <w:pageBreakBefore w:val="0"/>
              <w:kinsoku/>
              <w:wordWrap w:val="0"/>
              <w:bidi w:val="0"/>
              <w:snapToGrid w:val="0"/>
              <w:spacing w:line="36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82</w:t>
            </w:r>
          </w:p>
        </w:tc>
        <w:tc>
          <w:tcPr>
            <w:tcW w:w="1111" w:type="dxa"/>
            <w:noWrap w:val="0"/>
            <w:vAlign w:val="center"/>
          </w:tcPr>
          <w:p w14:paraId="2157B3D4">
            <w:pPr>
              <w:pageBreakBefore w:val="0"/>
              <w:kinsoku/>
              <w:wordWrap w:val="0"/>
              <w:bidi w:val="0"/>
              <w:snapToGrid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24.1</w:t>
            </w:r>
          </w:p>
        </w:tc>
        <w:tc>
          <w:tcPr>
            <w:tcW w:w="7304" w:type="dxa"/>
            <w:noWrap w:val="0"/>
            <w:vAlign w:val="center"/>
          </w:tcPr>
          <w:p w14:paraId="72AFD923">
            <w:pPr>
              <w:pageBreakBefore w:val="0"/>
              <w:kinsoku/>
              <w:wordWrap w:val="0"/>
              <w:bidi w:val="0"/>
              <w:spacing w:line="360" w:lineRule="atLeast"/>
              <w:ind w:left="-17" w:leftChars="-8" w:firstLine="237" w:firstLineChars="1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争议的最终解决方式：</w:t>
            </w:r>
            <w:r>
              <w:rPr>
                <w:rFonts w:hint="default" w:ascii="Times New Roman" w:hAnsi="Times New Roman" w:cs="Times New Roman"/>
                <w:color w:val="auto"/>
                <w:szCs w:val="21"/>
                <w:highlight w:val="none"/>
                <w:u w:val="single"/>
              </w:rPr>
              <w:t xml:space="preserve">  </w:t>
            </w:r>
            <w:r>
              <w:rPr>
                <w:szCs w:val="21"/>
                <w:u w:val="single"/>
              </w:rPr>
              <w:t xml:space="preserve">诉讼  </w:t>
            </w:r>
          </w:p>
          <w:p w14:paraId="5BE0DBE7">
            <w:pPr>
              <w:pStyle w:val="26"/>
              <w:pageBreakBefore w:val="0"/>
              <w:tabs>
                <w:tab w:val="clear" w:pos="4153"/>
                <w:tab w:val="clear" w:pos="8306"/>
              </w:tabs>
              <w:kinsoku/>
              <w:wordWrap w:val="0"/>
              <w:bidi w:val="0"/>
              <w:spacing w:line="360" w:lineRule="atLeast"/>
              <w:ind w:firstLine="237" w:firstLineChars="113"/>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如采用仲裁，仲裁委员会名称：</w:t>
            </w:r>
            <w:r>
              <w:rPr>
                <w:rFonts w:hint="default" w:ascii="Times New Roman" w:hAnsi="Times New Roman" w:cs="Times New Roman"/>
                <w:color w:val="auto"/>
                <w:sz w:val="21"/>
                <w:szCs w:val="21"/>
                <w:highlight w:val="none"/>
                <w:u w:val="single"/>
              </w:rPr>
              <w:t xml:space="preserve"> </w:t>
            </w:r>
            <w:r>
              <w:rPr>
                <w:rFonts w:hint="eastAsia" w:cs="Times New Roman"/>
                <w:color w:val="auto"/>
                <w:sz w:val="21"/>
                <w:szCs w:val="21"/>
                <w:highlight w:val="none"/>
                <w:u w:val="single"/>
                <w:lang w:val="en-US" w:eastAsia="zh-CN"/>
              </w:rPr>
              <w:t>/</w:t>
            </w:r>
            <w:r>
              <w:rPr>
                <w:rFonts w:hint="default" w:ascii="Times New Roman" w:hAnsi="Times New Roman" w:cs="Times New Roman"/>
                <w:color w:val="auto"/>
                <w:sz w:val="21"/>
                <w:szCs w:val="21"/>
                <w:highlight w:val="none"/>
                <w:u w:val="single"/>
              </w:rPr>
              <w:t xml:space="preserve">      </w:t>
            </w:r>
          </w:p>
        </w:tc>
      </w:tr>
    </w:tbl>
    <w:p w14:paraId="011E974F">
      <w:pPr>
        <w:pStyle w:val="2"/>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sectPr>
          <w:headerReference r:id="rId33" w:type="default"/>
          <w:footerReference r:id="rId35" w:type="default"/>
          <w:headerReference r:id="rId34" w:type="even"/>
          <w:footerReference r:id="rId36"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719" w:name="_Toc234833222"/>
    </w:p>
    <w:p w14:paraId="03B260E6">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yellow"/>
        </w:rPr>
      </w:pPr>
      <w:bookmarkStart w:id="1720" w:name="_Toc28935"/>
      <w:bookmarkStart w:id="1721" w:name="_Toc21888"/>
      <w:bookmarkStart w:id="1722" w:name="_Toc1829"/>
      <w:bookmarkStart w:id="1723" w:name="_Toc206"/>
      <w:r>
        <w:rPr>
          <w:rFonts w:hint="default" w:ascii="Times New Roman" w:hAnsi="Times New Roman" w:eastAsia="黑体" w:cs="Times New Roman"/>
          <w:b w:val="0"/>
          <w:color w:val="auto"/>
          <w:sz w:val="32"/>
          <w:szCs w:val="32"/>
          <w:highlight w:val="yellow"/>
        </w:rPr>
        <w:t>项目专用合同条款</w:t>
      </w:r>
      <w:bookmarkEnd w:id="1719"/>
      <w:bookmarkEnd w:id="1720"/>
      <w:r>
        <w:rPr>
          <w:rStyle w:val="47"/>
          <w:rFonts w:hint="default" w:ascii="Times New Roman" w:hAnsi="Times New Roman" w:eastAsia="黑体" w:cs="Times New Roman"/>
          <w:b w:val="0"/>
          <w:color w:val="auto"/>
          <w:sz w:val="32"/>
          <w:szCs w:val="32"/>
          <w:highlight w:val="yellow"/>
        </w:rPr>
        <w:footnoteReference w:id="41"/>
      </w:r>
      <w:bookmarkEnd w:id="1721"/>
      <w:bookmarkEnd w:id="1722"/>
      <w:bookmarkEnd w:id="1723"/>
    </w:p>
    <w:p w14:paraId="29D9FA9B">
      <w:pPr>
        <w:pageBreakBefore w:val="0"/>
        <w:kinsoku/>
        <w:wordWrap w:val="0"/>
        <w:bidi w:val="0"/>
        <w:rPr>
          <w:rFonts w:hint="default" w:ascii="Times New Roman" w:hAnsi="Times New Roman" w:cs="Times New Roman"/>
          <w:color w:val="auto"/>
          <w:highlight w:val="none"/>
        </w:rPr>
      </w:pPr>
    </w:p>
    <w:p w14:paraId="2A4CB0C8">
      <w:pPr>
        <w:pStyle w:val="17"/>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本部分所列的项目专用合同条款是对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中规定必须在项目专用合同条款中明确的内容的集中，招标人编制的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不限于本部分所列内容。</w:t>
      </w:r>
    </w:p>
    <w:p w14:paraId="5F479ED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24" w:name="_Toc22768"/>
      <w:bookmarkStart w:id="1725" w:name="_Toc23600"/>
      <w:bookmarkStart w:id="1726" w:name="_Toc5802"/>
      <w:bookmarkStart w:id="1727" w:name="_Toc234833223"/>
      <w:bookmarkStart w:id="1728" w:name="_Toc3467"/>
      <w:r>
        <w:rPr>
          <w:rFonts w:hint="default" w:ascii="Times New Roman" w:hAnsi="Times New Roman" w:eastAsia="黑体" w:cs="Times New Roman"/>
          <w:b w:val="0"/>
          <w:color w:val="auto"/>
          <w:sz w:val="24"/>
          <w:szCs w:val="24"/>
          <w:highlight w:val="none"/>
        </w:rPr>
        <w:t>4.1 承包人的一般义务</w:t>
      </w:r>
      <w:bookmarkEnd w:id="1724"/>
      <w:bookmarkEnd w:id="1725"/>
      <w:bookmarkEnd w:id="1726"/>
      <w:bookmarkEnd w:id="1727"/>
      <w:bookmarkEnd w:id="1728"/>
    </w:p>
    <w:p w14:paraId="7DFDECA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1E002D7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29" w:name="_Toc18399"/>
      <w:bookmarkStart w:id="1730" w:name="_Toc21641"/>
      <w:bookmarkStart w:id="1731" w:name="_Toc121"/>
      <w:bookmarkStart w:id="1732" w:name="_Toc12950"/>
      <w:bookmarkStart w:id="1733" w:name="_Toc234833224"/>
      <w:r>
        <w:rPr>
          <w:rFonts w:hint="default" w:ascii="Times New Roman" w:hAnsi="Times New Roman" w:eastAsia="黑体" w:cs="Times New Roman"/>
          <w:b w:val="0"/>
          <w:color w:val="auto"/>
          <w:sz w:val="24"/>
          <w:szCs w:val="24"/>
          <w:highlight w:val="none"/>
        </w:rPr>
        <w:t>本项(1)目补充：</w:t>
      </w:r>
    </w:p>
    <w:p w14:paraId="6472D91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(1)承包人应根据工程实际情况确定临时占地最长使用期限，临时占地的租地费用 的计量和支付：  详见《项目专用合同条款数据表》</w:t>
      </w:r>
    </w:p>
    <w:p w14:paraId="64DFC39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p>
    <w:p w14:paraId="2452FAC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本项(3)目补充：</w:t>
      </w:r>
    </w:p>
    <w:p w14:paraId="39A2F9A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承包人对于农民工工资的发放应严格遵守的规定： 详见《项目专用合同条款数据 表 》  °</w:t>
      </w:r>
    </w:p>
    <w:p w14:paraId="61F8103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p>
    <w:p w14:paraId="578899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本项(6)目约定为：</w:t>
      </w:r>
    </w:p>
    <w:p w14:paraId="089E425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(6)承包人还应履行本目约定的义务，除另有约定外，承包人因履行如下义务所发 生的费用应认为已含入其他支付项中，项目管理法人不另行支付：</w:t>
      </w:r>
    </w:p>
    <w:p w14:paraId="7215896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a.  承包人应接受质监机构对其工程施工质量的监督与检查，凡工程质量不合格的工 程发包人将不验收、不支付，并由承包人自费拆除重建。</w:t>
      </w:r>
    </w:p>
    <w:p w14:paraId="65B1EB4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b. 如现场遇有重大问题或应发包人的要求，承包人的法定代表人和相关的技术、财 务等主要人员应及时到达施工现场，协调、解决重大问题。</w:t>
      </w:r>
    </w:p>
    <w:p w14:paraId="057DACA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c.承包人与本合同段的分包、雇用劳务、运输、供料等委托单位之间发生的经济纠 纷，应由承包人承担一切经济和法律责任。承包人因承担实施其他项目工程引起的经济 纠纷，应采取必要措施，不得牵连干扰本项目。</w:t>
      </w:r>
    </w:p>
    <w:p w14:paraId="24ED1AD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d. 承包人应负责处理好施工现场的邻里关系，确保人员、材料、设备的进出场，以 及施工的顺利进行。如在施工过程中由于承包人与周边单位或个人的关系处理不当造成 了阻工和停工，承包人应自行负责解决。发包人的配合协助协调工作并不免除承包人自 行解决矛盾的责任。</w:t>
      </w:r>
    </w:p>
    <w:p w14:paraId="4C6F093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e. 凡是合同段内与各种公共设施有交叉、干扰的地段，承包人应在不干扰相关设施 运营的前提下合理安排施工组织计划，采取有效措施保证运营需求和施工安全。如因承 包人采取的措施不力，而给其它部门或个人造成损失，或由上述原因造成本工程工期的 拖延或施工费用的增加，均由承包人自行负责。</w:t>
      </w:r>
    </w:p>
    <w:p w14:paraId="0975C27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f. 多个施工单位在同一区域施工时，监理人有权协调工程的实施并对工程的衔接提 出指示，承包人应在监理人的统一协调下工作。</w:t>
      </w:r>
    </w:p>
    <w:p w14:paraId="0B35CB1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g.  有关单位对本项目的各种检查和视察等活动，承包人有义务予以积极配合。</w:t>
      </w:r>
    </w:p>
    <w:p w14:paraId="1339EE3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h. 承包人在购买工程施工所需地平材料时，因地平材料的采集、购买引起的一切经 济、法律争端全部由承包人负责。</w:t>
      </w:r>
    </w:p>
    <w:p w14:paraId="5E29EA0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i. 承包人应对设计文件进行认真的审核和校对，及时发现设计图纸中常识性错误， 否则由此造成的返工，承包人承担全部责任并承担返工费用。</w:t>
      </w:r>
    </w:p>
    <w:p w14:paraId="022575E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j.  承包人在施工过程中必须采取有效措施保证临时排水畅通，由于承包人原因造成 的水毁、水淹农田等一切经济损失由承包人承担。</w:t>
      </w:r>
    </w:p>
    <w:p w14:paraId="2F77C0D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k. 由于承包人原因引起的法律纠纷，由承包人自行解决；在法律纠纷中，承包人不 得以质量保证金作为抵押；因承包人原因引起的法律纠纷影响发包人正常工作时，按承 包人违约处理。</w:t>
      </w:r>
    </w:p>
    <w:p w14:paraId="2DD22E4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1.承包人应做好施工期的环境保护、水土保持和文物保护，由此产生的费用以及引 起的与外界的所有争端、索赔责任均由承包人承担。</w:t>
      </w:r>
    </w:p>
    <w:p w14:paraId="644179C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m. 未经发包人同意，承包人不得将施工现场用于本工程施工以外的目的，不得将永 久占地作为生产(办公)、生活等临时设施用地。</w:t>
      </w:r>
    </w:p>
    <w:p w14:paraId="261B50B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n. 本工程项目有关的各类统计报表和汇报材料包括项目后评价报告，承包人有义务 配合发包人做好编制工作并提供相应的资料。</w:t>
      </w:r>
    </w:p>
    <w:p w14:paraId="7F5EA33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o.  承包人应按发包人和有关文件要求，建立相应的计量、支付和变更台帐，同时承 包人应配合发包人建立相应的台帐，发包人、承包人、监理人三方各自的台帐应相应保 持一致并保持其持续有效直至工程结算完成。</w:t>
      </w:r>
    </w:p>
    <w:p w14:paraId="5D5372B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p.  施工工艺要求</w:t>
      </w:r>
    </w:p>
    <w:p w14:paraId="0D0CCF5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承包人应采取一切必要的措施，严格执行施工过程中发包人下发的施工技术指导意 见和技术规范的各项规定，以保证达到合同规定的质量要求。</w:t>
      </w:r>
    </w:p>
    <w:p w14:paraId="66143C0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4" w:name="bookmark205"/>
      <w:bookmarkEnd w:id="1734"/>
      <w:r>
        <w:rPr>
          <w:rFonts w:hint="default" w:ascii="Times New Roman" w:hAnsi="Times New Roman" w:eastAsia="黑体" w:cs="Times New Roman"/>
          <w:b w:val="0"/>
          <w:color w:val="auto"/>
          <w:sz w:val="24"/>
          <w:szCs w:val="24"/>
          <w:highlight w:val="none"/>
        </w:rPr>
        <w:t>q. 承包人应按发包人的要求配合发包人进行的科研和试验课题研究，提供必要的试 验场地、设备及人员等，并将其详细成果资料报发包人备案。承包人的工地试验室的试 验检测必须遵守各级交通运输主管部门的相关规定，监理人在必要时可以无偿使用承包 人的试验检测设备。</w:t>
      </w:r>
    </w:p>
    <w:p w14:paraId="04603A7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r.承包人应对发包人的机密资料以及完成的阶段性、成果性文件承担保密义务，并 自愿承担泄密的法律责任，如因承包人违反上述约定给发包人造成损失的，承包人应承 担相关的法律及经济责任。</w:t>
      </w:r>
    </w:p>
    <w:p w14:paraId="12F1403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s.  承包人应严格遵守国家及项目所在地相关的法律法规及各项规定，因承包人自身 原因违规所产生的一切直接或间接责任、经济纠纷均由承包人自行承担。</w:t>
      </w:r>
    </w:p>
    <w:p w14:paraId="7981191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t.项目审计、检查、管理等的配合</w:t>
      </w:r>
    </w:p>
    <w:p w14:paraId="0745C5B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(a) 与本工程项目相关的审计和检查，承包人应委派专人积极予以配合，对审计 和检查提出的有关意见及时整改。</w:t>
      </w:r>
    </w:p>
    <w:p w14:paraId="60254DC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(b)与本工程项目有关的各类统计报表、管理台账、总结报告等，承包人应配合 发包人做好编制工作并提供相应的资料。</w:t>
      </w:r>
    </w:p>
    <w:p w14:paraId="780F884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4.</w:t>
      </w:r>
      <w:r>
        <w:rPr>
          <w:rFonts w:hint="eastAsia" w:cs="Times New Roman"/>
          <w:b w:val="0"/>
          <w:color w:val="auto"/>
          <w:sz w:val="24"/>
          <w:szCs w:val="24"/>
          <w:highlight w:val="none"/>
          <w:lang w:val="en-US" w:eastAsia="zh-CN"/>
        </w:rPr>
        <w:t>6</w:t>
      </w:r>
      <w:r>
        <w:rPr>
          <w:rFonts w:hint="default" w:ascii="Times New Roman" w:hAnsi="Times New Roman" w:eastAsia="黑体" w:cs="Times New Roman"/>
          <w:b w:val="0"/>
          <w:color w:val="auto"/>
          <w:sz w:val="24"/>
          <w:szCs w:val="24"/>
          <w:highlight w:val="none"/>
        </w:rPr>
        <w:t xml:space="preserve"> 承包人人员的管理</w:t>
      </w:r>
      <w:bookmarkEnd w:id="1729"/>
    </w:p>
    <w:p w14:paraId="59B8CDC7">
      <w:pPr>
        <w:pageBreakBefore w:val="0"/>
        <w:kinsoku/>
        <w:wordWrap/>
        <w:bidi w:val="0"/>
        <w:spacing w:before="240" w:after="240" w:line="420" w:lineRule="exact"/>
        <w:ind w:firstLine="480" w:firstLineChars="200"/>
        <w:rPr>
          <w:rFonts w:hint="default" w:ascii="Times New Roman" w:hAnsi="Times New Roman" w:eastAsia="宋体" w:cs="Times New Roman"/>
          <w:b w:val="0"/>
          <w:color w:val="auto"/>
          <w:sz w:val="24"/>
          <w:szCs w:val="24"/>
          <w:highlight w:val="none"/>
        </w:rPr>
      </w:pPr>
      <w:r>
        <w:rPr>
          <w:rFonts w:hint="default" w:ascii="Times New Roman" w:hAnsi="Times New Roman" w:cs="Times New Roman"/>
          <w:color w:val="auto"/>
          <w:sz w:val="24"/>
          <w:highlight w:val="none"/>
        </w:rPr>
        <w:t>4.</w:t>
      </w:r>
      <w:r>
        <w:rPr>
          <w:rFonts w:hint="default"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default" w:cs="Times New Roman"/>
          <w:color w:val="auto"/>
          <w:sz w:val="24"/>
          <w:highlight w:val="none"/>
          <w:lang w:val="en-US" w:eastAsia="zh-CN"/>
        </w:rPr>
        <w:t>6</w:t>
      </w:r>
      <w:r>
        <w:rPr>
          <w:rFonts w:hint="default" w:ascii="Times New Roman" w:hAnsi="Times New Roman" w:cs="Times New Roman"/>
          <w:color w:val="auto"/>
          <w:sz w:val="24"/>
          <w:highlight w:val="none"/>
        </w:rPr>
        <w:t xml:space="preserve"> </w:t>
      </w:r>
      <w:r>
        <w:rPr>
          <w:rFonts w:hint="eastAsia" w:cs="Times New Roman"/>
          <w:color w:val="auto"/>
          <w:sz w:val="24"/>
          <w:highlight w:val="none"/>
          <w:lang w:val="en-US" w:eastAsia="zh-CN"/>
        </w:rPr>
        <w:t>承包人（总承包单位和分包单位）</w:t>
      </w:r>
      <w:r>
        <w:rPr>
          <w:rFonts w:hint="default" w:ascii="Times New Roman" w:hAnsi="Times New Roman" w:cs="Times New Roman"/>
          <w:color w:val="auto"/>
          <w:sz w:val="24"/>
          <w:highlight w:val="none"/>
        </w:rPr>
        <w:t>应严格执行辽宁省交通运输厅关于印发《辽宁省公路工程施工现场主要人员履约监督管理办法》的通知</w:t>
      </w:r>
      <w:r>
        <w:rPr>
          <w:rFonts w:hint="eastAsia" w:cs="Times New Roman"/>
          <w:color w:val="auto"/>
          <w:sz w:val="24"/>
          <w:highlight w:val="none"/>
          <w:lang w:eastAsia="zh-CN"/>
        </w:rPr>
        <w:t>（辽交公路规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2025</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3号）</w:t>
      </w:r>
      <w:r>
        <w:rPr>
          <w:rFonts w:hint="eastAsia" w:cs="Times New Roman"/>
          <w:color w:val="auto"/>
          <w:sz w:val="24"/>
          <w:highlight w:val="none"/>
          <w:lang w:val="en-US" w:eastAsia="zh-CN"/>
        </w:rPr>
        <w:t>中关于主要人员履约考核管理的规定。</w:t>
      </w:r>
    </w:p>
    <w:p w14:paraId="16793B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5" w:name="_Toc9683"/>
      <w:r>
        <w:rPr>
          <w:rFonts w:hint="default" w:ascii="Times New Roman" w:hAnsi="Times New Roman" w:eastAsia="黑体" w:cs="Times New Roman"/>
          <w:b w:val="0"/>
          <w:color w:val="auto"/>
          <w:sz w:val="24"/>
          <w:szCs w:val="24"/>
          <w:highlight w:val="none"/>
        </w:rPr>
        <w:t>4.11 不利物质条件</w:t>
      </w:r>
      <w:bookmarkEnd w:id="1730"/>
      <w:bookmarkEnd w:id="1731"/>
      <w:bookmarkEnd w:id="1732"/>
      <w:bookmarkEnd w:id="1733"/>
      <w:bookmarkEnd w:id="1735"/>
    </w:p>
    <w:p w14:paraId="2F170A2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6" w:name="_Toc234833225"/>
      <w:bookmarkStart w:id="1737" w:name="_Toc18605"/>
      <w:bookmarkStart w:id="1738" w:name="_Toc1967"/>
      <w:bookmarkStart w:id="1739" w:name="_Toc9469"/>
      <w:bookmarkStart w:id="1740" w:name="_Toc6510"/>
      <w:r>
        <w:rPr>
          <w:rFonts w:hint="default" w:ascii="Times New Roman" w:hAnsi="Times New Roman" w:eastAsia="黑体" w:cs="Times New Roman"/>
          <w:b w:val="0"/>
          <w:color w:val="auto"/>
          <w:sz w:val="24"/>
          <w:szCs w:val="24"/>
          <w:highlight w:val="none"/>
        </w:rPr>
        <w:t>本项(1)目补充：</w:t>
      </w:r>
    </w:p>
    <w:p w14:paraId="7EF1C05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(1)承包人应根据工程实际情况确定临时占地最长使用期限，临时占地的租地费用 的计量和支付：  详见《项目专用合同条款数据表》</w:t>
      </w:r>
    </w:p>
    <w:p w14:paraId="47B63EA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p>
    <w:p w14:paraId="5F26484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本项(3)目补充：</w:t>
      </w:r>
    </w:p>
    <w:p w14:paraId="59B0024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承包人对于农民工工资的发放应严格遵守的规定： 详见《项目专用合同条款数据 表 》  °</w:t>
      </w:r>
    </w:p>
    <w:p w14:paraId="1535B77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p>
    <w:p w14:paraId="667D50F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本项(6)目约定为：</w:t>
      </w:r>
    </w:p>
    <w:p w14:paraId="525ADAE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(6)承包人还应履行本目约定的义务，除另有约定外，承包人因履行如下义务所发 生的费用应认为已含入其他支付项中，项目管理法人不另行支付：</w:t>
      </w:r>
    </w:p>
    <w:p w14:paraId="2F192B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a.  承包人应接受质监机构对其工程施工质量的监督与检查，凡工程质量不合格的工 程发包人将不验收、不支付，并由承包人自费拆除重建。</w:t>
      </w:r>
    </w:p>
    <w:p w14:paraId="1FEBE11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b. 如现场遇有重大问题或应发包人的要求，承包人的法定代表人和相关的技术、财 务等主要人员应及时到达施工现场，协调、解决重大问题。</w:t>
      </w:r>
    </w:p>
    <w:p w14:paraId="24FE4F4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c.承包人与本合同段的分包、雇用劳务、运输、供料等委托单位之间发生的经济纠 纷，应由承包人承担一切经济和法律责任。承包人因承担实施其他项目工程引起的经济 纠纷，应采取必要措施，不得牵连干扰本项目。</w:t>
      </w:r>
    </w:p>
    <w:p w14:paraId="025C197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d. 承包人应负责处理好施工现场的邻里关系，确保人员、材料、设备的进出场，以 及施工的顺利进行。如在施工过程中由于承包人与周边单位或个人的关系处理不当造成 了阻工和停工，承包人应自行负责解决。发包人的配合协助协调工作并不免除承包人自 行解决矛盾的责任。</w:t>
      </w:r>
    </w:p>
    <w:p w14:paraId="7166864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e. 凡是合同段内与各种公共设施有交叉、干扰的地段，承包人应在不干扰相关设施 运营的前提下合理安排施工组织计划，采取有效措施保证运营需求和施工安全。如因承 包人采取的措施不力，而给其它部门或个人造成损失，或由上述原因造成本工程工期的 拖延或施工费用的增加，均由承包人自行负责。</w:t>
      </w:r>
    </w:p>
    <w:p w14:paraId="2277D05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f. 多个施工单位在同一区域施工时，监理人有权协调工程的实施并对工程的衔接提 出指示，承包人应在监理人的统一协调下工作。</w:t>
      </w:r>
    </w:p>
    <w:p w14:paraId="2507AAE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g.  有关单位对本项目的各种检查和视察等活动，承包人有义务予以积极配合。</w:t>
      </w:r>
    </w:p>
    <w:p w14:paraId="0D8E2E8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h. 承包人在购买工程施工所需地平材料时，因地平材料的采集、购买引起的一切经 济、法律争端全部由承包人负责。</w:t>
      </w:r>
    </w:p>
    <w:p w14:paraId="16F1FEB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i. 承包人应对设计文件进行认真的审核和校对，及时发现设计图纸中常识性错误， 否则由此造成的返工，承包人承担全部责任并承担返工费用。</w:t>
      </w:r>
    </w:p>
    <w:p w14:paraId="44B4897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j.  承包人在施工过程中必须采取有效措施保证临时排水畅通，由于承包人原因造成 的水毁、水淹农田等一切经济损失由承包人承担。</w:t>
      </w:r>
    </w:p>
    <w:p w14:paraId="2F16985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k. 由于承包人原因引起的法律纠纷，由承包人自行解决；在法律纠纷中，承包人不 得以质量保证金作为抵押；因承包人原因引起的法律纠纷影响发包人正常工作时，按承 包人违约处理。</w:t>
      </w:r>
    </w:p>
    <w:p w14:paraId="741ADED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1.承包人应做好施工期的环境保护、水土保持和文物保护，由此产生的费用以及引 起的与外界的所有争端、索赔责任均由承包人承担。</w:t>
      </w:r>
    </w:p>
    <w:p w14:paraId="4010C92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m. 未经发包人同意，承包人不得将施工现场用于本工程施工以外的目的，不得将永 久占地作为生产(办公)、生活等临时设施用地。</w:t>
      </w:r>
    </w:p>
    <w:p w14:paraId="3E282CD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n. 本工程项目有关的各类统计报表和汇报材料包括项目后评价报告，承包人有义务 配合发包人做好编制工作并提供相应的资料。</w:t>
      </w:r>
    </w:p>
    <w:p w14:paraId="7E376B5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o.  承包人应按发包人和有关文件要求，建立相应的计量、支付和变更台帐，同时承 包人应配合发包人建立相应的台帐，发包人、承包人、监理人三方各自的台帐应相应保 持一致并保持其持续有效直至工程结算完成。</w:t>
      </w:r>
    </w:p>
    <w:p w14:paraId="11DF065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p.  施工工艺要求</w:t>
      </w:r>
    </w:p>
    <w:p w14:paraId="1078AD3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承包人应采取一切必要的措施，严格执行施工过程中发包人下发的施工技术指导意 见和技术规范的各项规定，以保证达到合同规定的质量要求。</w:t>
      </w:r>
    </w:p>
    <w:p w14:paraId="29669C6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q. 承包人应按发包人的要求配合发包人进行的科研和试验课题研究，提供必要的试 验场地、设备及人员等，并将其详细成果资料报发包人备案。承包人的工地试验室的试 验检测必须遵守各级交通运输主管部门的相关规定，监理人在必要时可以无偿使用承包 人的试验检测设备。</w:t>
      </w:r>
    </w:p>
    <w:p w14:paraId="76F6847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r.承包人应对发包人的机密资料以及完成的阶段性、成果性文件承担保密义务，并 自愿承担泄密的法律责任，如因承包人违反上述约定给发包人造成损失的，承包人应承 担相关的法律及经济责任。</w:t>
      </w:r>
    </w:p>
    <w:p w14:paraId="6711C61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s.  承包人应严格遵守国家及项目所在地相关的法律法规及各项规定，因承包人自身 原因违规所产生的一切直接或间接责任、经济纠纷均由承包人自行承担。</w:t>
      </w:r>
    </w:p>
    <w:p w14:paraId="7B5154F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t.项目审计、检查、管理等的配合</w:t>
      </w:r>
    </w:p>
    <w:p w14:paraId="2DFB18E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(a) 与本工程项目相关的审计和检查，承包人应委派专人积极予以配合，对审计 和检查提出的有关意见及时整改。</w:t>
      </w:r>
    </w:p>
    <w:p w14:paraId="56093D5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(b)与本工程项目有关的各类统计报表、管理台账、总结报告等，承包人应配合 发包人做好编制工作并提供相应的资料。</w:t>
      </w:r>
    </w:p>
    <w:p w14:paraId="76462F6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10.1 合同进度计划</w:t>
      </w:r>
      <w:bookmarkEnd w:id="1736"/>
      <w:bookmarkEnd w:id="1737"/>
      <w:bookmarkEnd w:id="1738"/>
      <w:bookmarkEnd w:id="1739"/>
      <w:bookmarkEnd w:id="1740"/>
    </w:p>
    <w:p w14:paraId="3A90DCD2">
      <w:pPr>
        <w:pageBreakBefore w:val="0"/>
        <w:kinsoku/>
        <w:wordWrap w:val="0"/>
        <w:bidi w:val="0"/>
        <w:spacing w:line="38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承包人编制施工方案的内容：详见《项目专用合同条款数据表》 </w:t>
      </w:r>
    </w:p>
    <w:p w14:paraId="22EFC60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41" w:name="_Toc24011"/>
      <w:bookmarkStart w:id="1742" w:name="_Toc5467"/>
      <w:bookmarkStart w:id="1743" w:name="_Toc12199"/>
      <w:bookmarkStart w:id="1744" w:name="_Toc234833226"/>
      <w:bookmarkStart w:id="1745" w:name="_Toc19055"/>
      <w:r>
        <w:rPr>
          <w:rFonts w:hint="default" w:ascii="Times New Roman" w:hAnsi="Times New Roman" w:eastAsia="黑体" w:cs="Times New Roman"/>
          <w:b w:val="0"/>
          <w:color w:val="auto"/>
          <w:sz w:val="24"/>
          <w:szCs w:val="24"/>
          <w:highlight w:val="none"/>
        </w:rPr>
        <w:t>11.4异常恶劣的气候条件</w:t>
      </w:r>
      <w:bookmarkEnd w:id="1741"/>
      <w:bookmarkEnd w:id="1742"/>
      <w:bookmarkEnd w:id="1743"/>
      <w:bookmarkEnd w:id="1744"/>
      <w:bookmarkEnd w:id="1745"/>
    </w:p>
    <w:p w14:paraId="179CA8C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46" w:name="_Toc3031"/>
      <w:bookmarkStart w:id="1747" w:name="_Toc27699"/>
      <w:bookmarkStart w:id="1748" w:name="_Toc234833227"/>
      <w:bookmarkStart w:id="1749" w:name="_Toc3471"/>
      <w:bookmarkStart w:id="1750" w:name="_Toc9009"/>
      <w:r>
        <w:rPr>
          <w:rFonts w:hint="default" w:ascii="Times New Roman" w:hAnsi="Times New Roman" w:eastAsia="黑体" w:cs="Times New Roman"/>
          <w:b w:val="0"/>
          <w:color w:val="auto"/>
          <w:sz w:val="24"/>
          <w:szCs w:val="24"/>
          <w:highlight w:val="none"/>
        </w:rPr>
        <w:t>本款细化为：</w:t>
      </w:r>
    </w:p>
    <w:p w14:paraId="6FF3A8C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异常气候是指项目所在地30年以上一遇的罕见气候现象(包括温度、降水、降雪、 风等)。异常恶劣的气候条件，指发生烈度八度(含八度)以上地震、龙卷风、工地受 淹超过桥梁设计洪水水位以及不利的降水等引起的延误的情况。</w:t>
      </w:r>
    </w:p>
    <w:p w14:paraId="2B7C200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上述不利降水的衡量标准如下：</w:t>
      </w:r>
    </w:p>
    <w:p w14:paraId="3B6B1D9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a.  按本省气象部门统计的降水资料，取最近二十年的平均降水天数为标准；</w:t>
      </w:r>
    </w:p>
    <w:p w14:paraId="29A2E31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b. 按实际统计的年降水天数与a 所指的年降水天数之差，每年计算一次；监理人将 根据承包人的申请予以评定，监理人评定恶劣气候对工程的影响还将考虑用施工期限内 其它月份的异常良好的气候的时间予以补偿。异常气候在每一个月对工程进度影响的评 定应在整个合同期内予以累计。</w:t>
      </w:r>
    </w:p>
    <w:p w14:paraId="376BC07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c.  不考虑每一降水过程后所影响的施工时间。</w:t>
      </w:r>
    </w:p>
    <w:p w14:paraId="1BE6B2F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12.1 承包人暂停施工的责任</w:t>
      </w:r>
      <w:bookmarkEnd w:id="1746"/>
      <w:bookmarkEnd w:id="1747"/>
      <w:bookmarkEnd w:id="1748"/>
      <w:bookmarkEnd w:id="1749"/>
      <w:bookmarkEnd w:id="1750"/>
    </w:p>
    <w:p w14:paraId="07537ACA">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12.1 （6）由承包人承担的其他暂停施工：</w:t>
      </w:r>
      <w:r>
        <w:rPr>
          <w:rFonts w:hint="default"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无</w:t>
      </w:r>
      <w:r>
        <w:rPr>
          <w:rFonts w:hint="default" w:ascii="Times New Roman" w:hAnsi="Times New Roman" w:cs="Times New Roman"/>
          <w:color w:val="auto"/>
          <w:sz w:val="24"/>
          <w:highlight w:val="none"/>
          <w:u w:val="single"/>
        </w:rPr>
        <w:t xml:space="preserve">  </w:t>
      </w:r>
    </w:p>
    <w:p w14:paraId="2B4594C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lang w:eastAsia="zh-CN"/>
        </w:rPr>
      </w:pPr>
      <w:bookmarkStart w:id="1751" w:name="_Toc18562"/>
      <w:bookmarkStart w:id="1752" w:name="_Toc6894"/>
      <w:bookmarkStart w:id="1753" w:name="_Toc31576"/>
      <w:bookmarkStart w:id="1754" w:name="_Toc30476"/>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7</w:t>
      </w:r>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 xml:space="preserve"> 计量</w:t>
      </w:r>
      <w:bookmarkEnd w:id="1751"/>
      <w:bookmarkEnd w:id="1752"/>
      <w:bookmarkEnd w:id="1753"/>
      <w:bookmarkEnd w:id="1754"/>
    </w:p>
    <w:p w14:paraId="78B1C6E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55" w:name="_Toc6486"/>
      <w:bookmarkStart w:id="1756" w:name="_Toc12223"/>
      <w:bookmarkStart w:id="1757" w:name="_Toc16941"/>
      <w:bookmarkStart w:id="1758" w:name="_Toc30430"/>
      <w:bookmarkStart w:id="1759" w:name="_Toc234833228"/>
      <w:r>
        <w:rPr>
          <w:rFonts w:hint="default" w:ascii="Times New Roman" w:hAnsi="Times New Roman" w:eastAsia="黑体" w:cs="Times New Roman"/>
          <w:b w:val="0"/>
          <w:color w:val="auto"/>
          <w:sz w:val="24"/>
          <w:szCs w:val="24"/>
          <w:highlight w:val="none"/>
        </w:rPr>
        <w:t>17.1.3计量周期</w:t>
      </w:r>
    </w:p>
    <w:p w14:paraId="24AB217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 xml:space="preserve">本项约定为：   详见《项目专用合同条款数据表》   </w:t>
      </w:r>
    </w:p>
    <w:p w14:paraId="45337A9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17.1.4单价子目的计量</w:t>
      </w:r>
    </w:p>
    <w:p w14:paraId="6016129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 xml:space="preserve">本项补充：  详见《项目专用合同条款数据表》  </w:t>
      </w:r>
    </w:p>
    <w:p w14:paraId="452F29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 xml:space="preserve">17.1.5本项目工程量清单中总额价子目的支付原则和支付进度： 详见《项目专用 合同条款数据表》 </w:t>
      </w:r>
    </w:p>
    <w:p w14:paraId="5EBD0FE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17.3 工程进度付款</w:t>
      </w:r>
      <w:bookmarkEnd w:id="1755"/>
      <w:bookmarkEnd w:id="1756"/>
      <w:bookmarkEnd w:id="1757"/>
      <w:bookmarkEnd w:id="1758"/>
    </w:p>
    <w:p w14:paraId="087DD928">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17.3.5 农民工工资保证金的缴存时间：</w:t>
      </w:r>
      <w:r>
        <w:rPr>
          <w:rFonts w:hint="default" w:ascii="Times New Roman" w:hAnsi="Times New Roman" w:cs="Times New Roman"/>
          <w:color w:val="auto"/>
          <w:sz w:val="24"/>
          <w:highlight w:val="none"/>
          <w:u w:val="single"/>
        </w:rPr>
        <w:t xml:space="preserve">                       </w:t>
      </w:r>
    </w:p>
    <w:p w14:paraId="05A033CF">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农民工工资保证金的缴存金额：</w:t>
      </w:r>
      <w:r>
        <w:rPr>
          <w:rFonts w:hint="default" w:ascii="Times New Roman" w:hAnsi="Times New Roman" w:cs="Times New Roman"/>
          <w:color w:val="auto"/>
          <w:sz w:val="24"/>
          <w:highlight w:val="none"/>
          <w:u w:val="single"/>
        </w:rPr>
        <w:t xml:space="preserve">                       </w:t>
      </w:r>
    </w:p>
    <w:p w14:paraId="686E590C">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农民工工资保证金的扣留条件：</w:t>
      </w:r>
      <w:r>
        <w:rPr>
          <w:rFonts w:hint="default" w:ascii="Times New Roman" w:hAnsi="Times New Roman" w:cs="Times New Roman"/>
          <w:color w:val="auto"/>
          <w:sz w:val="24"/>
          <w:highlight w:val="none"/>
          <w:u w:val="single"/>
        </w:rPr>
        <w:t xml:space="preserve">                       </w:t>
      </w:r>
    </w:p>
    <w:p w14:paraId="1237938E">
      <w:pPr>
        <w:pageBreakBefore w:val="0"/>
        <w:widowControl/>
        <w:kinsoku/>
        <w:wordWrap w:val="0"/>
        <w:bidi w:val="0"/>
        <w:spacing w:line="420" w:lineRule="atLeast"/>
        <w:ind w:firstLine="480" w:firstLineChars="200"/>
        <w:rPr>
          <w:rFonts w:hint="default" w:ascii="Times New Roman" w:hAnsi="Times New Roman" w:eastAsia="黑体" w:cs="Times New Roman"/>
          <w:b/>
          <w:color w:val="auto"/>
          <w:sz w:val="24"/>
          <w:highlight w:val="none"/>
        </w:rPr>
      </w:pPr>
      <w:r>
        <w:rPr>
          <w:rFonts w:hint="default" w:ascii="Times New Roman" w:hAnsi="Times New Roman" w:cs="Times New Roman"/>
          <w:color w:val="auto"/>
          <w:sz w:val="24"/>
          <w:highlight w:val="none"/>
        </w:rPr>
        <w:t>农民工工资保证金的返还时间：</w:t>
      </w:r>
      <w:r>
        <w:rPr>
          <w:rFonts w:hint="default" w:ascii="Times New Roman" w:hAnsi="Times New Roman" w:cs="Times New Roman"/>
          <w:color w:val="auto"/>
          <w:sz w:val="24"/>
          <w:highlight w:val="none"/>
          <w:u w:val="single"/>
        </w:rPr>
        <w:t xml:space="preserve">                       </w:t>
      </w:r>
    </w:p>
    <w:p w14:paraId="5D4541A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60" w:name="_Toc29939"/>
      <w:bookmarkStart w:id="1761" w:name="_Toc22128"/>
      <w:bookmarkStart w:id="1762" w:name="_Toc13982"/>
      <w:bookmarkStart w:id="1763" w:name="_Toc27005"/>
      <w:r>
        <w:rPr>
          <w:rFonts w:hint="default" w:ascii="Times New Roman" w:hAnsi="Times New Roman" w:eastAsia="黑体" w:cs="Times New Roman"/>
          <w:b w:val="0"/>
          <w:color w:val="auto"/>
          <w:sz w:val="24"/>
          <w:szCs w:val="24"/>
          <w:highlight w:val="none"/>
        </w:rPr>
        <w:t>21.1 不可抗力的确认</w:t>
      </w:r>
      <w:bookmarkEnd w:id="1759"/>
      <w:bookmarkEnd w:id="1760"/>
      <w:bookmarkEnd w:id="1761"/>
      <w:bookmarkEnd w:id="1762"/>
      <w:bookmarkEnd w:id="1763"/>
    </w:p>
    <w:p w14:paraId="480E1C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 21.1.1(6)不可抗力的其他情形：   无</w:t>
      </w:r>
    </w:p>
    <w:p w14:paraId="0ABC09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21.1.1项补充：</w:t>
      </w:r>
    </w:p>
    <w:p w14:paraId="31DFB641">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本项所述(1)、(4)目风险应按照合同条款第20条的规定办理保险，以便在风 险发生时，能保护发包人和承包人的利益不受到损害。</w:t>
      </w:r>
    </w:p>
    <w:p w14:paraId="7249810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64" w:name="_Toc28435"/>
      <w:bookmarkStart w:id="1765" w:name="_Toc234833229"/>
      <w:bookmarkStart w:id="1766" w:name="_Toc21348"/>
      <w:bookmarkStart w:id="1767" w:name="_Toc1677"/>
      <w:bookmarkStart w:id="1768" w:name="_Toc527"/>
      <w:r>
        <w:rPr>
          <w:rFonts w:hint="default" w:ascii="Times New Roman" w:hAnsi="Times New Roman" w:eastAsia="黑体" w:cs="Times New Roman"/>
          <w:b w:val="0"/>
          <w:color w:val="auto"/>
          <w:sz w:val="24"/>
          <w:szCs w:val="24"/>
          <w:highlight w:val="none"/>
        </w:rPr>
        <w:t>22.1 承包人违约</w:t>
      </w:r>
      <w:bookmarkEnd w:id="1764"/>
      <w:bookmarkEnd w:id="1765"/>
      <w:bookmarkEnd w:id="1766"/>
      <w:bookmarkEnd w:id="1767"/>
      <w:bookmarkEnd w:id="1768"/>
    </w:p>
    <w:p w14:paraId="7855CF04">
      <w:pPr>
        <w:pStyle w:val="16"/>
        <w:spacing w:before="143" w:line="222" w:lineRule="auto"/>
        <w:ind w:left="479"/>
        <w:rPr>
          <w:sz w:val="23"/>
          <w:szCs w:val="23"/>
        </w:rPr>
      </w:pPr>
      <w:bookmarkStart w:id="1769" w:name="_Toc8006"/>
      <w:bookmarkStart w:id="1770" w:name="_Toc29318"/>
      <w:bookmarkStart w:id="1771" w:name="_Toc27242"/>
      <w:bookmarkStart w:id="1772" w:name="_Toc10655"/>
      <w:r>
        <w:rPr>
          <w:rFonts w:ascii="宋体" w:hAnsi="宋体" w:eastAsia="宋体" w:cs="宋体"/>
          <w:spacing w:val="-3"/>
          <w:sz w:val="23"/>
          <w:szCs w:val="23"/>
        </w:rPr>
        <w:t xml:space="preserve">22.1.1 </w:t>
      </w:r>
      <w:r>
        <w:rPr>
          <w:b/>
          <w:bCs/>
          <w:spacing w:val="-3"/>
          <w:sz w:val="23"/>
          <w:szCs w:val="23"/>
        </w:rPr>
        <w:t>承包人违约的情形</w:t>
      </w:r>
    </w:p>
    <w:p w14:paraId="1FE2F265">
      <w:pPr>
        <w:spacing w:before="146" w:line="219" w:lineRule="auto"/>
        <w:ind w:left="479"/>
        <w:rPr>
          <w:rFonts w:ascii="Times New Roman" w:hAnsi="Times New Roman" w:eastAsia="Times New Roman" w:cs="Times New Roman"/>
          <w:sz w:val="11"/>
          <w:szCs w:val="11"/>
        </w:rPr>
      </w:pPr>
      <w:r>
        <w:rPr>
          <w:rFonts w:ascii="宋体" w:hAnsi="宋体" w:eastAsia="宋体" w:cs="宋体"/>
          <w:spacing w:val="6"/>
          <w:sz w:val="23"/>
          <w:szCs w:val="23"/>
        </w:rPr>
        <w:t>本项约定为</w:t>
      </w:r>
      <w:r>
        <w:rPr>
          <w:rFonts w:ascii="宋体" w:hAnsi="宋体" w:eastAsia="宋体" w:cs="宋体"/>
          <w:b w:val="0"/>
          <w:bCs w:val="0"/>
          <w:spacing w:val="6"/>
          <w:sz w:val="23"/>
          <w:szCs w:val="23"/>
        </w:rPr>
        <w:t>：</w:t>
      </w:r>
      <w:r>
        <w:rPr>
          <w:rFonts w:ascii="宋体" w:hAnsi="宋体" w:eastAsia="宋体" w:cs="宋体"/>
          <w:b w:val="0"/>
          <w:bCs w:val="0"/>
          <w:spacing w:val="36"/>
          <w:sz w:val="23"/>
          <w:szCs w:val="23"/>
        </w:rPr>
        <w:t xml:space="preserve">  </w:t>
      </w:r>
      <w:r>
        <w:rPr>
          <w:rFonts w:ascii="宋体" w:hAnsi="宋体" w:eastAsia="宋体" w:cs="宋体"/>
          <w:b w:val="0"/>
          <w:bCs w:val="0"/>
          <w:spacing w:val="-102"/>
          <w:sz w:val="23"/>
          <w:szCs w:val="23"/>
          <w:u w:val="single" w:color="auto"/>
        </w:rPr>
        <w:t xml:space="preserve"> </w:t>
      </w:r>
      <w:r>
        <w:rPr>
          <w:rFonts w:ascii="宋体" w:hAnsi="宋体" w:eastAsia="宋体" w:cs="宋体"/>
          <w:b w:val="0"/>
          <w:bCs w:val="0"/>
          <w:spacing w:val="6"/>
          <w:sz w:val="23"/>
          <w:szCs w:val="23"/>
          <w:u w:val="single" w:color="auto"/>
        </w:rPr>
        <w:t xml:space="preserve">详见《项目专用合同条款数据表》  </w:t>
      </w:r>
      <w:r>
        <w:rPr>
          <w:rFonts w:ascii="宋体" w:hAnsi="宋体" w:eastAsia="宋体" w:cs="宋体"/>
          <w:b w:val="0"/>
          <w:bCs w:val="0"/>
          <w:spacing w:val="-95"/>
          <w:sz w:val="23"/>
          <w:szCs w:val="23"/>
        </w:rPr>
        <w:t xml:space="preserve"> </w:t>
      </w:r>
    </w:p>
    <w:p w14:paraId="20B29E92">
      <w:pPr>
        <w:pStyle w:val="16"/>
        <w:spacing w:before="75" w:line="222" w:lineRule="auto"/>
        <w:ind w:left="479"/>
        <w:rPr>
          <w:sz w:val="23"/>
          <w:szCs w:val="23"/>
        </w:rPr>
      </w:pPr>
      <w:r>
        <w:rPr>
          <w:rFonts w:ascii="宋体" w:hAnsi="宋体" w:eastAsia="宋体" w:cs="宋体"/>
          <w:spacing w:val="-2"/>
          <w:sz w:val="23"/>
          <w:szCs w:val="23"/>
        </w:rPr>
        <w:t xml:space="preserve">22.1.2 </w:t>
      </w:r>
      <w:r>
        <w:rPr>
          <w:b/>
          <w:bCs/>
          <w:spacing w:val="-2"/>
          <w:sz w:val="23"/>
          <w:szCs w:val="23"/>
        </w:rPr>
        <w:t>对承包人违约的处理</w:t>
      </w:r>
    </w:p>
    <w:p w14:paraId="46E0DCD3">
      <w:pPr>
        <w:spacing w:before="146" w:line="203" w:lineRule="auto"/>
        <w:ind w:left="479"/>
        <w:rPr>
          <w:rFonts w:ascii="宋体" w:hAnsi="宋体" w:eastAsia="宋体" w:cs="宋体"/>
          <w:b w:val="0"/>
          <w:bCs w:val="0"/>
          <w:sz w:val="28"/>
          <w:szCs w:val="28"/>
        </w:rPr>
      </w:pPr>
      <w:r>
        <w:rPr>
          <w:rFonts w:ascii="宋体" w:hAnsi="宋体" w:eastAsia="宋体" w:cs="宋体"/>
          <w:spacing w:val="18"/>
          <w:sz w:val="23"/>
          <w:szCs w:val="23"/>
        </w:rPr>
        <w:t>对承包人违约的处理：</w:t>
      </w:r>
      <w:r>
        <w:rPr>
          <w:rFonts w:ascii="宋体" w:hAnsi="宋体" w:eastAsia="宋体" w:cs="宋体"/>
          <w:b w:val="0"/>
          <w:bCs w:val="0"/>
          <w:spacing w:val="18"/>
          <w:sz w:val="23"/>
          <w:szCs w:val="23"/>
          <w:u w:val="single" w:color="auto"/>
        </w:rPr>
        <w:t>详见《项目专用合同条款数据</w:t>
      </w:r>
      <w:r>
        <w:rPr>
          <w:rFonts w:ascii="宋体" w:hAnsi="宋体" w:eastAsia="宋体" w:cs="宋体"/>
          <w:b w:val="0"/>
          <w:bCs w:val="0"/>
          <w:spacing w:val="17"/>
          <w:sz w:val="23"/>
          <w:szCs w:val="23"/>
          <w:u w:val="single" w:color="auto"/>
        </w:rPr>
        <w:t xml:space="preserve">表》  </w:t>
      </w:r>
    </w:p>
    <w:p w14:paraId="6F2A920B">
      <w:pPr>
        <w:pStyle w:val="16"/>
        <w:spacing w:before="76" w:line="222" w:lineRule="auto"/>
        <w:ind w:left="479"/>
        <w:rPr>
          <w:sz w:val="23"/>
          <w:szCs w:val="23"/>
        </w:rPr>
      </w:pPr>
      <w:r>
        <w:rPr>
          <w:rFonts w:ascii="Times New Roman" w:hAnsi="Times New Roman" w:eastAsia="Times New Roman" w:cs="Times New Roman"/>
          <w:spacing w:val="4"/>
          <w:sz w:val="23"/>
          <w:szCs w:val="23"/>
        </w:rPr>
        <w:t>22.1.3</w:t>
      </w:r>
      <w:r>
        <w:rPr>
          <w:rFonts w:ascii="Times New Roman" w:hAnsi="Times New Roman" w:eastAsia="Times New Roman" w:cs="Times New Roman"/>
          <w:spacing w:val="22"/>
          <w:sz w:val="23"/>
          <w:szCs w:val="23"/>
        </w:rPr>
        <w:t xml:space="preserve">  </w:t>
      </w:r>
      <w:r>
        <w:rPr>
          <w:b/>
          <w:bCs/>
          <w:spacing w:val="4"/>
          <w:sz w:val="23"/>
          <w:szCs w:val="23"/>
        </w:rPr>
        <w:t>承包人违约解除合同</w:t>
      </w:r>
    </w:p>
    <w:p w14:paraId="3BEC5020">
      <w:pPr>
        <w:spacing w:before="126" w:line="219" w:lineRule="auto"/>
        <w:ind w:left="479"/>
        <w:rPr>
          <w:rFonts w:ascii="宋体" w:hAnsi="宋体" w:eastAsia="宋体" w:cs="宋体"/>
          <w:sz w:val="23"/>
          <w:szCs w:val="23"/>
        </w:rPr>
      </w:pPr>
      <w:r>
        <w:rPr>
          <w:rFonts w:ascii="宋体" w:hAnsi="宋体" w:eastAsia="宋体" w:cs="宋体"/>
          <w:spacing w:val="-3"/>
          <w:sz w:val="23"/>
          <w:szCs w:val="23"/>
        </w:rPr>
        <w:t>本项补充：</w:t>
      </w:r>
    </w:p>
    <w:p w14:paraId="21D1337F">
      <w:pPr>
        <w:spacing w:before="127" w:line="308" w:lineRule="auto"/>
        <w:ind w:right="36" w:firstLine="479"/>
        <w:rPr>
          <w:rFonts w:ascii="宋体" w:hAnsi="宋体" w:eastAsia="宋体" w:cs="宋体"/>
          <w:sz w:val="23"/>
          <w:szCs w:val="23"/>
        </w:rPr>
      </w:pPr>
      <w:r>
        <w:rPr>
          <w:rFonts w:ascii="宋体" w:hAnsi="宋体" w:eastAsia="宋体" w:cs="宋体"/>
          <w:spacing w:val="8"/>
          <w:sz w:val="23"/>
          <w:szCs w:val="23"/>
        </w:rPr>
        <w:t>承包人对本工程进行转包或违规分包，除没收其履约担保外，还应赔偿发包人</w:t>
      </w:r>
      <w:r>
        <w:rPr>
          <w:rFonts w:ascii="宋体" w:hAnsi="宋体" w:eastAsia="宋体" w:cs="宋体"/>
          <w:spacing w:val="7"/>
          <w:sz w:val="23"/>
          <w:szCs w:val="23"/>
        </w:rPr>
        <w:t>工程</w:t>
      </w:r>
      <w:r>
        <w:rPr>
          <w:rFonts w:ascii="宋体" w:hAnsi="宋体" w:eastAsia="宋体" w:cs="宋体"/>
          <w:sz w:val="23"/>
          <w:szCs w:val="23"/>
        </w:rPr>
        <w:t xml:space="preserve"> </w:t>
      </w:r>
      <w:r>
        <w:rPr>
          <w:rFonts w:ascii="宋体" w:hAnsi="宋体" w:eastAsia="宋体" w:cs="宋体"/>
          <w:spacing w:val="8"/>
          <w:sz w:val="23"/>
          <w:szCs w:val="23"/>
        </w:rPr>
        <w:t>损失费，同时发包人有权解除合同并上报交通主管部门记入其信用档案中。</w:t>
      </w:r>
    </w:p>
    <w:p w14:paraId="7DAD422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22.2 发包人违约</w:t>
      </w:r>
      <w:bookmarkEnd w:id="1769"/>
      <w:bookmarkEnd w:id="1770"/>
      <w:bookmarkEnd w:id="1771"/>
      <w:bookmarkEnd w:id="1772"/>
    </w:p>
    <w:p w14:paraId="00E43F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22.2.2发包人无正当理由不按时返还履约保证金、质量保证金或农民工工资保证金的，发包人应向承包人支付的违约金如下：</w:t>
      </w:r>
      <w:r>
        <w:rPr>
          <w:rFonts w:hint="default" w:ascii="Times New Roman" w:hAnsi="Times New Roman" w:cs="Times New Roman"/>
          <w:color w:val="auto"/>
          <w:sz w:val="24"/>
          <w:highlight w:val="none"/>
          <w:u w:val="single"/>
        </w:rPr>
        <w:t xml:space="preserve"> </w:t>
      </w:r>
      <w:r>
        <w:rPr>
          <w:rFonts w:ascii="宋体" w:hAnsi="宋体" w:eastAsia="宋体" w:cs="宋体"/>
          <w:spacing w:val="9"/>
          <w:sz w:val="23"/>
          <w:szCs w:val="23"/>
          <w:u w:val="single" w:color="auto"/>
        </w:rPr>
        <w:t>详见《项目专用合同条款数</w:t>
      </w:r>
      <w:r>
        <w:rPr>
          <w:rFonts w:ascii="宋体" w:hAnsi="宋体" w:eastAsia="宋体" w:cs="宋体"/>
          <w:spacing w:val="8"/>
          <w:sz w:val="23"/>
          <w:szCs w:val="23"/>
          <w:u w:val="single" w:color="auto"/>
        </w:rPr>
        <w:t>据表》</w:t>
      </w:r>
    </w:p>
    <w:p w14:paraId="1D12CF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p w14:paraId="1BA83A35">
      <w:pPr>
        <w:pageBreakBefore w:val="0"/>
        <w:kinsoku/>
        <w:wordWrap w:val="0"/>
        <w:bidi w:val="0"/>
        <w:spacing w:line="380" w:lineRule="atLeas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4"/>
          <w:highlight w:val="none"/>
        </w:rPr>
        <w:br w:type="page"/>
      </w:r>
    </w:p>
    <w:p w14:paraId="658C351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bookmarkStart w:id="1773" w:name="_Toc234833230"/>
    </w:p>
    <w:p w14:paraId="434D292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5320C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BF61E4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096B68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1EC37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97F4D9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1A7E91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C066AE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3CD9A3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17FAE7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8433554">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1774" w:name="_Toc26085"/>
      <w:bookmarkStart w:id="1775" w:name="_Toc25493"/>
      <w:bookmarkStart w:id="1776" w:name="_Toc20691"/>
      <w:r>
        <w:rPr>
          <w:rFonts w:hint="default" w:ascii="Times New Roman" w:hAnsi="Times New Roman" w:eastAsia="黑体" w:cs="Times New Roman"/>
          <w:b w:val="0"/>
          <w:color w:val="auto"/>
          <w:sz w:val="42"/>
          <w:szCs w:val="42"/>
          <w:highlight w:val="none"/>
        </w:rPr>
        <w:t>第三节  合同附件格式</w:t>
      </w:r>
      <w:bookmarkEnd w:id="1773"/>
      <w:bookmarkEnd w:id="1774"/>
      <w:bookmarkEnd w:id="1775"/>
      <w:bookmarkEnd w:id="1776"/>
    </w:p>
    <w:p w14:paraId="485D33A5">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16CE39B3">
      <w:pPr>
        <w:pStyle w:val="2"/>
        <w:pageBreakBefore w:val="0"/>
        <w:kinsoku/>
        <w:wordWrap w:val="0"/>
        <w:bidi w:val="0"/>
        <w:spacing w:before="0" w:after="0" w:line="380" w:lineRule="atLeast"/>
        <w:outlineLvl w:val="0"/>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0"/>
          <w:szCs w:val="20"/>
          <w:highlight w:val="none"/>
        </w:rPr>
        <w:br w:type="page"/>
      </w:r>
      <w:bookmarkStart w:id="1777" w:name="_Toc234833231"/>
      <w:bookmarkStart w:id="1778" w:name="_Toc24256"/>
      <w:bookmarkStart w:id="1779" w:name="_Toc24087"/>
      <w:bookmarkStart w:id="1780" w:name="_Toc17942"/>
      <w:bookmarkStart w:id="1781" w:name="_Toc3639"/>
      <w:r>
        <w:rPr>
          <w:rFonts w:hint="default" w:ascii="Times New Roman" w:hAnsi="Times New Roman" w:eastAsia="黑体" w:cs="Times New Roman"/>
          <w:b w:val="0"/>
          <w:color w:val="auto"/>
          <w:sz w:val="24"/>
          <w:szCs w:val="24"/>
          <w:highlight w:val="none"/>
        </w:rPr>
        <w:t>附件一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合同协议书</w:t>
      </w:r>
      <w:bookmarkEnd w:id="1777"/>
      <w:bookmarkEnd w:id="1778"/>
      <w:bookmarkEnd w:id="1779"/>
      <w:bookmarkEnd w:id="1780"/>
      <w:bookmarkEnd w:id="1781"/>
    </w:p>
    <w:p w14:paraId="479E20D3">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合 同 协 议 书</w:t>
      </w:r>
    </w:p>
    <w:p w14:paraId="0D0CBA13">
      <w:pPr>
        <w:pageBreakBefore w:val="0"/>
        <w:kinsoku/>
        <w:wordWrap w:val="0"/>
        <w:bidi w:val="0"/>
        <w:spacing w:line="440" w:lineRule="exact"/>
        <w:ind w:firstLine="480" w:firstLineChars="200"/>
        <w:rPr>
          <w:rFonts w:hint="default" w:ascii="Times New Roman" w:hAnsi="Times New Roman" w:cs="Times New Roman"/>
          <w:color w:val="auto"/>
          <w:sz w:val="24"/>
          <w:highlight w:val="none"/>
          <w:u w:val="single"/>
        </w:rPr>
      </w:pPr>
    </w:p>
    <w:p w14:paraId="0D645872">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）为实施</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（项目名称），已接受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）对该项目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标段施工的投标。发包人和承包人共同达成如下协议。</w:t>
      </w:r>
    </w:p>
    <w:p w14:paraId="758E5C0A">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标段由K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至K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，长约</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km，公路等级为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，设计速度为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路面，有</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立交</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处；特大桥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m；大中桥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m；隧道</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m以及其他构造物工程等。</w:t>
      </w:r>
    </w:p>
    <w:p w14:paraId="109045AF">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下列文件应视为构成合同文件的组成部分：</w:t>
      </w:r>
    </w:p>
    <w:p w14:paraId="05DE4524">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（1）本协议书及各种合同附件（含评标期间和合同谈判过程中的澄清文件和补充资料）；</w:t>
      </w:r>
    </w:p>
    <w:p w14:paraId="48361F7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（2）中标通知书；</w:t>
      </w:r>
    </w:p>
    <w:p w14:paraId="691BBE97">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（3）投标函及投标函附录；</w:t>
      </w:r>
    </w:p>
    <w:p w14:paraId="4C9B9BE4">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（4）项目专用合同条款；</w:t>
      </w:r>
    </w:p>
    <w:p w14:paraId="1025B19A">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（5）公路工程专用合同条款；</w:t>
      </w:r>
    </w:p>
    <w:p w14:paraId="251C5350">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5AD0321B">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66553C5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（8）技术规范；</w:t>
      </w:r>
    </w:p>
    <w:p w14:paraId="7AFBCD0D">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（9）图纸；</w:t>
      </w:r>
    </w:p>
    <w:p w14:paraId="07CF1CE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（10）已标价工程量清单；</w:t>
      </w:r>
    </w:p>
    <w:p w14:paraId="4642D86F">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（11）承包人有关人员、设备投入的承诺及投标文件中的施工组织设计；</w:t>
      </w:r>
    </w:p>
    <w:p w14:paraId="5800902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（12）其他合同文件。</w:t>
      </w:r>
    </w:p>
    <w:p w14:paraId="0E5CC5BA">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上述合同文件互相补充和解释。如果合同文件之间存在矛盾或不一致之处，以上述文件的排列顺序在先者为准。</w:t>
      </w:r>
    </w:p>
    <w:p w14:paraId="18C7F37F">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根据工程量清单所列的预计数量和单价或总额价计算的签约合同价：人民币（大写）________元（¥________）。</w:t>
      </w:r>
    </w:p>
    <w:p w14:paraId="6436A945">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4. 承包人项目经理：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。承包人项目总工：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78105606">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工程质量符合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标准。工程安全目标：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0C49E1B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承包人承诺按合同约定承担工程的实施、完成及缺陷修复。</w:t>
      </w:r>
    </w:p>
    <w:p w14:paraId="01B4D134">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发包人承诺按合同约定的条件、时间和方式向承包人支付合同价款。</w:t>
      </w:r>
    </w:p>
    <w:p w14:paraId="03AD661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承包人应按照监理人指示开工，工期为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0DC034BF">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 本协议书在承包人提供履约保证金后，由双方法定代表人或其委托代理人签署并加盖单位章后生效。全部工程完工后经交工验收合格、缺陷责任期满签发缺陷责任终止证书后失效。</w:t>
      </w:r>
    </w:p>
    <w:p w14:paraId="3CCE489D">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 本协议书正本二份、副本____份，合同双方各执正本一份，副本____份，当正本与副本的内容不一致时，以正本为准。</w:t>
      </w:r>
    </w:p>
    <w:p w14:paraId="63BE4D1D">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合同未尽事宜，双方另行签订补充协议。补充协议是合同的组成部分。</w:t>
      </w:r>
    </w:p>
    <w:p w14:paraId="25FAE49F">
      <w:pPr>
        <w:pageBreakBefore w:val="0"/>
        <w:kinsoku/>
        <w:wordWrap w:val="0"/>
        <w:bidi w:val="0"/>
        <w:spacing w:line="440" w:lineRule="exact"/>
        <w:rPr>
          <w:rFonts w:hint="default" w:ascii="Times New Roman" w:hAnsi="Times New Roman" w:cs="Times New Roman"/>
          <w:color w:val="auto"/>
          <w:sz w:val="24"/>
          <w:highlight w:val="none"/>
        </w:rPr>
      </w:pPr>
    </w:p>
    <w:p w14:paraId="3E135872">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24B992D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6A2571AC">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335C3CF2">
      <w:pPr>
        <w:pageBreakBefore w:val="0"/>
        <w:kinsoku/>
        <w:wordWrap w:val="0"/>
        <w:bidi w:val="0"/>
        <w:spacing w:line="440" w:lineRule="exact"/>
        <w:rPr>
          <w:rFonts w:hint="default" w:ascii="Times New Roman" w:hAnsi="Times New Roman" w:cs="Times New Roman"/>
          <w:color w:val="auto"/>
          <w:sz w:val="24"/>
          <w:highlight w:val="none"/>
        </w:rPr>
      </w:pPr>
    </w:p>
    <w:p w14:paraId="0C772C0D">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82" w:name="_Toc22527"/>
      <w:bookmarkStart w:id="1783" w:name="_Toc234833232"/>
      <w:bookmarkStart w:id="1784" w:name="_Toc6478"/>
      <w:bookmarkStart w:id="1785" w:name="_Toc5419"/>
      <w:bookmarkStart w:id="1786" w:name="_Toc7242"/>
      <w:r>
        <w:rPr>
          <w:rFonts w:hint="default" w:ascii="Times New Roman" w:hAnsi="Times New Roman" w:eastAsia="黑体" w:cs="Times New Roman"/>
          <w:b w:val="0"/>
          <w:color w:val="auto"/>
          <w:sz w:val="24"/>
          <w:szCs w:val="24"/>
          <w:highlight w:val="none"/>
        </w:rPr>
        <w:t>附件二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廉政合同</w:t>
      </w:r>
      <w:bookmarkEnd w:id="1782"/>
      <w:bookmarkEnd w:id="1783"/>
      <w:bookmarkEnd w:id="1784"/>
      <w:bookmarkEnd w:id="1785"/>
      <w:bookmarkEnd w:id="1786"/>
    </w:p>
    <w:p w14:paraId="371A4307">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 政 合 同</w:t>
      </w:r>
    </w:p>
    <w:p w14:paraId="1E84413D">
      <w:pPr>
        <w:pageBreakBefore w:val="0"/>
        <w:kinsoku/>
        <w:wordWrap w:val="0"/>
        <w:bidi w:val="0"/>
        <w:spacing w:line="400" w:lineRule="atLeast"/>
        <w:rPr>
          <w:rFonts w:hint="default" w:ascii="Times New Roman" w:hAnsi="Times New Roman" w:eastAsia="黑体" w:cs="Times New Roman"/>
          <w:b/>
          <w:color w:val="auto"/>
          <w:spacing w:val="30"/>
          <w:sz w:val="24"/>
          <w:highlight w:val="none"/>
        </w:rPr>
      </w:pPr>
    </w:p>
    <w:p w14:paraId="25E9742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（项目名称）的项目法人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（项目法人名称，以下简称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标段的施工单位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（施工单位名称，以下简称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），特订立如下合同。</w:t>
      </w:r>
    </w:p>
    <w:p w14:paraId="7663B701">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7" w:name="_Toc16895"/>
      <w:r>
        <w:rPr>
          <w:rFonts w:hint="default" w:ascii="Times New Roman" w:hAnsi="Times New Roman" w:eastAsia="黑体" w:cs="Times New Roman"/>
          <w:color w:val="auto"/>
          <w:sz w:val="24"/>
          <w:highlight w:val="none"/>
        </w:rPr>
        <w:t>1. 发包人和承包人双方的权利和义务</w:t>
      </w:r>
      <w:bookmarkEnd w:id="1787"/>
    </w:p>
    <w:p w14:paraId="74CCD107">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（1）严格遵守党的政策规定和国家有关法律法规及交通运输部的有关规定。</w:t>
      </w:r>
    </w:p>
    <w:p w14:paraId="59C609DC">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（2）严格执行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标段施工合同文件，自觉按合同办事。</w:t>
      </w:r>
    </w:p>
    <w:p w14:paraId="6871B56E">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（3）双方的业务活动坚持公开、公正、诚信、透明的原则（法律认定的商业秘密和合同文件另有规定除外），不得损害国家和集体利益，不得违反工程建设管理规章制度。</w:t>
      </w:r>
    </w:p>
    <w:p w14:paraId="075A4AF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（4）建立健全廉政制度，开展廉政教育，设立廉政告示牌，公布举报电话，监督并认真查处违法违纪行为。</w:t>
      </w:r>
    </w:p>
    <w:p w14:paraId="19710AD5">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（5）发现对方在业务活动中有违反廉政规定的行为，有及时提醒对方纠正的权利和义务。</w:t>
      </w:r>
    </w:p>
    <w:p w14:paraId="49CE779F">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（6）发现对方严重违反本合同义务条款的行为，有向其上级有关部门举报、建议给予处理并要求告知处理结果的权利。</w:t>
      </w:r>
    </w:p>
    <w:p w14:paraId="56B57976">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8" w:name="_Toc26938"/>
      <w:r>
        <w:rPr>
          <w:rFonts w:hint="default" w:ascii="Times New Roman" w:hAnsi="Times New Roman" w:eastAsia="黑体" w:cs="Times New Roman"/>
          <w:color w:val="auto"/>
          <w:sz w:val="24"/>
          <w:highlight w:val="none"/>
        </w:rPr>
        <w:t>2. 发包人的义务</w:t>
      </w:r>
      <w:bookmarkEnd w:id="1788"/>
    </w:p>
    <w:p w14:paraId="172291B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（1）发包人及其工作人员不得索要或接受承包人的礼金、有价证券和贵重物品，不得让承包人报销任何应由发包人或发包人工作人员个人支付的费用等。</w:t>
      </w:r>
    </w:p>
    <w:p w14:paraId="05BBFB7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（2）发包人工作人员不得参加承包人安排的超标准宴请和娱乐活动；不得接受承包人提供的通信工具、交通工具和高档办公用品等。</w:t>
      </w:r>
    </w:p>
    <w:p w14:paraId="14EDD1CF">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（3）发包人及其工作人员不得要求或者接受承包人为其住房装修、婚丧嫁娶活动、配偶子女的工作安排以及出国出境、旅游等提供方便等。</w:t>
      </w:r>
    </w:p>
    <w:p w14:paraId="3805033F">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（4）发包人工作人员及其配偶、子女不得从事与发包人工程有关的材料设备供应、工程分包、劳务等经济活动等。</w:t>
      </w:r>
    </w:p>
    <w:p w14:paraId="481DDC7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（5）发包人及其工作人员不得以任何理由向承包人推荐分包单位或推销材料，不得要求承包人购买合同规定外的材料和设备。</w:t>
      </w:r>
    </w:p>
    <w:p w14:paraId="79B5A483">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（6）发包人工作人员要秉公办事，不准营私舞弊，不准利用职权从事各种个人有偿中介活动和安排个人施工队伍。</w:t>
      </w:r>
    </w:p>
    <w:p w14:paraId="218409AC">
      <w:pPr>
        <w:pageBreakBefore w:val="0"/>
        <w:kinsoku/>
        <w:wordWrap w:val="0"/>
        <w:bidi w:val="0"/>
        <w:spacing w:line="400" w:lineRule="atLeast"/>
        <w:ind w:firstLine="616" w:firstLineChars="257"/>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3. 承包人的义务</w:t>
      </w:r>
    </w:p>
    <w:p w14:paraId="0FEA33F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（1）承包人不得以任何理由向发包人及其工作人员行贿或馈赠礼金、有价证券、贵重礼品。</w:t>
      </w:r>
    </w:p>
    <w:p w14:paraId="283E6144">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（2）承包人不得以任何名义为发包人及其工作人员报销应由发包人单位或个人支付的任何费用。</w:t>
      </w:r>
    </w:p>
    <w:p w14:paraId="7B53526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（3）承包人不得以任何理由安排发包人工作人员参加超标准宴请及娱乐活动。</w:t>
      </w:r>
    </w:p>
    <w:p w14:paraId="7BD5C52A">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（4）承包人不得为发包人单位和个人购置或提供通信工具、交通工具和高档办公用品等。</w:t>
      </w:r>
    </w:p>
    <w:p w14:paraId="41DE3E92">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9" w:name="_Toc21007"/>
      <w:r>
        <w:rPr>
          <w:rFonts w:hint="default" w:ascii="Times New Roman" w:hAnsi="Times New Roman" w:eastAsia="黑体" w:cs="Times New Roman"/>
          <w:color w:val="auto"/>
          <w:sz w:val="24"/>
          <w:highlight w:val="none"/>
        </w:rPr>
        <w:t>4. 违约责任</w:t>
      </w:r>
      <w:bookmarkEnd w:id="1789"/>
    </w:p>
    <w:p w14:paraId="6F3F42D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（1）发包人及其工作人员违反本合同第1、2条，按管理权限，依据有关规定给予党纪、政纪或组织处理；涉嫌犯罪的，移交司法机关追究刑事责任；给承包人单位造成经济损失的，应予以赔偿。</w:t>
      </w:r>
    </w:p>
    <w:p w14:paraId="41084FA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4458D470">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5.</w:t>
      </w:r>
      <w:r>
        <w:rPr>
          <w:rFonts w:hint="default" w:ascii="Times New Roman" w:hAnsi="Times New Roman" w:cs="Times New Roman"/>
          <w:color w:val="auto"/>
          <w:sz w:val="24"/>
          <w:highlight w:val="none"/>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4B11AC0A">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6. </w:t>
      </w:r>
      <w:r>
        <w:rPr>
          <w:rFonts w:hint="default" w:ascii="Times New Roman" w:hAnsi="Times New Roman" w:cs="Times New Roman"/>
          <w:color w:val="auto"/>
          <w:sz w:val="24"/>
          <w:highlight w:val="none"/>
        </w:rPr>
        <w:t>本合同有效期为发包人和承包人签署之日起至该工程项目竣工验收后止。</w:t>
      </w:r>
    </w:p>
    <w:p w14:paraId="4C0E6215">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7. </w:t>
      </w:r>
      <w:r>
        <w:rPr>
          <w:rFonts w:hint="default" w:ascii="Times New Roman" w:hAnsi="Times New Roman" w:cs="Times New Roman"/>
          <w:color w:val="auto"/>
          <w:sz w:val="24"/>
          <w:highlight w:val="none"/>
        </w:rPr>
        <w:t>本合同作为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标段施工合同的附件，与工程施工合同具有同等的法律效力，经合同双方签署后立即生效。</w:t>
      </w:r>
    </w:p>
    <w:p w14:paraId="044CF9FB">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8.</w:t>
      </w:r>
      <w:r>
        <w:rPr>
          <w:rFonts w:hint="default" w:ascii="Times New Roman" w:hAnsi="Times New Roman" w:cs="Times New Roman"/>
          <w:color w:val="auto"/>
          <w:sz w:val="24"/>
          <w:highlight w:val="none"/>
        </w:rPr>
        <w:t xml:space="preserve"> 本合同一式四份，由发包人和承包人各执一份，送交发包人和承包人的监督单位各一份。</w:t>
      </w:r>
    </w:p>
    <w:p w14:paraId="3B82CF62">
      <w:pPr>
        <w:pageBreakBefore w:val="0"/>
        <w:kinsoku/>
        <w:wordWrap w:val="0"/>
        <w:bidi w:val="0"/>
        <w:spacing w:line="400" w:lineRule="atLeast"/>
        <w:rPr>
          <w:rFonts w:hint="default" w:ascii="Times New Roman" w:hAnsi="Times New Roman" w:cs="Times New Roman"/>
          <w:color w:val="auto"/>
          <w:sz w:val="24"/>
          <w:highlight w:val="none"/>
        </w:rPr>
      </w:pPr>
    </w:p>
    <w:p w14:paraId="00B31FA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2C03AF1E">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4A36A36C">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7FEC616">
      <w:pPr>
        <w:pageBreakBefore w:val="0"/>
        <w:kinsoku/>
        <w:wordWrap w:val="0"/>
        <w:bidi w:val="0"/>
        <w:spacing w:line="440" w:lineRule="exact"/>
        <w:ind w:firstLine="360" w:firstLineChars="150"/>
        <w:rPr>
          <w:rFonts w:hint="default" w:ascii="Times New Roman" w:hAnsi="Times New Roman" w:cs="Times New Roman"/>
          <w:color w:val="auto"/>
          <w:sz w:val="24"/>
          <w:highlight w:val="none"/>
        </w:rPr>
      </w:pPr>
    </w:p>
    <w:p w14:paraId="6CC9EB88">
      <w:pPr>
        <w:pageBreakBefore w:val="0"/>
        <w:kinsoku/>
        <w:wordWrap w:val="0"/>
        <w:bidi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发包人监督单位：</w:t>
      </w:r>
      <w:r>
        <w:rPr>
          <w:rFonts w:hint="default" w:ascii="Times New Roman" w:hAnsi="Times New Roman" w:cs="Times New Roman"/>
          <w:color w:val="auto"/>
          <w:sz w:val="24"/>
          <w:highlight w:val="none"/>
          <w:u w:val="single"/>
        </w:rPr>
        <w:t>（全称）（盖单位章）</w:t>
      </w:r>
      <w:r>
        <w:rPr>
          <w:rFonts w:hint="default" w:ascii="Times New Roman" w:hAnsi="Times New Roman" w:cs="Times New Roman"/>
          <w:color w:val="auto"/>
          <w:sz w:val="24"/>
          <w:highlight w:val="none"/>
        </w:rPr>
        <w:t xml:space="preserve">     承包人监督单位：</w:t>
      </w:r>
      <w:r>
        <w:rPr>
          <w:rFonts w:hint="default" w:ascii="Times New Roman" w:hAnsi="Times New Roman" w:cs="Times New Roman"/>
          <w:color w:val="auto"/>
          <w:sz w:val="24"/>
          <w:highlight w:val="none"/>
          <w:u w:val="single"/>
        </w:rPr>
        <w:t>（全称）（盖单位章）</w:t>
      </w:r>
    </w:p>
    <w:p w14:paraId="1678CD19">
      <w:pPr>
        <w:pageBreakBefore w:val="0"/>
        <w:kinsoku/>
        <w:wordWrap w:val="0"/>
        <w:bidi w:val="0"/>
        <w:spacing w:line="400" w:lineRule="atLeast"/>
        <w:rPr>
          <w:rFonts w:hint="default" w:ascii="Times New Roman" w:hAnsi="Times New Roman" w:cs="Times New Roman"/>
          <w:color w:val="auto"/>
          <w:sz w:val="24"/>
          <w:highlight w:val="none"/>
        </w:rPr>
      </w:pPr>
    </w:p>
    <w:p w14:paraId="0AB10EDF">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790" w:name="_Toc20728"/>
      <w:bookmarkStart w:id="1791" w:name="_Toc29870"/>
      <w:bookmarkStart w:id="1792" w:name="_Toc234833233"/>
      <w:bookmarkStart w:id="1793" w:name="_Toc7071"/>
      <w:bookmarkStart w:id="1794" w:name="_Toc1095"/>
      <w:r>
        <w:rPr>
          <w:rFonts w:hint="default" w:ascii="Times New Roman" w:hAnsi="Times New Roman" w:eastAsia="黑体" w:cs="Times New Roman"/>
          <w:b w:val="0"/>
          <w:color w:val="auto"/>
          <w:sz w:val="24"/>
          <w:szCs w:val="24"/>
          <w:highlight w:val="none"/>
        </w:rPr>
        <w:t>附件三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安全生产合同</w:t>
      </w:r>
      <w:bookmarkEnd w:id="1790"/>
      <w:bookmarkEnd w:id="1791"/>
      <w:bookmarkEnd w:id="1792"/>
      <w:bookmarkEnd w:id="1793"/>
      <w:bookmarkEnd w:id="1794"/>
    </w:p>
    <w:p w14:paraId="473B558B">
      <w:pPr>
        <w:pageBreakBefore w:val="0"/>
        <w:kinsoku/>
        <w:wordWrap w:val="0"/>
        <w:bidi w:val="0"/>
        <w:spacing w:line="39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安全生产合同</w:t>
      </w:r>
    </w:p>
    <w:p w14:paraId="6CC0DB08">
      <w:pPr>
        <w:pageBreakBefore w:val="0"/>
        <w:kinsoku/>
        <w:wordWrap w:val="0"/>
        <w:bidi w:val="0"/>
        <w:spacing w:line="390" w:lineRule="atLeast"/>
        <w:rPr>
          <w:rFonts w:hint="default" w:ascii="Times New Roman" w:hAnsi="Times New Roman" w:eastAsia="黑体" w:cs="Times New Roman"/>
          <w:b/>
          <w:color w:val="auto"/>
          <w:sz w:val="24"/>
          <w:highlight w:val="none"/>
        </w:rPr>
      </w:pPr>
    </w:p>
    <w:p w14:paraId="4B3439A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标段施工合同的实施过程中创造安全、高效的施工环境，切实搞好本项目的安全管理工作，本项目发包人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）特此签订安全生产合同。</w:t>
      </w:r>
    </w:p>
    <w:p w14:paraId="60D8DC18">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5" w:name="_Toc19308"/>
      <w:r>
        <w:rPr>
          <w:rFonts w:hint="default" w:ascii="Times New Roman" w:hAnsi="Times New Roman" w:eastAsia="黑体" w:cs="Times New Roman"/>
          <w:color w:val="auto"/>
          <w:sz w:val="24"/>
          <w:highlight w:val="none"/>
        </w:rPr>
        <w:t>1.发包人职责</w:t>
      </w:r>
      <w:bookmarkEnd w:id="1795"/>
    </w:p>
    <w:p w14:paraId="2965D04E">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（1）严格遵守国家有关安全生产的法律法规，认真执行工程承包合同中的有关安全要求。</w:t>
      </w:r>
    </w:p>
    <w:p w14:paraId="1B427887">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（2）按照</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的原则进行安全生产管理，做到生产与安全工作同时计划、布置、检查、总结和评比。</w:t>
      </w:r>
    </w:p>
    <w:p w14:paraId="5690D5AE">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（3）重要的安全设施必须坚持与主体工程</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三同时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的原则，即：同时设计、审批，同时施工，同时验收，投入使用。</w:t>
      </w:r>
    </w:p>
    <w:p w14:paraId="204BDA4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（4）定期召开安全生产调度会，及时传达中央及地方有关安全生产的精神。</w:t>
      </w:r>
    </w:p>
    <w:p w14:paraId="6FD7E394">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（5）组织对承包人施工现场进行安全生产检查，监督承包人及时处理发现的各种安全隐患。</w:t>
      </w:r>
    </w:p>
    <w:p w14:paraId="7093E7B5">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6" w:name="_Toc18835"/>
      <w:r>
        <w:rPr>
          <w:rFonts w:hint="default" w:ascii="Times New Roman" w:hAnsi="Times New Roman" w:eastAsia="黑体" w:cs="Times New Roman"/>
          <w:color w:val="auto"/>
          <w:sz w:val="24"/>
          <w:highlight w:val="none"/>
        </w:rPr>
        <w:t>2.承包人职责</w:t>
      </w:r>
      <w:bookmarkEnd w:id="1796"/>
    </w:p>
    <w:p w14:paraId="51D624DE">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0E1A4E45">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1CC469BC">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352FD4A9">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（4）承包人在任何时候都应采取各种合理的预防措施，防止其员工发生任何违法、违禁、暴力或妨碍治安的行为。</w:t>
      </w:r>
    </w:p>
    <w:p w14:paraId="0DCD778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42B3B833">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194F38C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（7）操作人员上岗，必须按规定穿戴防护用品。施工负责人和安全检查员应随时检查劳动防护用品的穿戴情况，不按规定穿戴防护用品的人员不得上岗。</w:t>
      </w:r>
    </w:p>
    <w:p w14:paraId="4F64C788">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（8）所有施工机具设备和高空作业的设备均应定期检查，并有安全员的签字记录，保证其经常处于完好状态；不合格的机具、设备和劳动保护用品严禁使用。</w:t>
      </w:r>
    </w:p>
    <w:p w14:paraId="4A195A0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（9）施工中采用新技术、新工艺、新设备、新材料时，必须制定相应的安全技术措施，施工现场必须具有相关的安全标志牌。</w:t>
      </w:r>
    </w:p>
    <w:p w14:paraId="49874272">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的原则，严肃处理相关责任人。</w:t>
      </w:r>
    </w:p>
    <w:p w14:paraId="60AC38B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（11）安全生产费用按照</w:t>
      </w:r>
      <w:bookmarkStart w:id="1797" w:name="_Toc187470650"/>
      <w:r>
        <w:rPr>
          <w:rFonts w:hint="default" w:ascii="Times New Roman" w:hAnsi="Times New Roman" w:cs="Times New Roman"/>
          <w:color w:val="auto"/>
          <w:sz w:val="24"/>
          <w:highlight w:val="none"/>
        </w:rPr>
        <w:t>《公路水运工程安全生产监督管理办法</w:t>
      </w:r>
      <w:bookmarkEnd w:id="1797"/>
      <w:r>
        <w:rPr>
          <w:rFonts w:hint="default" w:ascii="Times New Roman" w:hAnsi="Times New Roman" w:cs="Times New Roman"/>
          <w:color w:val="auto"/>
          <w:sz w:val="24"/>
          <w:highlight w:val="none"/>
        </w:rPr>
        <w:t>》的相关规定使用和管理。</w:t>
      </w:r>
    </w:p>
    <w:p w14:paraId="06B1D135">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8" w:name="_Toc19815"/>
      <w:r>
        <w:rPr>
          <w:rFonts w:hint="default" w:ascii="Times New Roman" w:hAnsi="Times New Roman" w:eastAsia="黑体" w:cs="Times New Roman"/>
          <w:color w:val="auto"/>
          <w:sz w:val="24"/>
          <w:highlight w:val="none"/>
        </w:rPr>
        <w:t>3.违约责任</w:t>
      </w:r>
      <w:bookmarkEnd w:id="1798"/>
    </w:p>
    <w:p w14:paraId="032846D4">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如因发包人或承包人违约造成安全事故，将依法追究责任。</w:t>
      </w:r>
    </w:p>
    <w:p w14:paraId="7905143C">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本合同由双方法定代表人或其授权的代理人签署并加盖单位章后生效，全部工程竣工验收后失效。</w:t>
      </w:r>
    </w:p>
    <w:p w14:paraId="3DF81B0B">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本合同正本二份、副本____份，合同双方各执正本一份，副本____份，当正本与副本的内容不一致时，以正本为准。</w:t>
      </w:r>
    </w:p>
    <w:p w14:paraId="50EB56CE">
      <w:pPr>
        <w:pageBreakBefore w:val="0"/>
        <w:kinsoku/>
        <w:wordWrap w:val="0"/>
        <w:bidi w:val="0"/>
        <w:spacing w:line="400" w:lineRule="atLeast"/>
        <w:ind w:firstLine="525"/>
        <w:rPr>
          <w:rFonts w:hint="default" w:ascii="Times New Roman" w:hAnsi="Times New Roman" w:cs="Times New Roman"/>
          <w:color w:val="auto"/>
          <w:sz w:val="24"/>
          <w:highlight w:val="none"/>
        </w:rPr>
      </w:pPr>
    </w:p>
    <w:p w14:paraId="0AB45943">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0079177B">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i/>
          <w:color w:val="auto"/>
          <w:sz w:val="24"/>
          <w:highlight w:val="none"/>
        </w:rPr>
        <w:t>（</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6E6630A6">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D414DA0">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99" w:name="_Toc24497"/>
      <w:bookmarkStart w:id="1800" w:name="_Toc30403"/>
      <w:bookmarkStart w:id="1801" w:name="_Toc234833234"/>
      <w:bookmarkStart w:id="1802" w:name="_Toc5077"/>
      <w:bookmarkStart w:id="1803" w:name="_Toc14696"/>
      <w:r>
        <w:rPr>
          <w:rFonts w:hint="default" w:ascii="Times New Roman" w:hAnsi="Times New Roman" w:eastAsia="黑体" w:cs="Times New Roman"/>
          <w:b w:val="0"/>
          <w:color w:val="auto"/>
          <w:sz w:val="24"/>
          <w:szCs w:val="24"/>
          <w:highlight w:val="none"/>
        </w:rPr>
        <w:t>附件四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其他管理和技术人员最低要求 </w:t>
      </w:r>
      <w:r>
        <w:rPr>
          <w:rFonts w:hint="default" w:ascii="Times New Roman" w:hAnsi="Times New Roman" w:cs="Times New Roman"/>
          <w:color w:val="auto"/>
          <w:kern w:val="2"/>
          <w:sz w:val="24"/>
          <w:szCs w:val="24"/>
          <w:highlight w:val="none"/>
          <w:vertAlign w:val="superscript"/>
        </w:rPr>
        <w:footnoteReference w:id="42"/>
      </w:r>
      <w:bookmarkEnd w:id="1799"/>
      <w:bookmarkEnd w:id="1800"/>
      <w:bookmarkEnd w:id="1801"/>
      <w:bookmarkEnd w:id="1802"/>
      <w:bookmarkEnd w:id="1803"/>
    </w:p>
    <w:p w14:paraId="64375887">
      <w:pPr>
        <w:pageBreakBefore w:val="0"/>
        <w:kinsoku/>
        <w:wordWrap w:val="0"/>
        <w:bidi w:val="0"/>
        <w:adjustRightInd w:val="0"/>
        <w:snapToGrid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203E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6EF6E33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2161" w:type="dxa"/>
            <w:noWrap w:val="0"/>
            <w:vAlign w:val="center"/>
          </w:tcPr>
          <w:p w14:paraId="5C6195B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4282" w:type="dxa"/>
            <w:noWrap w:val="0"/>
            <w:vAlign w:val="center"/>
          </w:tcPr>
          <w:p w14:paraId="0A33152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537C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shd w:val="clear" w:color="auto" w:fill="auto"/>
            <w:noWrap w:val="0"/>
            <w:vAlign w:val="center"/>
          </w:tcPr>
          <w:p w14:paraId="22AF3EC4">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生产负责人</w:t>
            </w:r>
          </w:p>
        </w:tc>
        <w:tc>
          <w:tcPr>
            <w:tcW w:w="2161" w:type="dxa"/>
            <w:shd w:val="clear" w:color="auto" w:fill="auto"/>
            <w:noWrap w:val="0"/>
            <w:vAlign w:val="center"/>
          </w:tcPr>
          <w:p w14:paraId="2B37A61C">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4282" w:type="dxa"/>
            <w:shd w:val="clear" w:color="auto" w:fill="auto"/>
            <w:noWrap w:val="0"/>
            <w:vAlign w:val="center"/>
          </w:tcPr>
          <w:p w14:paraId="55CAB227">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具有道桥相关专业中专及以上学历，从事公路施工管理</w:t>
            </w:r>
            <w:r>
              <w:rPr>
                <w:rFonts w:hint="eastAsia" w:ascii="仿宋" w:hAnsi="仿宋" w:eastAsia="仿宋" w:cs="仿宋"/>
                <w:sz w:val="24"/>
                <w:szCs w:val="24"/>
                <w:highlight w:val="none"/>
                <w:lang w:val="en-US" w:eastAsia="zh-CN"/>
              </w:rPr>
              <w:t xml:space="preserve"> 3</w:t>
            </w:r>
            <w:r>
              <w:rPr>
                <w:rFonts w:hint="eastAsia" w:ascii="仿宋" w:hAnsi="仿宋" w:eastAsia="仿宋" w:cs="仿宋"/>
                <w:sz w:val="24"/>
                <w:szCs w:val="24"/>
                <w:highlight w:val="none"/>
              </w:rPr>
              <w:t>年以上工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经历，具备类似工程施工经验，曾担任过类似工程的生产负责人。</w:t>
            </w:r>
          </w:p>
        </w:tc>
      </w:tr>
      <w:tr w14:paraId="3526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shd w:val="clear" w:color="auto" w:fill="auto"/>
            <w:noWrap w:val="0"/>
            <w:vAlign w:val="center"/>
          </w:tcPr>
          <w:p w14:paraId="300C147B">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质量管理负责人</w:t>
            </w:r>
          </w:p>
        </w:tc>
        <w:tc>
          <w:tcPr>
            <w:tcW w:w="2161" w:type="dxa"/>
            <w:shd w:val="clear" w:color="auto" w:fill="auto"/>
            <w:noWrap w:val="0"/>
            <w:vAlign w:val="center"/>
          </w:tcPr>
          <w:p w14:paraId="597FED40">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4282" w:type="dxa"/>
            <w:shd w:val="clear" w:color="auto" w:fill="auto"/>
            <w:noWrap w:val="0"/>
            <w:vAlign w:val="center"/>
          </w:tcPr>
          <w:p w14:paraId="67A93689">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相关专业中级及以上职称</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从事公路施工技术管理</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年以上工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w:t>
            </w:r>
          </w:p>
        </w:tc>
      </w:tr>
      <w:tr w14:paraId="5D4F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shd w:val="clear" w:color="auto" w:fill="auto"/>
            <w:noWrap w:val="0"/>
            <w:vAlign w:val="center"/>
          </w:tcPr>
          <w:p w14:paraId="6EE3D61C">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计量</w:t>
            </w:r>
            <w:r>
              <w:rPr>
                <w:rFonts w:hint="eastAsia" w:ascii="仿宋" w:hAnsi="仿宋" w:eastAsia="仿宋" w:cs="仿宋"/>
                <w:sz w:val="24"/>
                <w:szCs w:val="24"/>
                <w:highlight w:val="none"/>
              </w:rPr>
              <w:t>负责人</w:t>
            </w:r>
          </w:p>
        </w:tc>
        <w:tc>
          <w:tcPr>
            <w:tcW w:w="2161" w:type="dxa"/>
            <w:shd w:val="clear" w:color="auto" w:fill="auto"/>
            <w:noWrap w:val="0"/>
            <w:vAlign w:val="center"/>
          </w:tcPr>
          <w:p w14:paraId="077A0C0A">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4282" w:type="dxa"/>
            <w:shd w:val="clear" w:color="auto" w:fill="auto"/>
            <w:noWrap w:val="0"/>
            <w:vAlign w:val="center"/>
          </w:tcPr>
          <w:p w14:paraId="1E296DAA">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具有</w:t>
            </w:r>
            <w:r>
              <w:rPr>
                <w:rFonts w:hint="eastAsia" w:ascii="仿宋" w:hAnsi="仿宋" w:eastAsia="仿宋" w:cs="仿宋"/>
                <w:sz w:val="24"/>
                <w:szCs w:val="24"/>
                <w:highlight w:val="none"/>
                <w:lang w:val="en-US" w:eastAsia="zh-CN"/>
              </w:rPr>
              <w:t>注册造价工程师资质</w:t>
            </w:r>
            <w:r>
              <w:rPr>
                <w:rFonts w:hint="eastAsia" w:ascii="仿宋" w:hAnsi="仿宋" w:eastAsia="仿宋" w:cs="仿宋"/>
                <w:sz w:val="24"/>
                <w:szCs w:val="24"/>
                <w:highlight w:val="none"/>
              </w:rPr>
              <w:t>，至少有</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年的专业工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w:t>
            </w:r>
          </w:p>
        </w:tc>
      </w:tr>
      <w:tr w14:paraId="4F4A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shd w:val="clear" w:color="auto" w:fill="auto"/>
            <w:noWrap w:val="0"/>
            <w:vAlign w:val="center"/>
          </w:tcPr>
          <w:p w14:paraId="60BC87F2">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专职安全生产管理人员</w:t>
            </w:r>
          </w:p>
        </w:tc>
        <w:tc>
          <w:tcPr>
            <w:tcW w:w="2161" w:type="dxa"/>
            <w:shd w:val="clear" w:color="auto" w:fill="auto"/>
            <w:noWrap w:val="0"/>
            <w:vAlign w:val="center"/>
          </w:tcPr>
          <w:p w14:paraId="39E5B853">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c>
          <w:tcPr>
            <w:tcW w:w="4282" w:type="dxa"/>
            <w:shd w:val="clear" w:color="auto" w:fill="auto"/>
            <w:noWrap w:val="0"/>
            <w:vAlign w:val="center"/>
          </w:tcPr>
          <w:p w14:paraId="287C79FB">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相关专业初级以上技术职称，负责类似工程施工安全生产工作</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年以上工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经历，持有安全生产考核C类合格证书并在有效期内。</w:t>
            </w:r>
          </w:p>
        </w:tc>
      </w:tr>
      <w:tr w14:paraId="4946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shd w:val="clear" w:color="auto" w:fill="auto"/>
            <w:noWrap w:val="0"/>
            <w:vAlign w:val="center"/>
          </w:tcPr>
          <w:p w14:paraId="192AB4CF">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试验检测师</w:t>
            </w:r>
          </w:p>
        </w:tc>
        <w:tc>
          <w:tcPr>
            <w:tcW w:w="2161" w:type="dxa"/>
            <w:shd w:val="clear" w:color="auto" w:fill="auto"/>
            <w:noWrap w:val="0"/>
            <w:vAlign w:val="center"/>
          </w:tcPr>
          <w:p w14:paraId="5D22B7B3">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jc w:val="center"/>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4282" w:type="dxa"/>
            <w:shd w:val="clear" w:color="auto" w:fill="auto"/>
            <w:noWrap w:val="0"/>
            <w:vAlign w:val="center"/>
          </w:tcPr>
          <w:p w14:paraId="7203E60C">
            <w:pPr>
              <w:keepNext w:val="0"/>
              <w:keepLines w:val="0"/>
              <w:pageBreakBefore w:val="0"/>
              <w:widowControl/>
              <w:kinsoku w:val="0"/>
              <w:wordWrap/>
              <w:overflowPunct/>
              <w:topLinePunct w:val="0"/>
              <w:autoSpaceDE w:val="0"/>
              <w:autoSpaceDN w:val="0"/>
              <w:bidi w:val="0"/>
              <w:adjustRightInd w:val="0"/>
              <w:snapToGrid w:val="0"/>
              <w:spacing w:line="400" w:lineRule="atLeast"/>
              <w:ind w:left="105" w:leftChars="50" w:right="105" w:rightChars="50"/>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公路水运工程试验检测师(道路工程)</w:t>
            </w:r>
          </w:p>
        </w:tc>
      </w:tr>
      <w:tr w14:paraId="3CDB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shd w:val="clear" w:color="auto" w:fill="auto"/>
            <w:noWrap w:val="0"/>
            <w:vAlign w:val="center"/>
          </w:tcPr>
          <w:p w14:paraId="39534059">
            <w:pPr>
              <w:pageBreakBefore w:val="0"/>
              <w:kinsoku/>
              <w:wordWrap w:val="0"/>
              <w:bidi w:val="0"/>
              <w:spacing w:line="400" w:lineRule="atLeas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仿宋" w:hAnsi="仿宋" w:eastAsia="仿宋" w:cs="仿宋"/>
                <w:sz w:val="24"/>
                <w:szCs w:val="24"/>
                <w:highlight w:val="none"/>
              </w:rPr>
              <w:t>内业</w:t>
            </w:r>
            <w:r>
              <w:rPr>
                <w:rFonts w:hint="eastAsia" w:ascii="仿宋" w:hAnsi="仿宋" w:eastAsia="仿宋" w:cs="仿宋"/>
                <w:sz w:val="24"/>
                <w:szCs w:val="24"/>
                <w:highlight w:val="none"/>
                <w:lang w:val="en-US" w:eastAsia="zh-CN"/>
              </w:rPr>
              <w:t>管理</w:t>
            </w:r>
            <w:r>
              <w:rPr>
                <w:rFonts w:hint="eastAsia" w:ascii="仿宋" w:hAnsi="仿宋" w:eastAsia="仿宋" w:cs="仿宋"/>
                <w:sz w:val="24"/>
                <w:szCs w:val="24"/>
                <w:highlight w:val="none"/>
              </w:rPr>
              <w:t>负责人</w:t>
            </w:r>
          </w:p>
        </w:tc>
        <w:tc>
          <w:tcPr>
            <w:tcW w:w="2161" w:type="dxa"/>
            <w:shd w:val="clear" w:color="auto" w:fill="auto"/>
            <w:noWrap w:val="0"/>
            <w:vAlign w:val="center"/>
          </w:tcPr>
          <w:p w14:paraId="68EC9510">
            <w:pPr>
              <w:pageBreakBefore w:val="0"/>
              <w:kinsoku/>
              <w:wordWrap w:val="0"/>
              <w:bidi w:val="0"/>
              <w:adjustRightInd w:val="0"/>
              <w:snapToGrid w:val="0"/>
              <w:spacing w:line="400" w:lineRule="atLeast"/>
              <w:jc w:val="center"/>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highlight w:val="none"/>
                <w:lang w:val="en-US" w:eastAsia="zh-CN"/>
              </w:rPr>
              <w:t>1</w:t>
            </w:r>
          </w:p>
        </w:tc>
        <w:tc>
          <w:tcPr>
            <w:tcW w:w="4282" w:type="dxa"/>
            <w:shd w:val="clear" w:color="auto" w:fill="auto"/>
            <w:noWrap w:val="0"/>
            <w:vAlign w:val="center"/>
          </w:tcPr>
          <w:p w14:paraId="2BE9D11B">
            <w:pPr>
              <w:pageBreakBefore w:val="0"/>
              <w:kinsoku/>
              <w:wordWrap w:val="0"/>
              <w:bidi w:val="0"/>
              <w:spacing w:line="400" w:lineRule="atLeast"/>
              <w:rPr>
                <w:rFonts w:hint="eastAsia" w:ascii="Times New Roman" w:hAnsi="Times New Roman" w:eastAsia="宋体" w:cs="Times New Roman"/>
                <w:color w:val="auto"/>
                <w:kern w:val="2"/>
                <w:sz w:val="24"/>
                <w:szCs w:val="24"/>
                <w:highlight w:val="none"/>
                <w:lang w:val="en-US" w:eastAsia="zh-CN" w:bidi="ar-SA"/>
              </w:rPr>
            </w:pPr>
            <w:r>
              <w:rPr>
                <w:rFonts w:hint="eastAsia" w:ascii="仿宋" w:hAnsi="仿宋" w:eastAsia="仿宋" w:cs="仿宋"/>
                <w:sz w:val="24"/>
                <w:szCs w:val="24"/>
                <w:highlight w:val="none"/>
              </w:rPr>
              <w:t>具有相关专业中级及以上技术职称，至少有</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年的专业工</w:t>
            </w:r>
            <w:r>
              <w:rPr>
                <w:rFonts w:hint="eastAsia" w:ascii="仿宋" w:hAnsi="仿宋" w:eastAsia="仿宋" w:cs="仿宋"/>
                <w:sz w:val="24"/>
                <w:szCs w:val="24"/>
                <w:highlight w:val="none"/>
                <w:lang w:val="en-US" w:eastAsia="zh-CN"/>
              </w:rPr>
              <w:t>作</w:t>
            </w:r>
            <w:r>
              <w:rPr>
                <w:rFonts w:hint="eastAsia" w:ascii="仿宋" w:hAnsi="仿宋" w:eastAsia="仿宋" w:cs="仿宋"/>
                <w:sz w:val="24"/>
                <w:szCs w:val="24"/>
                <w:highlight w:val="none"/>
              </w:rPr>
              <w:t>经历。</w:t>
            </w:r>
          </w:p>
        </w:tc>
      </w:tr>
      <w:tr w14:paraId="4C4B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891" w:type="dxa"/>
            <w:gridSpan w:val="3"/>
            <w:noWrap w:val="0"/>
            <w:vAlign w:val="center"/>
          </w:tcPr>
          <w:p w14:paraId="3471DD26">
            <w:pPr>
              <w:pageBreakBefore w:val="0"/>
              <w:kinsoku/>
              <w:wordWrap w:val="0"/>
              <w:bidi w:val="0"/>
              <w:spacing w:line="400" w:lineRule="atLeast"/>
              <w:rPr>
                <w:rFonts w:hint="eastAsia" w:cs="Times New Roman"/>
                <w:color w:val="auto"/>
                <w:sz w:val="24"/>
                <w:highlight w:val="none"/>
                <w:lang w:val="en-US" w:eastAsia="zh-CN"/>
              </w:rPr>
            </w:pPr>
            <w:r>
              <w:rPr>
                <w:rFonts w:hint="eastAsia" w:cs="Times New Roman"/>
                <w:color w:val="auto"/>
                <w:sz w:val="24"/>
                <w:highlight w:val="none"/>
                <w:lang w:val="en-US" w:eastAsia="zh-CN"/>
              </w:rPr>
              <w:t>注：</w:t>
            </w:r>
            <w:r>
              <w:rPr>
                <w:rFonts w:hint="eastAsia" w:ascii="仿宋" w:hAnsi="仿宋" w:eastAsia="仿宋" w:cs="仿宋"/>
                <w:spacing w:val="-17"/>
                <w:highlight w:val="none"/>
              </w:rPr>
              <w:t>上述人员应是投标人自有，具体人选由中标人在进行合同谈判之前确定，并应向招标人报送人员身份证、职称证、相关资格证书等的彩色影印件。如中标人派驻的人员数量和资格条件不满足本表要求，招标人将取消其中标资格。上述人员经招标人审批后作为派驻本标段的项目管理机构主要人员，原则上不允许更换。</w:t>
            </w:r>
          </w:p>
          <w:p w14:paraId="7D64E2CA">
            <w:pPr>
              <w:pageBreakBefore w:val="0"/>
              <w:kinsoku/>
              <w:wordWrap w:val="0"/>
              <w:bidi w:val="0"/>
              <w:spacing w:line="400" w:lineRule="atLeast"/>
              <w:rPr>
                <w:rFonts w:hint="default" w:ascii="Times New Roman" w:hAnsi="Times New Roman" w:cs="Times New Roman"/>
                <w:color w:val="auto"/>
                <w:sz w:val="24"/>
                <w:highlight w:val="none"/>
              </w:rPr>
            </w:pPr>
          </w:p>
        </w:tc>
      </w:tr>
    </w:tbl>
    <w:p w14:paraId="5D33B586">
      <w:pPr>
        <w:pageBreakBefore w:val="0"/>
        <w:kinsoku/>
        <w:wordWrap w:val="0"/>
        <w:bidi w:val="0"/>
        <w:adjustRightInd w:val="0"/>
        <w:snapToGrid w:val="0"/>
        <w:spacing w:line="40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bookmarkStart w:id="1804" w:name="_Toc22982"/>
      <w:bookmarkStart w:id="1805" w:name="_Toc28672"/>
      <w:bookmarkStart w:id="1806" w:name="_Toc3353"/>
      <w:bookmarkStart w:id="1807" w:name="_Toc28190"/>
      <w:bookmarkStart w:id="1808" w:name="_Toc234833235"/>
    </w:p>
    <w:p w14:paraId="40F427F5">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附件五</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主要机械设备和试验检测设备最低要求</w:t>
      </w:r>
      <w:r>
        <w:rPr>
          <w:rFonts w:hint="default" w:ascii="Times New Roman" w:hAnsi="Times New Roman" w:cs="Times New Roman"/>
          <w:color w:val="auto"/>
          <w:sz w:val="24"/>
          <w:szCs w:val="24"/>
          <w:highlight w:val="none"/>
          <w:vertAlign w:val="superscript"/>
        </w:rPr>
        <w:footnoteReference w:id="43"/>
      </w:r>
      <w:bookmarkEnd w:id="1804"/>
      <w:bookmarkEnd w:id="1805"/>
      <w:bookmarkEnd w:id="1806"/>
      <w:bookmarkEnd w:id="1807"/>
      <w:bookmarkEnd w:id="1808"/>
    </w:p>
    <w:p w14:paraId="036A0497">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4610"/>
        <w:gridCol w:w="720"/>
        <w:gridCol w:w="1021"/>
      </w:tblGrid>
      <w:tr w14:paraId="288E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06" w:type="dxa"/>
            <w:noWrap w:val="0"/>
            <w:vAlign w:val="center"/>
          </w:tcPr>
          <w:p w14:paraId="32BA15F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4610" w:type="dxa"/>
            <w:noWrap w:val="0"/>
            <w:vAlign w:val="center"/>
          </w:tcPr>
          <w:p w14:paraId="5DFADEA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720" w:type="dxa"/>
            <w:noWrap w:val="0"/>
            <w:vAlign w:val="center"/>
          </w:tcPr>
          <w:p w14:paraId="75913EE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1021" w:type="dxa"/>
            <w:noWrap w:val="0"/>
            <w:vAlign w:val="center"/>
          </w:tcPr>
          <w:p w14:paraId="7114BBC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143B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2206" w:type="dxa"/>
            <w:shd w:val="clear" w:color="auto" w:fill="auto"/>
            <w:noWrap w:val="0"/>
            <w:vAlign w:val="center"/>
          </w:tcPr>
          <w:p w14:paraId="1156AA19">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沥青混凝土摊铺机</w:t>
            </w:r>
          </w:p>
        </w:tc>
        <w:tc>
          <w:tcPr>
            <w:tcW w:w="4610" w:type="dxa"/>
            <w:shd w:val="clear" w:color="auto" w:fill="auto"/>
            <w:noWrap w:val="0"/>
            <w:vAlign w:val="center"/>
          </w:tcPr>
          <w:p w14:paraId="36F885DA">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720" w:type="dxa"/>
            <w:shd w:val="clear" w:color="auto" w:fill="auto"/>
            <w:noWrap w:val="0"/>
            <w:vAlign w:val="center"/>
          </w:tcPr>
          <w:p w14:paraId="34F2CD71">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021" w:type="dxa"/>
            <w:shd w:val="clear" w:color="auto" w:fill="auto"/>
            <w:noWrap w:val="0"/>
            <w:vAlign w:val="center"/>
          </w:tcPr>
          <w:p w14:paraId="46B274A8">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2</w:t>
            </w:r>
          </w:p>
        </w:tc>
      </w:tr>
      <w:tr w14:paraId="35EA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2206" w:type="dxa"/>
            <w:shd w:val="clear" w:color="auto" w:fill="auto"/>
            <w:noWrap w:val="0"/>
            <w:vAlign w:val="center"/>
          </w:tcPr>
          <w:p w14:paraId="137C8474">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双驱双振压路机</w:t>
            </w:r>
          </w:p>
        </w:tc>
        <w:tc>
          <w:tcPr>
            <w:tcW w:w="4610" w:type="dxa"/>
            <w:shd w:val="clear" w:color="auto" w:fill="auto"/>
            <w:noWrap w:val="0"/>
            <w:vAlign w:val="center"/>
          </w:tcPr>
          <w:p w14:paraId="746B5966">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720" w:type="dxa"/>
            <w:shd w:val="clear" w:color="auto" w:fill="auto"/>
            <w:noWrap w:val="0"/>
            <w:vAlign w:val="center"/>
          </w:tcPr>
          <w:p w14:paraId="0B3B4EE7">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021" w:type="dxa"/>
            <w:shd w:val="clear" w:color="auto" w:fill="auto"/>
            <w:noWrap w:val="0"/>
            <w:vAlign w:val="center"/>
          </w:tcPr>
          <w:p w14:paraId="633E9E6E">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2</w:t>
            </w:r>
          </w:p>
        </w:tc>
      </w:tr>
      <w:tr w14:paraId="0C42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06" w:type="dxa"/>
            <w:shd w:val="clear" w:color="auto" w:fill="auto"/>
            <w:noWrap w:val="0"/>
            <w:vAlign w:val="center"/>
          </w:tcPr>
          <w:p w14:paraId="166A644E">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胶轮压路机</w:t>
            </w:r>
          </w:p>
        </w:tc>
        <w:tc>
          <w:tcPr>
            <w:tcW w:w="4610" w:type="dxa"/>
            <w:shd w:val="clear" w:color="auto" w:fill="auto"/>
            <w:noWrap w:val="0"/>
            <w:vAlign w:val="center"/>
          </w:tcPr>
          <w:p w14:paraId="6B76D06D">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720" w:type="dxa"/>
            <w:shd w:val="clear" w:color="auto" w:fill="auto"/>
            <w:noWrap w:val="0"/>
            <w:vAlign w:val="center"/>
          </w:tcPr>
          <w:p w14:paraId="4371190E">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021" w:type="dxa"/>
            <w:shd w:val="clear" w:color="auto" w:fill="auto"/>
            <w:noWrap w:val="0"/>
            <w:vAlign w:val="center"/>
          </w:tcPr>
          <w:p w14:paraId="584C3C44">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2</w:t>
            </w:r>
          </w:p>
        </w:tc>
      </w:tr>
      <w:tr w14:paraId="1C83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22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15DDC5">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铣刨机</w:t>
            </w:r>
          </w:p>
        </w:tc>
        <w:tc>
          <w:tcPr>
            <w:tcW w:w="46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4F728C">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满足项目施工实际需求</w:t>
            </w: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3003C6">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台</w:t>
            </w:r>
          </w:p>
        </w:tc>
        <w:tc>
          <w:tcPr>
            <w:tcW w:w="10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C33A4B">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r>
      <w:tr w14:paraId="405F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A35158">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沥青混凝土拌合站</w:t>
            </w:r>
          </w:p>
        </w:tc>
        <w:tc>
          <w:tcPr>
            <w:tcW w:w="46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62F2B2">
            <w:pPr>
              <w:keepNext w:val="0"/>
              <w:keepLines w:val="0"/>
              <w:pageBreakBefore w:val="0"/>
              <w:widowControl/>
              <w:kinsoku w:val="0"/>
              <w:wordWrap/>
              <w:overflowPunct/>
              <w:topLinePunct w:val="0"/>
              <w:autoSpaceDE w:val="0"/>
              <w:autoSpaceDN w:val="0"/>
              <w:bidi w:val="0"/>
              <w:adjustRightInd w:val="0"/>
              <w:snapToGrid w:val="0"/>
              <w:ind w:left="105" w:leftChars="50"/>
              <w:jc w:val="left"/>
              <w:textAlignment w:val="baseline"/>
              <w:rPr>
                <w:rFonts w:hint="default" w:ascii="仿宋" w:hAnsi="仿宋" w:eastAsia="仿宋" w:cs="仿宋"/>
                <w:kern w:val="2"/>
                <w:sz w:val="24"/>
                <w:szCs w:val="24"/>
                <w:highlight w:val="none"/>
                <w:lang w:val="en-US" w:eastAsia="zh-CN" w:bidi="ar-SA"/>
              </w:rPr>
            </w:pPr>
            <w:r>
              <w:rPr>
                <w:rFonts w:hint="eastAsia" w:ascii="仿宋" w:hAnsi="仿宋" w:eastAsia="仿宋" w:cs="仿宋"/>
                <w:bCs/>
                <w:sz w:val="24"/>
                <w:szCs w:val="24"/>
                <w:highlight w:val="none"/>
              </w:rPr>
              <w:t>一般要求：根据《辽宁省交通运输厅关于全省公路沥青拌和站加快办理环保审批手续的通知》（辽交财审发[2019]254号）要求，沥青拌合站必须取得环保部门的审批手续；拌和设备应为3000型及以上</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拌和设备产能满足工期要求，具备匹配满足产能需求的沥青和改性沥青存储装置，具备技术监督部门标定的载重称重装置（地中衡），具有满足规范要求的沥青及沥青混合料试验检测能力的试验室，具备经技术监督部门标定的相关试化验检测仪器和相应检测资质的试化验人员，能够完成满足部颁规范要求的沥青混凝土配合比设计，能够独立完成生产配合比试验和验证，能够达到规范规定的自检和频次要求。</w:t>
            </w: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54FB20">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座</w:t>
            </w:r>
          </w:p>
        </w:tc>
        <w:tc>
          <w:tcPr>
            <w:tcW w:w="10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01CFC7">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1</w:t>
            </w:r>
          </w:p>
        </w:tc>
      </w:tr>
      <w:tr w14:paraId="1DC4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57" w:type="dxa"/>
            <w:gridSpan w:val="4"/>
            <w:tcBorders>
              <w:top w:val="single" w:color="auto" w:sz="4" w:space="0"/>
              <w:left w:val="single" w:color="auto" w:sz="4" w:space="0"/>
              <w:bottom w:val="single" w:color="auto" w:sz="4" w:space="0"/>
              <w:right w:val="single" w:color="auto" w:sz="4" w:space="0"/>
            </w:tcBorders>
            <w:noWrap w:val="0"/>
            <w:vAlign w:val="center"/>
          </w:tcPr>
          <w:p w14:paraId="6C777A91">
            <w:pPr>
              <w:pageBreakBefore w:val="0"/>
              <w:kinsoku/>
              <w:wordWrap w:val="0"/>
              <w:bidi w:val="0"/>
              <w:spacing w:line="400" w:lineRule="atLeast"/>
              <w:rPr>
                <w:rFonts w:hint="default" w:ascii="Times New Roman" w:hAnsi="Times New Roman" w:cs="Times New Roman"/>
                <w:color w:val="auto"/>
                <w:sz w:val="24"/>
                <w:highlight w:val="none"/>
              </w:rPr>
            </w:pPr>
            <w:r>
              <w:rPr>
                <w:rFonts w:hint="eastAsia" w:cs="Times New Roman"/>
                <w:color w:val="auto"/>
                <w:sz w:val="24"/>
                <w:highlight w:val="none"/>
                <w:lang w:val="en-US" w:eastAsia="zh-CN"/>
              </w:rPr>
              <w:t>注：上述主要机械及试验测量设备应是投标人自有或租赁，由中标人在进行合同谈判之前确定，并应向招标人报送证明材料（如资质证书、设备发票、租赁协议等）。如中标人投入现场的主要机械及试验测量设备不满足本表要求，招标人将取消其中标资格。上述主要机械及试验测量设备经招标人审批后作为投入本标段的主要设备，原则上不允许更换。</w:t>
            </w:r>
          </w:p>
        </w:tc>
      </w:tr>
    </w:tbl>
    <w:p w14:paraId="4EE54E25">
      <w:pPr>
        <w:pageBreakBefore w:val="0"/>
        <w:kinsoku/>
        <w:wordWrap w:val="0"/>
        <w:bidi w:val="0"/>
        <w:spacing w:line="400" w:lineRule="atLeast"/>
        <w:rPr>
          <w:rFonts w:hint="default" w:ascii="Times New Roman" w:hAnsi="Times New Roman" w:eastAsia="黑体" w:cs="Times New Roman"/>
          <w:color w:val="auto"/>
          <w:sz w:val="24"/>
          <w:highlight w:val="none"/>
        </w:rPr>
      </w:pPr>
    </w:p>
    <w:p w14:paraId="1850B628">
      <w:pPr>
        <w:rPr>
          <w:rFonts w:hint="default" w:ascii="Times New Roman" w:hAnsi="Times New Roman" w:eastAsia="黑体" w:cs="Times New Roman"/>
          <w:b w:val="0"/>
          <w:color w:val="auto"/>
          <w:sz w:val="24"/>
          <w:szCs w:val="24"/>
          <w:highlight w:val="none"/>
        </w:rPr>
      </w:pPr>
      <w:bookmarkStart w:id="1809" w:name="_Toc9623"/>
      <w:bookmarkStart w:id="1810" w:name="_Toc234833236"/>
      <w:bookmarkStart w:id="1811" w:name="_Toc32399"/>
      <w:bookmarkStart w:id="1812" w:name="_Toc16392"/>
      <w:bookmarkStart w:id="1813" w:name="_Toc13117"/>
      <w:r>
        <w:rPr>
          <w:rFonts w:hint="default" w:ascii="Times New Roman" w:hAnsi="Times New Roman" w:eastAsia="黑体" w:cs="Times New Roman"/>
          <w:b w:val="0"/>
          <w:color w:val="auto"/>
          <w:sz w:val="24"/>
          <w:szCs w:val="24"/>
          <w:highlight w:val="none"/>
        </w:rPr>
        <w:br w:type="page"/>
      </w:r>
    </w:p>
    <w:p w14:paraId="5E280A15">
      <w:pPr>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b w:val="0"/>
          <w:color w:val="auto"/>
          <w:sz w:val="24"/>
          <w:szCs w:val="24"/>
          <w:highlight w:val="none"/>
        </w:rPr>
        <w:t>附件六</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项目经理委任书</w:t>
      </w:r>
      <w:bookmarkEnd w:id="1809"/>
      <w:bookmarkEnd w:id="1810"/>
      <w:bookmarkEnd w:id="1811"/>
      <w:bookmarkEnd w:id="1812"/>
      <w:bookmarkEnd w:id="1813"/>
    </w:p>
    <w:p w14:paraId="7DD139F1">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（承包人全称）</w:t>
      </w:r>
    </w:p>
    <w:p w14:paraId="653AC948">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（合同工程名称） </w:t>
      </w:r>
      <w:r>
        <w:rPr>
          <w:rFonts w:hint="default" w:ascii="Times New Roman" w:hAnsi="Times New Roman" w:eastAsia="黑体" w:cs="Times New Roman"/>
          <w:color w:val="auto"/>
          <w:sz w:val="28"/>
          <w:szCs w:val="28"/>
          <w:highlight w:val="none"/>
        </w:rPr>
        <w:t>项目经理委任书</w:t>
      </w:r>
    </w:p>
    <w:p w14:paraId="69BCCF3F">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32183039">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5396D1A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（发包人全称）</w:t>
      </w:r>
    </w:p>
    <w:p w14:paraId="6795916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（承包人全称） </w:t>
      </w: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代表本单位委任</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u w:val="single"/>
        </w:rPr>
        <w:t>（合同工程名称）</w:t>
      </w:r>
      <w:r>
        <w:rPr>
          <w:rFonts w:hint="default" w:ascii="Times New Roman" w:hAnsi="Times New Roman" w:cs="Times New Roman"/>
          <w:color w:val="auto"/>
          <w:sz w:val="24"/>
          <w:highlight w:val="none"/>
        </w:rPr>
        <w:t>的项目经理。凡本合同执行中的有关技术、工程进度、现场管理、质量检验、结算与支付等方面工作，由</w:t>
      </w:r>
      <w:r>
        <w:rPr>
          <w:rFonts w:hint="default" w:ascii="Times New Roman" w:hAnsi="Times New Roman" w:cs="Times New Roman"/>
          <w:color w:val="auto"/>
          <w:sz w:val="24"/>
          <w:highlight w:val="none"/>
          <w:u w:val="single"/>
        </w:rPr>
        <w:t xml:space="preserve">  （姓名） </w:t>
      </w:r>
      <w:r>
        <w:rPr>
          <w:rFonts w:hint="default" w:ascii="Times New Roman" w:hAnsi="Times New Roman" w:cs="Times New Roman"/>
          <w:color w:val="auto"/>
          <w:sz w:val="24"/>
          <w:highlight w:val="none"/>
        </w:rPr>
        <w:t>代表本单位全面负责。</w:t>
      </w:r>
    </w:p>
    <w:p w14:paraId="527A0C3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p>
    <w:p w14:paraId="64C751B6">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42BC5D03">
      <w:pPr>
        <w:pageBreakBefore w:val="0"/>
        <w:kinsoku/>
        <w:wordWrap w:val="0"/>
        <w:bidi w:val="0"/>
        <w:snapToGrid w:val="0"/>
        <w:spacing w:line="400" w:lineRule="atLeast"/>
        <w:ind w:firstLine="4603" w:firstLineChars="1918"/>
        <w:jc w:val="lef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        </w:t>
      </w:r>
    </w:p>
    <w:p w14:paraId="7198E62B">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（姓名）       </w:t>
      </w:r>
    </w:p>
    <w:p w14:paraId="517D66B9">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（签字）       </w:t>
      </w:r>
    </w:p>
    <w:p w14:paraId="2FA72632">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50F4847E">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p>
    <w:p w14:paraId="6788BAD7">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p>
    <w:p w14:paraId="6CE3B70E">
      <w:pPr>
        <w:pageBreakBefore w:val="0"/>
        <w:kinsoku/>
        <w:wordWrap w:val="0"/>
        <w:bidi w:val="0"/>
        <w:snapToGrid w:val="0"/>
        <w:spacing w:line="400" w:lineRule="atLeast"/>
        <w:rPr>
          <w:rFonts w:hint="default" w:ascii="Times New Roman" w:hAnsi="Times New Roman" w:cs="Times New Roman"/>
          <w:color w:val="auto"/>
          <w:sz w:val="24"/>
          <w:highlight w:val="none"/>
        </w:rPr>
      </w:pPr>
    </w:p>
    <w:p w14:paraId="1433FE7D">
      <w:pPr>
        <w:pageBreakBefore w:val="0"/>
        <w:kinsoku/>
        <w:wordWrap w:val="0"/>
        <w:bidi w:val="0"/>
        <w:snapToGrid w:val="0"/>
        <w:spacing w:line="400" w:lineRule="atLeast"/>
        <w:rPr>
          <w:rFonts w:hint="default" w:ascii="Times New Roman" w:hAnsi="Times New Roman" w:eastAsia="黑体" w:cs="Times New Roman"/>
          <w:bCs/>
          <w:color w:val="auto"/>
          <w:kern w:val="44"/>
          <w:sz w:val="24"/>
          <w:highlight w:val="none"/>
        </w:rPr>
      </w:pPr>
      <w:r>
        <w:rPr>
          <w:rFonts w:hint="default" w:ascii="Times New Roman" w:hAnsi="Times New Roman" w:cs="Times New Roman"/>
          <w:color w:val="auto"/>
          <w:sz w:val="24"/>
          <w:highlight w:val="none"/>
        </w:rPr>
        <w:t>抄送：</w:t>
      </w:r>
      <w:r>
        <w:rPr>
          <w:rFonts w:hint="default" w:ascii="Times New Roman" w:hAnsi="Times New Roman" w:cs="Times New Roman"/>
          <w:color w:val="auto"/>
          <w:sz w:val="24"/>
          <w:highlight w:val="none"/>
          <w:u w:val="single"/>
        </w:rPr>
        <w:t xml:space="preserve">  （监理人）  </w:t>
      </w:r>
      <w:r>
        <w:rPr>
          <w:rFonts w:hint="default" w:ascii="Times New Roman" w:hAnsi="Times New Roman" w:cs="Times New Roman"/>
          <w:color w:val="auto"/>
          <w:sz w:val="24"/>
          <w:highlight w:val="none"/>
        </w:rPr>
        <w:br w:type="page"/>
      </w:r>
      <w:r>
        <w:rPr>
          <w:rFonts w:hint="default" w:ascii="Times New Roman" w:hAnsi="Times New Roman" w:eastAsia="黑体" w:cs="Times New Roman"/>
          <w:bCs/>
          <w:color w:val="auto"/>
          <w:kern w:val="44"/>
          <w:sz w:val="24"/>
          <w:highlight w:val="none"/>
        </w:rPr>
        <w:t>附件七 履约保证金格式</w:t>
      </w:r>
    </w:p>
    <w:p w14:paraId="2E3059FF">
      <w:pPr>
        <w:pageBreakBefore w:val="0"/>
        <w:kinsoku/>
        <w:wordWrap w:val="0"/>
        <w:bidi w:val="0"/>
        <w:spacing w:line="400" w:lineRule="atLeast"/>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如采用银行保函，格式如下。</w:t>
      </w:r>
    </w:p>
    <w:p w14:paraId="52A9C11D">
      <w:pPr>
        <w:pageBreakBefore w:val="0"/>
        <w:kinsoku/>
        <w:wordWrap w:val="0"/>
        <w:bidi w:val="0"/>
        <w:spacing w:line="400" w:lineRule="atLeast"/>
        <w:ind w:firstLine="3360" w:firstLineChars="1200"/>
        <w:rPr>
          <w:rFonts w:hint="default" w:ascii="Times New Roman" w:hAnsi="Times New Roman" w:eastAsia="黑体" w:cs="Times New Roman"/>
          <w:color w:val="auto"/>
          <w:sz w:val="28"/>
          <w:szCs w:val="28"/>
          <w:highlight w:val="none"/>
        </w:rPr>
      </w:pPr>
    </w:p>
    <w:p w14:paraId="1FC9E92D">
      <w:pPr>
        <w:pageBreakBefore w:val="0"/>
        <w:kinsoku/>
        <w:wordWrap w:val="0"/>
        <w:bidi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履约保证金</w:t>
      </w:r>
    </w:p>
    <w:p w14:paraId="7AA6E70E">
      <w:pPr>
        <w:pageBreakBefore w:val="0"/>
        <w:kinsoku/>
        <w:wordWrap w:val="0"/>
        <w:bidi w:val="0"/>
        <w:spacing w:line="400" w:lineRule="atLeast"/>
        <w:rPr>
          <w:rFonts w:hint="default" w:ascii="Times New Roman" w:hAnsi="Times New Roman" w:cs="Times New Roman"/>
          <w:color w:val="auto"/>
          <w:sz w:val="24"/>
          <w:highlight w:val="none"/>
        </w:rPr>
      </w:pPr>
    </w:p>
    <w:p w14:paraId="0137922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w:t>
      </w:r>
    </w:p>
    <w:p w14:paraId="238A4F81">
      <w:pPr>
        <w:pageBreakBefore w:val="0"/>
        <w:kinsoku/>
        <w:wordWrap w:val="0"/>
        <w:bidi w:val="0"/>
        <w:spacing w:line="400" w:lineRule="atLeast"/>
        <w:rPr>
          <w:rFonts w:hint="default" w:ascii="Times New Roman" w:hAnsi="Times New Roman" w:cs="Times New Roman"/>
          <w:color w:val="auto"/>
          <w:sz w:val="24"/>
          <w:highlight w:val="none"/>
        </w:rPr>
      </w:pPr>
    </w:p>
    <w:p w14:paraId="751639C0">
      <w:pPr>
        <w:pageBreakBefore w:val="0"/>
        <w:kinsoku/>
        <w:wordWrap w:val="0"/>
        <w:bidi w:val="0"/>
        <w:spacing w:line="400" w:lineRule="atLeast"/>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标段施工的投标。我方愿意无条件地、不可撤销地就承包人履行与你方订立的合同，向你方提供担保。</w:t>
      </w:r>
    </w:p>
    <w:p w14:paraId="56D468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担保金额人民币（大写）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5D5D66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担保有效期自发包人与承包人签订的合同生效之日起至发包人签发交工验收证书且承包人按照合同约定缴纳质量保证金之日止。</w:t>
      </w:r>
      <w:r>
        <w:rPr>
          <w:rStyle w:val="47"/>
          <w:rFonts w:hint="default" w:ascii="Times New Roman" w:hAnsi="Times New Roman" w:eastAsia="黑体" w:cs="Times New Roman"/>
          <w:color w:val="auto"/>
          <w:sz w:val="28"/>
          <w:szCs w:val="28"/>
          <w:highlight w:val="none"/>
        </w:rPr>
        <w:footnoteReference w:id="44"/>
      </w:r>
    </w:p>
    <w:p w14:paraId="25BA70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在本担保有效期内，因承包人违反合同约定的义务给你方造成经济损失时，我方在收到你方以书面形式提出的在担保金额内的赔偿要求后，在7日内无条件支付，无须你方出具证明或陈述理由。</w:t>
      </w:r>
    </w:p>
    <w:p w14:paraId="58DDB5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发包人和承包人按合同条款第15条变更合同时，无论我方是否收到该变更，我方承担本担保规定的义务不变。</w:t>
      </w:r>
    </w:p>
    <w:p w14:paraId="31C129E4">
      <w:pPr>
        <w:pageBreakBefore w:val="0"/>
        <w:kinsoku/>
        <w:wordWrap w:val="0"/>
        <w:bidi w:val="0"/>
        <w:spacing w:line="400" w:lineRule="atLeast"/>
        <w:rPr>
          <w:rFonts w:hint="default" w:ascii="Times New Roman" w:hAnsi="Times New Roman" w:cs="Times New Roman"/>
          <w:color w:val="auto"/>
          <w:sz w:val="24"/>
          <w:highlight w:val="none"/>
        </w:rPr>
      </w:pPr>
    </w:p>
    <w:p w14:paraId="4F063675">
      <w:pPr>
        <w:pageBreakBefore w:val="0"/>
        <w:kinsoku/>
        <w:wordWrap w:val="0"/>
        <w:bidi w:val="0"/>
        <w:spacing w:line="400" w:lineRule="atLeast"/>
        <w:rPr>
          <w:rFonts w:hint="default" w:ascii="Times New Roman" w:hAnsi="Times New Roman" w:cs="Times New Roman"/>
          <w:color w:val="auto"/>
          <w:sz w:val="24"/>
          <w:highlight w:val="none"/>
        </w:rPr>
      </w:pPr>
    </w:p>
    <w:p w14:paraId="305671DC">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44568A8C">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5F66607B">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656E4C6F">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619B522C">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21C35E49">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5853FCBA">
      <w:pPr>
        <w:pageBreakBefore w:val="0"/>
        <w:kinsoku/>
        <w:wordWrap w:val="0"/>
        <w:bidi w:val="0"/>
        <w:spacing w:line="400" w:lineRule="atLeast"/>
        <w:ind w:firstLine="4216" w:firstLineChars="1757"/>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469333D">
      <w:pPr>
        <w:pageBreakBefore w:val="0"/>
        <w:kinsoku/>
        <w:wordWrap w:val="0"/>
        <w:bidi w:val="0"/>
        <w:spacing w:line="400" w:lineRule="atLeast"/>
        <w:rPr>
          <w:rFonts w:hint="default" w:ascii="Times New Roman" w:hAnsi="Times New Roman" w:cs="Times New Roman"/>
          <w:color w:val="auto"/>
          <w:sz w:val="24"/>
          <w:highlight w:val="none"/>
        </w:rPr>
      </w:pPr>
    </w:p>
    <w:p w14:paraId="1DA8431D">
      <w:pPr>
        <w:pageBreakBefore w:val="0"/>
        <w:kinsoku/>
        <w:wordWrap w:val="0"/>
        <w:bidi w:val="0"/>
        <w:spacing w:line="400" w:lineRule="atLeast"/>
        <w:rPr>
          <w:rFonts w:hint="default" w:ascii="Times New Roman" w:hAnsi="Times New Roman" w:eastAsia="黑体" w:cs="Times New Roman"/>
          <w:color w:val="auto"/>
          <w:sz w:val="24"/>
          <w:highlight w:val="none"/>
        </w:rPr>
      </w:pPr>
    </w:p>
    <w:p w14:paraId="012F3E66">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814" w:name="_Toc18852"/>
      <w:bookmarkStart w:id="1815" w:name="_Toc24417"/>
      <w:bookmarkStart w:id="1816" w:name="_Toc32209"/>
      <w:bookmarkStart w:id="1817" w:name="_Toc234833238"/>
      <w:bookmarkStart w:id="1818" w:name="_Toc21835"/>
      <w:r>
        <w:rPr>
          <w:rFonts w:hint="default" w:ascii="Times New Roman" w:hAnsi="Times New Roman" w:eastAsia="黑体" w:cs="Times New Roman"/>
          <w:b w:val="0"/>
          <w:color w:val="auto"/>
          <w:sz w:val="24"/>
          <w:szCs w:val="24"/>
          <w:highlight w:val="none"/>
        </w:rPr>
        <w:t>附件八</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工程资金监管协议格式</w:t>
      </w:r>
      <w:bookmarkEnd w:id="1814"/>
      <w:bookmarkEnd w:id="1815"/>
      <w:bookmarkEnd w:id="1816"/>
      <w:bookmarkEnd w:id="1817"/>
      <w:bookmarkEnd w:id="1818"/>
    </w:p>
    <w:p w14:paraId="2603F3A4">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（发包人与承包人签订合同协议书时应与发包人指定的银行签署工程资金监管协议，工程资金监管协议内容在保证本项目资金有效监管的前提下由三方共同商定）</w:t>
      </w:r>
    </w:p>
    <w:p w14:paraId="0FD63CDB">
      <w:pPr>
        <w:pageBreakBefore w:val="0"/>
        <w:kinsoku/>
        <w:wordWrap w:val="0"/>
        <w:bidi w:val="0"/>
        <w:spacing w:line="380" w:lineRule="atLeast"/>
        <w:rPr>
          <w:rFonts w:hint="default" w:ascii="Times New Roman" w:hAnsi="Times New Roman" w:eastAsia="黑体" w:cs="Times New Roman"/>
          <w:color w:val="auto"/>
          <w:sz w:val="24"/>
          <w:highlight w:val="none"/>
        </w:rPr>
      </w:pPr>
    </w:p>
    <w:p w14:paraId="345BCFC6">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工程资金监管协议</w:t>
      </w:r>
    </w:p>
    <w:p w14:paraId="11F53D37">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p>
    <w:p w14:paraId="7BC0D546">
      <w:pPr>
        <w:pageBreakBefore w:val="0"/>
        <w:kinsoku/>
        <w:wordWrap w:val="0"/>
        <w:bidi w:val="0"/>
        <w:spacing w:line="380" w:lineRule="atLeast"/>
        <w:rPr>
          <w:rFonts w:hint="default" w:ascii="Times New Roman" w:hAnsi="Times New Roman" w:cs="Times New Roman"/>
          <w:color w:val="auto"/>
          <w:sz w:val="24"/>
          <w:highlight w:val="none"/>
        </w:rPr>
      </w:pPr>
      <w:bookmarkStart w:id="1819" w:name="_Toc234833239"/>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甲方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bookmarkEnd w:id="1819"/>
    </w:p>
    <w:p w14:paraId="18AA09EB">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40B99D2C">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6B998ECC">
      <w:pPr>
        <w:pageBreakBefore w:val="0"/>
        <w:kinsoku/>
        <w:wordWrap w:val="0"/>
        <w:bidi w:val="0"/>
        <w:spacing w:line="380" w:lineRule="atLeast"/>
        <w:jc w:val="left"/>
        <w:rPr>
          <w:rFonts w:hint="default" w:ascii="Times New Roman" w:hAnsi="Times New Roman" w:cs="Times New Roman"/>
          <w:color w:val="auto"/>
          <w:sz w:val="24"/>
          <w:highlight w:val="none"/>
        </w:rPr>
      </w:pPr>
    </w:p>
    <w:p w14:paraId="78890AF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为了促进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（项目名称）的顺利实施，管好用好建设资金，确保工程资金专款专用，同时为承包人提供便捷有效的银行业务服务，根据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（项目名称）合同条款有关规定，经甲、乙、丙三方协商，达成协议如下：</w:t>
      </w:r>
    </w:p>
    <w:p w14:paraId="3164418C">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资金管理的内容</w:t>
      </w:r>
    </w:p>
    <w:p w14:paraId="150A3D6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（1）乙方为完成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（项目名称）工程成立的项目经理部在丙方开设基本结算户；</w:t>
      </w:r>
    </w:p>
    <w:p w14:paraId="38412459">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（2）甲方应按合同规定将工程款汇入乙方在丙方开设的账户；</w:t>
      </w:r>
    </w:p>
    <w:p w14:paraId="5DF3E91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（3）乙方应将流动资金及甲方所拨付资金专项用于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p>
    <w:p w14:paraId="6C6DEC6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（4）丙方应为乙方提供便捷有效的银行业务服务，并接受甲方委托对乙方在丙方开设的基本结算户资金使用情况进行监督。</w:t>
      </w:r>
    </w:p>
    <w:p w14:paraId="02AFFB26">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甲方的权责</w:t>
      </w:r>
    </w:p>
    <w:p w14:paraId="5387D25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（1）按照</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（项目名称）合同有关条款规定的时间和方式，向乙方支付工程款；</w:t>
      </w:r>
    </w:p>
    <w:p w14:paraId="4721BC0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（2）在发现乙方将本项目资金挪用、转移时，甲方有权中止工程支付，直至乙方改正为止；</w:t>
      </w:r>
    </w:p>
    <w:p w14:paraId="74DBA7C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（3）不定期审查丙方对乙方的资金使用监督情况，如丙方不能履行其责任，甲方有权随时终止本协议；</w:t>
      </w:r>
    </w:p>
    <w:p w14:paraId="6C9DC3B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（4）在乙、丙双方发生争议时，甲方应负责协调、解决。</w:t>
      </w:r>
    </w:p>
    <w:p w14:paraId="14113237">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乙方的权责</w:t>
      </w:r>
    </w:p>
    <w:p w14:paraId="1B4FD68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（1）项目经理部成立以后，乙方应尽快在丙方开设基本结算户；</w:t>
      </w:r>
    </w:p>
    <w:p w14:paraId="35D5F45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（2）确保本项目资金专款专用，不发生挪用、转移资金的现象；保证不通过权益转让、抵押、担保承担债务等任何其他方式使用基本结算户的资金；</w:t>
      </w:r>
    </w:p>
    <w:p w14:paraId="4785897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（3）办理材料、设备等采购业务金额在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万元以上的，应出示购货合同、协议和发票；在办理总额超过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万元以上的采购业务时，应将合同、协议和发票复印件送丙方备案；购买应急材料、设备时可先办理支付手续，但事后必须补备有关资料；</w:t>
      </w:r>
    </w:p>
    <w:p w14:paraId="477B4EB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（4）用银行转账支票办理支付款项时，必须将转账支票送交丙方，由丙方负责办理支票转付手续；</w:t>
      </w:r>
    </w:p>
    <w:p w14:paraId="30C04C6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（5）向分包单位支付工程进度款时，应附甲方批准分包的文件；</w:t>
      </w:r>
    </w:p>
    <w:p w14:paraId="27110011">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（6）向上级单位缴纳管理费、机械设备及周转材料租赁摊销费等款项时，应附上级单位出具的转账通知等有关资料，以确保资金专款专用。</w:t>
      </w:r>
    </w:p>
    <w:p w14:paraId="6B15A55B">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丙方的权责</w:t>
      </w:r>
    </w:p>
    <w:p w14:paraId="418663FE">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（1）成立</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（项目名称）工程资金管理服务小组，明确业务流程，提高工作效率，杜绝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压票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现象；</w:t>
      </w:r>
    </w:p>
    <w:p w14:paraId="622C1AA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pacing w:val="-6"/>
          <w:sz w:val="24"/>
          <w:highlight w:val="none"/>
        </w:rPr>
        <w:t>根据乙方提供的购货合同、协议和发票，检查其所购材料、设备是否用于</w:t>
      </w:r>
      <w:r>
        <w:rPr>
          <w:rFonts w:hint="default" w:ascii="Times New Roman" w:hAnsi="Times New Roman" w:cs="Times New Roman"/>
          <w:color w:val="auto"/>
          <w:spacing w:val="-6"/>
          <w:sz w:val="24"/>
          <w:highlight w:val="none"/>
          <w:u w:val="single"/>
        </w:rPr>
        <w:t xml:space="preserve">   </w:t>
      </w:r>
      <w:r>
        <w:rPr>
          <w:rFonts w:hint="default" w:ascii="Times New Roman" w:hAnsi="Times New Roman" w:cs="Times New Roman"/>
          <w:color w:val="auto"/>
          <w:sz w:val="24"/>
          <w:highlight w:val="none"/>
        </w:rPr>
        <w:t>（项目名称）工程建设，对本标段以外的购货款项，有权拒绝办理，并及时报告甲方；</w:t>
      </w:r>
    </w:p>
    <w:p w14:paraId="7014960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（3）根据乙方与分包单位签订的合同及支付文件，检查其支付款项是否符合有关条件，向分包单位以外单位的支付有权拒绝办理，并及时报告甲方；</w:t>
      </w:r>
    </w:p>
    <w:p w14:paraId="7A91CA2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（4）根据乙方提供的上级单位出具的转账通知等有关资料，办理管理费、机械设备及周转材料租赁摊销费等款项的支付；对超出转账通知等有关资料以外的支付，有权拒绝办理，并及时报告甲方；</w:t>
      </w:r>
    </w:p>
    <w:p w14:paraId="0997322B">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（5）定期将乙方前一个周期的支付情况，整理后书面报送甲方；乙方复印备案的材料一并送甲方。</w:t>
      </w:r>
    </w:p>
    <w:p w14:paraId="27F53F7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甲、乙、丙三方都应履行保密责任，不得将其他两方的业务情况透露给三方以外的其他单位或个人。</w:t>
      </w:r>
    </w:p>
    <w:p w14:paraId="2A7D6945">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本协议有效期自乙方在丙方开户起，至工程交工验收甲方向乙方颁发交工验收证书后结束。</w:t>
      </w:r>
    </w:p>
    <w:p w14:paraId="56308BD8">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本协议未尽事宜，由甲方牵头，三方协商解决。</w:t>
      </w:r>
    </w:p>
    <w:p w14:paraId="01D4876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本协议正本三份、副本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份。合同三方各执正本一份、副本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份，当正本与副本内容不一致时，以正本为准。</w:t>
      </w:r>
    </w:p>
    <w:p w14:paraId="6B770DA4">
      <w:pPr>
        <w:pageBreakBefore w:val="0"/>
        <w:kinsoku/>
        <w:wordWrap w:val="0"/>
        <w:bidi w:val="0"/>
        <w:spacing w:line="340" w:lineRule="atLeast"/>
        <w:outlineLvl w:val="9"/>
        <w:rPr>
          <w:rFonts w:hint="default" w:ascii="Times New Roman" w:hAnsi="Times New Roman" w:cs="Times New Roman"/>
          <w:b/>
          <w:color w:val="auto"/>
          <w:sz w:val="24"/>
          <w:highlight w:val="none"/>
        </w:rPr>
      </w:pPr>
    </w:p>
    <w:p w14:paraId="0E674B67">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79917A77">
      <w:pPr>
        <w:pageBreakBefore w:val="0"/>
        <w:kinsoku/>
        <w:wordWrap w:val="0"/>
        <w:bidi w:val="0"/>
        <w:spacing w:line="340" w:lineRule="atLeast"/>
        <w:outlineLvl w:val="9"/>
        <w:rPr>
          <w:rFonts w:hint="default" w:ascii="Times New Roman" w:hAnsi="Times New Roman" w:cs="Times New Roman"/>
          <w:color w:val="auto"/>
          <w:sz w:val="24"/>
          <w:highlight w:val="none"/>
        </w:rPr>
      </w:pPr>
      <w:bookmarkStart w:id="1820" w:name="_Toc25487"/>
      <w:bookmarkStart w:id="1821" w:name="_Toc27026"/>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bookmarkEnd w:id="1820"/>
      <w:bookmarkEnd w:id="1821"/>
      <w:r>
        <w:rPr>
          <w:rFonts w:hint="default" w:ascii="Times New Roman" w:hAnsi="Times New Roman" w:cs="Times New Roman"/>
          <w:color w:val="auto"/>
          <w:sz w:val="24"/>
          <w:highlight w:val="none"/>
        </w:rPr>
        <w:t xml:space="preserve">  </w:t>
      </w:r>
    </w:p>
    <w:p w14:paraId="362401CA">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71AB86B2">
      <w:pPr>
        <w:pageBreakBefore w:val="0"/>
        <w:kinsoku/>
        <w:wordWrap w:val="0"/>
        <w:bidi w:val="0"/>
        <w:spacing w:line="340" w:lineRule="atLeast"/>
        <w:rPr>
          <w:rFonts w:hint="default" w:ascii="Times New Roman" w:hAnsi="Times New Roman" w:cs="Times New Roman"/>
          <w:color w:val="auto"/>
          <w:sz w:val="24"/>
          <w:highlight w:val="none"/>
        </w:rPr>
      </w:pPr>
    </w:p>
    <w:p w14:paraId="6FC99DAE">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5CC3544C">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6B6A197D">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7E9FF43B">
      <w:pPr>
        <w:pageBreakBefore w:val="0"/>
        <w:kinsoku/>
        <w:wordWrap w:val="0"/>
        <w:bidi w:val="0"/>
        <w:spacing w:line="340" w:lineRule="atLeast"/>
        <w:rPr>
          <w:rFonts w:hint="default" w:ascii="Times New Roman" w:hAnsi="Times New Roman" w:cs="Times New Roman"/>
          <w:color w:val="auto"/>
          <w:sz w:val="24"/>
          <w:highlight w:val="none"/>
        </w:rPr>
      </w:pPr>
    </w:p>
    <w:p w14:paraId="513E7E77">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247C5EE6">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10FA6425">
      <w:pPr>
        <w:pageBreakBefore w:val="0"/>
        <w:kinsoku/>
        <w:wordWrap w:val="0"/>
        <w:bidi w:val="0"/>
        <w:spacing w:line="340" w:lineRule="atLeast"/>
        <w:ind w:firstLine="1920" w:firstLineChars="800"/>
        <w:rPr>
          <w:rFonts w:hint="default" w:ascii="Times New Roman" w:hAnsi="Times New Roman" w:cs="Times New Roman"/>
          <w:color w:val="auto"/>
          <w:sz w:val="24"/>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422089AE">
      <w:pPr>
        <w:pageBreakBefore w:val="0"/>
        <w:kinsoku/>
        <w:wordWrap w:val="0"/>
        <w:bidi w:val="0"/>
        <w:spacing w:line="340" w:lineRule="atLeast"/>
        <w:ind w:firstLine="3534" w:firstLineChars="800"/>
        <w:rPr>
          <w:rFonts w:hint="default" w:ascii="Times New Roman" w:hAnsi="Times New Roman" w:cs="Times New Roman"/>
          <w:b/>
          <w:bCs/>
          <w:color w:val="auto"/>
          <w:sz w:val="44"/>
          <w:highlight w:val="none"/>
        </w:rPr>
      </w:pPr>
    </w:p>
    <w:p w14:paraId="79A08ABA">
      <w:pPr>
        <w:pageBreakBefore w:val="0"/>
        <w:kinsoku/>
        <w:wordWrap w:val="0"/>
        <w:bidi w:val="0"/>
        <w:spacing w:line="400" w:lineRule="exact"/>
        <w:rPr>
          <w:rFonts w:hint="default" w:ascii="Times New Roman" w:hAnsi="Times New Roman" w:cs="Times New Roman"/>
          <w:color w:val="auto"/>
          <w:sz w:val="24"/>
          <w:highlight w:val="none"/>
        </w:rPr>
      </w:pPr>
    </w:p>
    <w:p w14:paraId="7F1DDBA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5C47D2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A15D24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DD3CE6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BA12E7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C425038">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151EBCD8">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618426BA">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24B9C1DA">
      <w:pPr>
        <w:pageBreakBefore w:val="0"/>
        <w:kinsoku/>
        <w:wordWrap w:val="0"/>
        <w:bidi w:val="0"/>
        <w:spacing w:before="0" w:after="480" w:afterLines="200" w:line="380" w:lineRule="atLeast"/>
        <w:ind w:firstLine="1680" w:firstLineChars="300"/>
        <w:jc w:val="center"/>
        <w:outlineLvl w:val="0"/>
        <w:rPr>
          <w:rFonts w:hint="eastAsia" w:eastAsia="黑体" w:cs="Times New Roman"/>
          <w:color w:val="auto"/>
          <w:sz w:val="56"/>
          <w:szCs w:val="56"/>
          <w:highlight w:val="none"/>
          <w:lang w:eastAsia="zh-CN"/>
        </w:rPr>
      </w:pPr>
      <w:bookmarkStart w:id="1822" w:name="_Toc234835927"/>
      <w:bookmarkStart w:id="1823" w:name="_Toc234833240"/>
      <w:bookmarkStart w:id="1824" w:name="_Toc28723"/>
      <w:bookmarkStart w:id="1825" w:name="_Toc15757"/>
      <w:bookmarkStart w:id="1826" w:name="_Toc22372"/>
      <w:r>
        <w:rPr>
          <w:rFonts w:hint="default" w:ascii="Times New Roman" w:hAnsi="Times New Roman" w:eastAsia="黑体" w:cs="Times New Roman"/>
          <w:color w:val="auto"/>
          <w:sz w:val="56"/>
          <w:szCs w:val="56"/>
          <w:highlight w:val="none"/>
        </w:rPr>
        <w:t>第五章  工程量清单</w:t>
      </w:r>
      <w:bookmarkEnd w:id="1822"/>
      <w:bookmarkEnd w:id="1823"/>
      <w:bookmarkEnd w:id="1824"/>
      <w:bookmarkEnd w:id="1825"/>
      <w:bookmarkStart w:id="1827" w:name="_Toc234833241"/>
      <w:r>
        <w:rPr>
          <w:rFonts w:hint="eastAsia" w:eastAsia="黑体" w:cs="Times New Roman"/>
          <w:color w:val="auto"/>
          <w:sz w:val="56"/>
          <w:szCs w:val="56"/>
          <w:highlight w:val="none"/>
          <w:lang w:eastAsia="zh-CN"/>
        </w:rPr>
        <w:t>（另册）</w:t>
      </w:r>
      <w:r>
        <w:rPr>
          <w:rStyle w:val="47"/>
          <w:rFonts w:hint="default" w:ascii="Times New Roman" w:hAnsi="Times New Roman" w:eastAsia="黑体" w:cs="Times New Roman"/>
          <w:b w:val="0"/>
          <w:color w:val="auto"/>
          <w:sz w:val="56"/>
          <w:szCs w:val="56"/>
          <w:highlight w:val="none"/>
        </w:rPr>
        <w:footnoteReference w:id="45"/>
      </w:r>
      <w:bookmarkEnd w:id="1826"/>
    </w:p>
    <w:p w14:paraId="129BE2EB">
      <w:pPr>
        <w:rPr>
          <w:rFonts w:hint="eastAsia" w:eastAsia="黑体" w:cs="Times New Roman"/>
          <w:color w:val="auto"/>
          <w:sz w:val="56"/>
          <w:szCs w:val="56"/>
          <w:highlight w:val="none"/>
          <w:lang w:eastAsia="zh-CN"/>
        </w:rPr>
      </w:pPr>
      <w:r>
        <w:rPr>
          <w:rFonts w:hint="eastAsia" w:eastAsia="黑体" w:cs="Times New Roman"/>
          <w:color w:val="auto"/>
          <w:sz w:val="56"/>
          <w:szCs w:val="56"/>
          <w:highlight w:val="none"/>
          <w:lang w:eastAsia="zh-CN"/>
        </w:rPr>
        <w:br w:type="page"/>
      </w:r>
    </w:p>
    <w:p w14:paraId="2C96017D">
      <w:pPr>
        <w:rPr>
          <w:rFonts w:hint="default" w:ascii="Times New Roman" w:hAnsi="Times New Roman" w:eastAsia="黑体" w:cs="Times New Roman"/>
          <w:b w:val="0"/>
          <w:color w:val="auto"/>
          <w:sz w:val="28"/>
          <w:szCs w:val="28"/>
          <w:highlight w:val="none"/>
        </w:rPr>
      </w:pPr>
      <w:bookmarkStart w:id="1828" w:name="_Toc234833242"/>
      <w:bookmarkStart w:id="1829" w:name="_Toc27094"/>
      <w:bookmarkStart w:id="1830" w:name="_Toc27980"/>
      <w:bookmarkStart w:id="1831" w:name="_Toc7467"/>
      <w:bookmarkStart w:id="1832" w:name="_Toc32385"/>
      <w:r>
        <w:rPr>
          <w:rFonts w:hint="default" w:ascii="Times New Roman" w:hAnsi="Times New Roman" w:eastAsia="黑体" w:cs="Times New Roman"/>
          <w:b w:val="0"/>
          <w:color w:val="auto"/>
          <w:sz w:val="28"/>
          <w:szCs w:val="28"/>
          <w:highlight w:val="none"/>
        </w:rPr>
        <w:t>1. 工程量清单说明</w:t>
      </w:r>
      <w:bookmarkEnd w:id="1828"/>
      <w:bookmarkEnd w:id="1829"/>
      <w:bookmarkEnd w:id="1830"/>
      <w:bookmarkEnd w:id="1831"/>
      <w:bookmarkEnd w:id="1832"/>
    </w:p>
    <w:p w14:paraId="7D18224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5C28B59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 本工程量清单应与招标文件中的投标人须知、通用合同条款、专用合同条款、工程量清单计量规则、技术规范及图纸等一起阅读和理解。</w:t>
      </w:r>
    </w:p>
    <w:p w14:paraId="0E16DB7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158FA47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 工程量清单各章是按第八章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的相应章次编号的，因此，工程量清单中各章的工程子目的范围与计量等应与</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 </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相应章节的范围、计量与支付条款结合起来理解或解释。</w:t>
      </w:r>
    </w:p>
    <w:p w14:paraId="385889E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 对作业和材料的一般说明或规定，未重复写入工程量清单内，在给工程量清单各子目标价前，应参阅第七章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的有关内容。</w:t>
      </w:r>
    </w:p>
    <w:p w14:paraId="1CE0D3D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 工程量清单中所列工程量的变动，丝毫不会降低或影响合同条款的效力，也不免除承包人按规定的标准进行施工和修复缺陷的责任。</w:t>
      </w:r>
    </w:p>
    <w:p w14:paraId="6FFDE31F">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 图纸中所列的工程数量表及数量汇总表仅是提供资料，不是工程量清单的外延。当图纸与工程量清单所列数量不一致时，以工程量清单所列数量作为报价的依据。</w:t>
      </w:r>
    </w:p>
    <w:p w14:paraId="2579E8A3">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33" w:name="_Toc26778"/>
      <w:bookmarkStart w:id="1834" w:name="_Toc31685"/>
      <w:bookmarkStart w:id="1835" w:name="_Toc234833243"/>
      <w:bookmarkStart w:id="1836" w:name="_Toc8713"/>
      <w:bookmarkStart w:id="1837" w:name="_Toc29747"/>
      <w:r>
        <w:rPr>
          <w:rFonts w:hint="default" w:ascii="Times New Roman" w:hAnsi="Times New Roman" w:eastAsia="黑体" w:cs="Times New Roman"/>
          <w:b w:val="0"/>
          <w:color w:val="auto"/>
          <w:sz w:val="28"/>
          <w:szCs w:val="28"/>
          <w:highlight w:val="none"/>
        </w:rPr>
        <w:t>2. 投标报价说明</w:t>
      </w:r>
      <w:bookmarkEnd w:id="1833"/>
      <w:bookmarkEnd w:id="1834"/>
      <w:bookmarkEnd w:id="1835"/>
      <w:bookmarkEnd w:id="1836"/>
      <w:bookmarkEnd w:id="1837"/>
    </w:p>
    <w:p w14:paraId="5292C8A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 工程量清单中的每一子目须填入单价或价格，且只允许有一个报价。</w:t>
      </w:r>
    </w:p>
    <w:p w14:paraId="56DCCBB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6C3D7142">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4A6333E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1A78AF9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2.5 承包人用于本合同工程的各类装备的提供、运输、维护、拆卸、拼装等支付的费用，已包括在工程量清单的单价与总额价之中。</w:t>
      </w:r>
    </w:p>
    <w:p w14:paraId="2CD7AE85">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 工程量清单中各项金额均以人民币（元）结算。</w:t>
      </w:r>
    </w:p>
    <w:p w14:paraId="61D68AE7">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 暂列金额（不含计日工总额）的数量及拟用子目的说明：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61CBADB3">
      <w:pPr>
        <w:pageBreakBefore w:val="0"/>
        <w:kinsoku/>
        <w:wordWrap w:val="0"/>
        <w:bidi w:val="0"/>
        <w:spacing w:line="400" w:lineRule="atLeast"/>
        <w:ind w:firstLine="540" w:firstLineChars="22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2.8 暂估价的数量及拟用子目的说明：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3B9DA408">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38" w:name="_Toc3776"/>
      <w:bookmarkStart w:id="1839" w:name="_Toc234833244"/>
      <w:bookmarkStart w:id="1840" w:name="_Toc14325"/>
      <w:bookmarkStart w:id="1841" w:name="_Toc17259"/>
      <w:bookmarkStart w:id="1842" w:name="_Toc19"/>
      <w:r>
        <w:rPr>
          <w:rFonts w:hint="default" w:ascii="Times New Roman" w:hAnsi="Times New Roman" w:eastAsia="黑体" w:cs="Times New Roman"/>
          <w:b w:val="0"/>
          <w:color w:val="auto"/>
          <w:sz w:val="28"/>
          <w:szCs w:val="28"/>
          <w:highlight w:val="none"/>
        </w:rPr>
        <w:t>3. 计日工说明</w:t>
      </w:r>
      <w:bookmarkEnd w:id="1838"/>
      <w:bookmarkEnd w:id="1839"/>
      <w:bookmarkEnd w:id="1840"/>
      <w:bookmarkEnd w:id="1841"/>
      <w:bookmarkEnd w:id="1842"/>
    </w:p>
    <w:p w14:paraId="3076AE1C">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3" w:name="_Toc4285"/>
      <w:r>
        <w:rPr>
          <w:rFonts w:hint="default" w:ascii="Times New Roman" w:hAnsi="Times New Roman" w:cs="Times New Roman"/>
          <w:color w:val="auto"/>
          <w:sz w:val="24"/>
          <w:highlight w:val="none"/>
        </w:rPr>
        <w:t>3.1 总则</w:t>
      </w:r>
      <w:bookmarkEnd w:id="1843"/>
    </w:p>
    <w:p w14:paraId="28AFD87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（1）本说明应参照通用合同条款第15.7款一并理解。</w:t>
      </w:r>
    </w:p>
    <w:p w14:paraId="28F4BC8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（2）未经监理人书面指令，任何工程不得按计日工施工；接到监理人按计日工施工的书面指令，承包人也不得拒绝。</w:t>
      </w:r>
    </w:p>
    <w:p w14:paraId="2C517BE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33BFC24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（4）计日工不调价。</w:t>
      </w:r>
    </w:p>
    <w:p w14:paraId="1C88F95A">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4" w:name="_Toc20973"/>
      <w:r>
        <w:rPr>
          <w:rFonts w:hint="default" w:ascii="Times New Roman" w:hAnsi="Times New Roman" w:cs="Times New Roman"/>
          <w:color w:val="auto"/>
          <w:sz w:val="24"/>
          <w:highlight w:val="none"/>
        </w:rPr>
        <w:t>3.2 计日工劳务</w:t>
      </w:r>
      <w:bookmarkEnd w:id="1844"/>
    </w:p>
    <w:p w14:paraId="3278812C">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25E4BB5B">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（2）承包人可以得到用于计日工劳务的全部工时的支付，此支付按承包人填报的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计日工劳务单价表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所列单价计算，该单价应包括基本单价及承包人的管理费、税费、利润等所有附加费，说明如下：</w:t>
      </w:r>
    </w:p>
    <w:p w14:paraId="41003D1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劳务基本单价包括：承包人劳务的全部直接费用，如：工资、加班费、津贴、福利费及劳动保护费等。</w:t>
      </w:r>
    </w:p>
    <w:p w14:paraId="37805D1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承包人的利润、管理、质检、保险、税费；易耗品的使用，水电及照明费，工作台、脚手架、临时设施费，手动机具与工具的使用及维修，以及上述各项伴随而来的费用。</w:t>
      </w:r>
    </w:p>
    <w:p w14:paraId="297A82F5">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5" w:name="_Toc6706"/>
      <w:r>
        <w:rPr>
          <w:rFonts w:hint="default" w:ascii="Times New Roman" w:hAnsi="Times New Roman" w:cs="Times New Roman"/>
          <w:color w:val="auto"/>
          <w:sz w:val="24"/>
          <w:highlight w:val="none"/>
        </w:rPr>
        <w:t>3.3 计日工材料</w:t>
      </w:r>
      <w:bookmarkEnd w:id="1845"/>
    </w:p>
    <w:p w14:paraId="6137B85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承包人可以得到计日工使用的材料费用（上述3.2款已计入劳务费内的材料费用除外）的支付，此费用按承包人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计日工材料单价表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中所填报的单价计算，该单价应包括基本单价及承包人的管理费、税费、利润等所有附加费，说明如下：</w:t>
      </w:r>
    </w:p>
    <w:p w14:paraId="604C975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（1）材料基本单价按供货价加运杂费（到达承包人现场仓库）、保险费、仓库管理费以及运输损耗等计算；</w:t>
      </w:r>
    </w:p>
    <w:p w14:paraId="6512CC9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（2）承包人的利润、管理、质检、保险、税费及其他附加费；</w:t>
      </w:r>
    </w:p>
    <w:p w14:paraId="3249E1EC">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（3）从现场运至使用地点的人工费和施工机械使用费不包括在上述基本单价内。</w:t>
      </w:r>
    </w:p>
    <w:p w14:paraId="1673C2C6">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6" w:name="_Toc4756"/>
      <w:r>
        <w:rPr>
          <w:rFonts w:hint="default" w:ascii="Times New Roman" w:hAnsi="Times New Roman" w:cs="Times New Roman"/>
          <w:color w:val="auto"/>
          <w:sz w:val="24"/>
          <w:highlight w:val="none"/>
        </w:rPr>
        <w:t>3.4 计日工施工机械</w:t>
      </w:r>
      <w:bookmarkEnd w:id="1846"/>
    </w:p>
    <w:p w14:paraId="7E9DC76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（1）承包人可以得到用于计日工作业的施工机械费用的支付，该费用按承包人填报的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计日工施工机械单价表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中的租价计算。该租价应包括施工机械的折旧、利息、维修、保养、零配件、油燃料、保险和其他消耗品的费用以及全部有关使用这些机械的管理费、税费、利润和司机与助手的劳务费等费用。</w:t>
      </w:r>
    </w:p>
    <w:p w14:paraId="32C877DC">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6EC546B9">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47" w:name="_Toc6095"/>
      <w:bookmarkStart w:id="1848" w:name="_Toc28230"/>
      <w:bookmarkStart w:id="1849" w:name="_Toc234833245"/>
      <w:bookmarkStart w:id="1850" w:name="_Toc2204"/>
      <w:bookmarkStart w:id="1851" w:name="_Toc27598"/>
      <w:r>
        <w:rPr>
          <w:rFonts w:hint="default" w:ascii="Times New Roman" w:hAnsi="Times New Roman" w:eastAsia="黑体" w:cs="Times New Roman"/>
          <w:b w:val="0"/>
          <w:color w:val="auto"/>
          <w:sz w:val="28"/>
          <w:szCs w:val="28"/>
          <w:highlight w:val="none"/>
        </w:rPr>
        <w:t>4. 其他说明</w:t>
      </w:r>
      <w:bookmarkEnd w:id="1847"/>
      <w:bookmarkEnd w:id="1848"/>
      <w:bookmarkEnd w:id="1849"/>
      <w:bookmarkEnd w:id="1850"/>
      <w:bookmarkEnd w:id="1851"/>
    </w:p>
    <w:p w14:paraId="5D78598D">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1852" w:name="_Toc30213"/>
      <w:bookmarkStart w:id="1853" w:name="_Toc18734"/>
      <w:bookmarkStart w:id="1854" w:name="_Toc22314"/>
      <w:bookmarkStart w:id="1855" w:name="_Toc234833246"/>
      <w:bookmarkStart w:id="1856" w:name="_Toc14229"/>
      <w:r>
        <w:rPr>
          <w:rFonts w:hint="default" w:ascii="Times New Roman" w:hAnsi="Times New Roman" w:eastAsia="黑体" w:cs="Times New Roman"/>
          <w:b w:val="0"/>
          <w:color w:val="auto"/>
          <w:sz w:val="28"/>
          <w:szCs w:val="28"/>
          <w:highlight w:val="none"/>
        </w:rPr>
        <w:t>5. 工程量清单</w:t>
      </w:r>
      <w:bookmarkEnd w:id="1852"/>
      <w:bookmarkEnd w:id="1853"/>
      <w:bookmarkEnd w:id="1854"/>
      <w:bookmarkEnd w:id="1855"/>
      <w:bookmarkEnd w:id="1856"/>
    </w:p>
    <w:p w14:paraId="4F20DC92">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57" w:name="_Toc7522"/>
      <w:r>
        <w:rPr>
          <w:rFonts w:hint="default" w:ascii="Times New Roman" w:hAnsi="Times New Roman" w:cs="Times New Roman"/>
          <w:color w:val="auto"/>
          <w:sz w:val="24"/>
          <w:highlight w:val="none"/>
        </w:rPr>
        <w:t>5.1 工程量清单表</w:t>
      </w:r>
      <w:bookmarkEnd w:id="1857"/>
    </w:p>
    <w:p w14:paraId="3724DE5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AA71C51">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t>工 程 量 清 单</w:t>
      </w:r>
    </w:p>
    <w:p w14:paraId="603DEBFE">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6D7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01223C9">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第100章   总  则</w:t>
            </w:r>
          </w:p>
        </w:tc>
      </w:tr>
      <w:tr w14:paraId="3735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8" w:space="0"/>
              <w:left w:val="single" w:color="auto" w:sz="12" w:space="0"/>
              <w:bottom w:val="single" w:color="auto" w:sz="4" w:space="0"/>
              <w:right w:val="single" w:color="auto" w:sz="4" w:space="0"/>
            </w:tcBorders>
            <w:noWrap w:val="0"/>
            <w:vAlign w:val="center"/>
          </w:tcPr>
          <w:p w14:paraId="2EDAD2A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5650D91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7C10EA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78530C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FF3940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12F0D11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7BA1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7DD7C70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78C81F8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通则</w:t>
            </w:r>
          </w:p>
        </w:tc>
        <w:tc>
          <w:tcPr>
            <w:tcW w:w="749" w:type="dxa"/>
            <w:tcBorders>
              <w:top w:val="single" w:color="auto" w:sz="4" w:space="0"/>
              <w:left w:val="single" w:color="auto" w:sz="4" w:space="0"/>
              <w:bottom w:val="single" w:color="auto" w:sz="4" w:space="0"/>
              <w:right w:val="single" w:color="auto" w:sz="4" w:space="0"/>
            </w:tcBorders>
            <w:noWrap w:val="0"/>
            <w:vAlign w:val="top"/>
          </w:tcPr>
          <w:p w14:paraId="6605F7E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46DEE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C5A42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2A7CC1F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16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top"/>
          </w:tcPr>
          <w:p w14:paraId="1CD5E9F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75ECF2F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保险费 </w:t>
            </w:r>
          </w:p>
        </w:tc>
        <w:tc>
          <w:tcPr>
            <w:tcW w:w="749" w:type="dxa"/>
            <w:tcBorders>
              <w:top w:val="single" w:color="auto" w:sz="4" w:space="0"/>
              <w:left w:val="single" w:color="auto" w:sz="4" w:space="0"/>
              <w:bottom w:val="single" w:color="auto" w:sz="4" w:space="0"/>
              <w:right w:val="single" w:color="auto" w:sz="4" w:space="0"/>
            </w:tcBorders>
            <w:noWrap w:val="0"/>
            <w:vAlign w:val="top"/>
          </w:tcPr>
          <w:p w14:paraId="49FB553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104F3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AF590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283E6C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48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right w:val="single" w:color="auto" w:sz="4" w:space="0"/>
            </w:tcBorders>
            <w:noWrap w:val="0"/>
            <w:vAlign w:val="top"/>
          </w:tcPr>
          <w:p w14:paraId="152F65D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7C77490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按合同条款规定，提供建筑工程一切险</w:t>
            </w:r>
          </w:p>
        </w:tc>
        <w:tc>
          <w:tcPr>
            <w:tcW w:w="749" w:type="dxa"/>
            <w:tcBorders>
              <w:top w:val="single" w:color="auto" w:sz="4" w:space="0"/>
              <w:left w:val="single" w:color="auto" w:sz="4" w:space="0"/>
              <w:right w:val="single" w:color="auto" w:sz="4" w:space="0"/>
            </w:tcBorders>
            <w:noWrap w:val="0"/>
            <w:vAlign w:val="top"/>
          </w:tcPr>
          <w:p w14:paraId="772CC04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7C301B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35C38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3A8971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42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DC9106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036CBBF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按合同条款规定，提供第三者责任险</w:t>
            </w:r>
          </w:p>
        </w:tc>
        <w:tc>
          <w:tcPr>
            <w:tcW w:w="749" w:type="dxa"/>
            <w:noWrap w:val="0"/>
            <w:vAlign w:val="top"/>
          </w:tcPr>
          <w:p w14:paraId="6EACD40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92BA2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F99B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3ECE3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44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3FAEC9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w:t>
            </w:r>
          </w:p>
        </w:tc>
        <w:tc>
          <w:tcPr>
            <w:tcW w:w="4732" w:type="dxa"/>
            <w:noWrap w:val="0"/>
            <w:vAlign w:val="center"/>
          </w:tcPr>
          <w:p w14:paraId="506CE0C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工程管理</w:t>
            </w:r>
          </w:p>
        </w:tc>
        <w:tc>
          <w:tcPr>
            <w:tcW w:w="749" w:type="dxa"/>
            <w:noWrap w:val="0"/>
            <w:vAlign w:val="center"/>
          </w:tcPr>
          <w:p w14:paraId="26F577F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F9DBA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857E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0FE70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64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CEBA23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102-1</w:t>
            </w:r>
          </w:p>
        </w:tc>
        <w:tc>
          <w:tcPr>
            <w:tcW w:w="4732" w:type="dxa"/>
            <w:noWrap w:val="0"/>
            <w:vAlign w:val="center"/>
          </w:tcPr>
          <w:p w14:paraId="1137112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竣工文件</w:t>
            </w:r>
          </w:p>
        </w:tc>
        <w:tc>
          <w:tcPr>
            <w:tcW w:w="749" w:type="dxa"/>
            <w:noWrap w:val="0"/>
            <w:vAlign w:val="center"/>
          </w:tcPr>
          <w:p w14:paraId="470B820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240B15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5625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4322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A2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050F8E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102-2</w:t>
            </w:r>
          </w:p>
        </w:tc>
        <w:tc>
          <w:tcPr>
            <w:tcW w:w="4732" w:type="dxa"/>
            <w:noWrap w:val="0"/>
            <w:vAlign w:val="center"/>
          </w:tcPr>
          <w:p w14:paraId="6C930D8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施工环保费</w:t>
            </w:r>
          </w:p>
        </w:tc>
        <w:tc>
          <w:tcPr>
            <w:tcW w:w="749" w:type="dxa"/>
            <w:noWrap w:val="0"/>
            <w:vAlign w:val="center"/>
          </w:tcPr>
          <w:p w14:paraId="6133740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46C91E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07A2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2E77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9E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3634AD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102-3</w:t>
            </w:r>
          </w:p>
        </w:tc>
        <w:tc>
          <w:tcPr>
            <w:tcW w:w="4732" w:type="dxa"/>
            <w:noWrap w:val="0"/>
            <w:vAlign w:val="center"/>
          </w:tcPr>
          <w:p w14:paraId="6C8F289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安全生产费</w:t>
            </w:r>
          </w:p>
        </w:tc>
        <w:tc>
          <w:tcPr>
            <w:tcW w:w="749" w:type="dxa"/>
            <w:noWrap w:val="0"/>
            <w:vAlign w:val="center"/>
          </w:tcPr>
          <w:p w14:paraId="4178F1B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4941E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F0F6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AE606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6C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816408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102-4</w:t>
            </w:r>
          </w:p>
        </w:tc>
        <w:tc>
          <w:tcPr>
            <w:tcW w:w="4732" w:type="dxa"/>
            <w:noWrap w:val="0"/>
            <w:vAlign w:val="center"/>
          </w:tcPr>
          <w:p w14:paraId="34CCC52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信息化系统（暂估价）</w:t>
            </w:r>
          </w:p>
        </w:tc>
        <w:tc>
          <w:tcPr>
            <w:tcW w:w="749" w:type="dxa"/>
            <w:noWrap w:val="0"/>
            <w:vAlign w:val="center"/>
          </w:tcPr>
          <w:p w14:paraId="580CC26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2901B7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244E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B99A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84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ADA193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w:t>
            </w:r>
          </w:p>
        </w:tc>
        <w:tc>
          <w:tcPr>
            <w:tcW w:w="4732" w:type="dxa"/>
            <w:noWrap w:val="0"/>
            <w:vAlign w:val="center"/>
          </w:tcPr>
          <w:p w14:paraId="4A4363A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临时工程与设施</w:t>
            </w:r>
          </w:p>
        </w:tc>
        <w:tc>
          <w:tcPr>
            <w:tcW w:w="749" w:type="dxa"/>
            <w:noWrap w:val="0"/>
            <w:vAlign w:val="top"/>
          </w:tcPr>
          <w:p w14:paraId="58511D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05DDC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3A67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EF9B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46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655C228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103-1</w:t>
            </w:r>
          </w:p>
        </w:tc>
        <w:tc>
          <w:tcPr>
            <w:tcW w:w="4732" w:type="dxa"/>
            <w:noWrap w:val="0"/>
            <w:vAlign w:val="top"/>
          </w:tcPr>
          <w:p w14:paraId="5804130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临时道路修建、养护与拆除（包括原道路的养护）</w:t>
            </w:r>
          </w:p>
        </w:tc>
        <w:tc>
          <w:tcPr>
            <w:tcW w:w="749" w:type="dxa"/>
            <w:noWrap w:val="0"/>
            <w:vAlign w:val="top"/>
          </w:tcPr>
          <w:p w14:paraId="7997912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724FE0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79B4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F873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5A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BEA551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103-2</w:t>
            </w:r>
          </w:p>
        </w:tc>
        <w:tc>
          <w:tcPr>
            <w:tcW w:w="4732" w:type="dxa"/>
            <w:noWrap w:val="0"/>
            <w:vAlign w:val="top"/>
          </w:tcPr>
          <w:p w14:paraId="540E16A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临时占地</w:t>
            </w:r>
          </w:p>
        </w:tc>
        <w:tc>
          <w:tcPr>
            <w:tcW w:w="749" w:type="dxa"/>
            <w:noWrap w:val="0"/>
            <w:vAlign w:val="top"/>
          </w:tcPr>
          <w:p w14:paraId="026582D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87294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9CCF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C5D9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02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55E17A4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103-3</w:t>
            </w:r>
          </w:p>
        </w:tc>
        <w:tc>
          <w:tcPr>
            <w:tcW w:w="4732" w:type="dxa"/>
            <w:noWrap w:val="0"/>
            <w:vAlign w:val="center"/>
          </w:tcPr>
          <w:p w14:paraId="53666B8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临时供电设施架设、维护与拆除</w:t>
            </w:r>
          </w:p>
        </w:tc>
        <w:tc>
          <w:tcPr>
            <w:tcW w:w="749" w:type="dxa"/>
            <w:noWrap w:val="0"/>
            <w:vAlign w:val="center"/>
          </w:tcPr>
          <w:p w14:paraId="4F14042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A9C6B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7996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316F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99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8B78A1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103-4</w:t>
            </w:r>
          </w:p>
        </w:tc>
        <w:tc>
          <w:tcPr>
            <w:tcW w:w="4732" w:type="dxa"/>
            <w:noWrap w:val="0"/>
            <w:vAlign w:val="top"/>
          </w:tcPr>
          <w:p w14:paraId="75DB00A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电信设施的提供、维修与拆除</w:t>
            </w:r>
          </w:p>
        </w:tc>
        <w:tc>
          <w:tcPr>
            <w:tcW w:w="749" w:type="dxa"/>
            <w:noWrap w:val="0"/>
            <w:vAlign w:val="top"/>
          </w:tcPr>
          <w:p w14:paraId="42AE878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4B0367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815B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AC40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FC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8C8E6F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103-5</w:t>
            </w:r>
          </w:p>
        </w:tc>
        <w:tc>
          <w:tcPr>
            <w:tcW w:w="4732" w:type="dxa"/>
            <w:noWrap w:val="0"/>
            <w:vAlign w:val="center"/>
          </w:tcPr>
          <w:p w14:paraId="1252E50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临时供水与排污设施</w:t>
            </w:r>
          </w:p>
        </w:tc>
        <w:tc>
          <w:tcPr>
            <w:tcW w:w="749" w:type="dxa"/>
            <w:noWrap w:val="0"/>
            <w:vAlign w:val="top"/>
          </w:tcPr>
          <w:p w14:paraId="772229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333BF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BC46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39E0C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A9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3BDDBF0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w:t>
            </w:r>
          </w:p>
        </w:tc>
        <w:tc>
          <w:tcPr>
            <w:tcW w:w="4732" w:type="dxa"/>
            <w:noWrap w:val="0"/>
            <w:vAlign w:val="center"/>
          </w:tcPr>
          <w:p w14:paraId="4884017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0BEF017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19B2D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1C21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1E7F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F1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26CDEA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104-1</w:t>
            </w:r>
          </w:p>
        </w:tc>
        <w:tc>
          <w:tcPr>
            <w:tcW w:w="4732" w:type="dxa"/>
            <w:noWrap w:val="0"/>
            <w:vAlign w:val="top"/>
          </w:tcPr>
          <w:p w14:paraId="4281053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0024094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2C637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056D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7516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E8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0917393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4732" w:type="dxa"/>
            <w:noWrap w:val="0"/>
            <w:vAlign w:val="center"/>
          </w:tcPr>
          <w:p w14:paraId="0E62038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施工标准化</w:t>
            </w:r>
          </w:p>
        </w:tc>
        <w:tc>
          <w:tcPr>
            <w:tcW w:w="749" w:type="dxa"/>
            <w:noWrap w:val="0"/>
            <w:vAlign w:val="center"/>
          </w:tcPr>
          <w:p w14:paraId="734E62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6D2C9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BCF8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3F74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5A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298113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105-1</w:t>
            </w:r>
          </w:p>
        </w:tc>
        <w:tc>
          <w:tcPr>
            <w:tcW w:w="4732" w:type="dxa"/>
            <w:noWrap w:val="0"/>
            <w:vAlign w:val="center"/>
          </w:tcPr>
          <w:p w14:paraId="1CDA6FF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施工驻地</w:t>
            </w:r>
          </w:p>
        </w:tc>
        <w:tc>
          <w:tcPr>
            <w:tcW w:w="749" w:type="dxa"/>
            <w:noWrap w:val="0"/>
            <w:vAlign w:val="center"/>
          </w:tcPr>
          <w:p w14:paraId="714A5F8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10BDEE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B5A3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E900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84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19CD5D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105-2</w:t>
            </w:r>
          </w:p>
        </w:tc>
        <w:tc>
          <w:tcPr>
            <w:tcW w:w="4732" w:type="dxa"/>
            <w:noWrap w:val="0"/>
            <w:vAlign w:val="center"/>
          </w:tcPr>
          <w:p w14:paraId="56AACE7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工地试验室</w:t>
            </w:r>
          </w:p>
        </w:tc>
        <w:tc>
          <w:tcPr>
            <w:tcW w:w="749" w:type="dxa"/>
            <w:noWrap w:val="0"/>
            <w:vAlign w:val="center"/>
          </w:tcPr>
          <w:p w14:paraId="3DAAA3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47242B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6C59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9CED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E0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16CE32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105-3</w:t>
            </w:r>
          </w:p>
        </w:tc>
        <w:tc>
          <w:tcPr>
            <w:tcW w:w="4732" w:type="dxa"/>
            <w:noWrap w:val="0"/>
            <w:vAlign w:val="center"/>
          </w:tcPr>
          <w:p w14:paraId="0006C21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拌和站</w:t>
            </w:r>
          </w:p>
        </w:tc>
        <w:tc>
          <w:tcPr>
            <w:tcW w:w="749" w:type="dxa"/>
            <w:noWrap w:val="0"/>
            <w:vAlign w:val="center"/>
          </w:tcPr>
          <w:p w14:paraId="11C630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39B2E4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D420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C83D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DA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3B648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105-4</w:t>
            </w:r>
          </w:p>
        </w:tc>
        <w:tc>
          <w:tcPr>
            <w:tcW w:w="4732" w:type="dxa"/>
            <w:noWrap w:val="0"/>
            <w:vAlign w:val="center"/>
          </w:tcPr>
          <w:p w14:paraId="7157CAD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钢筋加工场</w:t>
            </w:r>
          </w:p>
        </w:tc>
        <w:tc>
          <w:tcPr>
            <w:tcW w:w="749" w:type="dxa"/>
            <w:noWrap w:val="0"/>
            <w:vAlign w:val="center"/>
          </w:tcPr>
          <w:p w14:paraId="0C2099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58A868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F031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71F0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8B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F03138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105-5</w:t>
            </w:r>
          </w:p>
        </w:tc>
        <w:tc>
          <w:tcPr>
            <w:tcW w:w="4732" w:type="dxa"/>
            <w:noWrap w:val="0"/>
            <w:vAlign w:val="center"/>
          </w:tcPr>
          <w:p w14:paraId="5B72E8D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预制场</w:t>
            </w:r>
          </w:p>
        </w:tc>
        <w:tc>
          <w:tcPr>
            <w:tcW w:w="749" w:type="dxa"/>
            <w:noWrap w:val="0"/>
            <w:vAlign w:val="center"/>
          </w:tcPr>
          <w:p w14:paraId="77D1FE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3F0027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2A88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1B7D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E8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07C6C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105-6</w:t>
            </w:r>
          </w:p>
        </w:tc>
        <w:tc>
          <w:tcPr>
            <w:tcW w:w="4732" w:type="dxa"/>
            <w:noWrap w:val="0"/>
            <w:vAlign w:val="center"/>
          </w:tcPr>
          <w:p w14:paraId="6FA4E2B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仓储存放地</w:t>
            </w:r>
          </w:p>
        </w:tc>
        <w:tc>
          <w:tcPr>
            <w:tcW w:w="749" w:type="dxa"/>
            <w:noWrap w:val="0"/>
            <w:vAlign w:val="center"/>
          </w:tcPr>
          <w:p w14:paraId="2E8940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6655FB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D48E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7C13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F1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36040BF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105-7</w:t>
            </w:r>
          </w:p>
        </w:tc>
        <w:tc>
          <w:tcPr>
            <w:tcW w:w="4732" w:type="dxa"/>
            <w:noWrap w:val="0"/>
            <w:vAlign w:val="center"/>
          </w:tcPr>
          <w:p w14:paraId="0E45B3B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各场（厂）区、作业区连接道路及施工主便道</w:t>
            </w:r>
          </w:p>
        </w:tc>
        <w:tc>
          <w:tcPr>
            <w:tcW w:w="749" w:type="dxa"/>
            <w:noWrap w:val="0"/>
            <w:vAlign w:val="center"/>
          </w:tcPr>
          <w:p w14:paraId="5AC25C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1D9D60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A8A4B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4852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8D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43B050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B0D211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4FA965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7345C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D113C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2F80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FC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EEF4089">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清单第100章合计  人民币</w:t>
            </w:r>
            <w:r>
              <w:rPr>
                <w:rFonts w:hint="default" w:ascii="Times New Roman" w:hAnsi="Times New Roman" w:cs="Times New Roman"/>
                <w:color w:val="auto"/>
                <w:szCs w:val="21"/>
                <w:highlight w:val="none"/>
                <w:u w:val="single"/>
              </w:rPr>
              <w:t xml:space="preserve">                    </w:t>
            </w:r>
          </w:p>
        </w:tc>
      </w:tr>
    </w:tbl>
    <w:p w14:paraId="0778F81F">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27D3B37E">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B76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BC38D67">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0E9B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244585E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62DC67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142C3C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E62A27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6606B8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0878F6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D24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2301E4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202</w:t>
            </w:r>
          </w:p>
        </w:tc>
        <w:tc>
          <w:tcPr>
            <w:tcW w:w="4732" w:type="dxa"/>
            <w:tcBorders>
              <w:top w:val="single" w:color="auto" w:sz="4" w:space="0"/>
              <w:left w:val="single" w:color="auto" w:sz="4" w:space="0"/>
              <w:right w:val="single" w:color="auto" w:sz="4" w:space="0"/>
            </w:tcBorders>
            <w:noWrap w:val="0"/>
            <w:vAlign w:val="center"/>
          </w:tcPr>
          <w:p w14:paraId="409BB5D7">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场地清理</w:t>
            </w:r>
          </w:p>
        </w:tc>
        <w:tc>
          <w:tcPr>
            <w:tcW w:w="749" w:type="dxa"/>
            <w:tcBorders>
              <w:top w:val="single" w:color="auto" w:sz="4" w:space="0"/>
              <w:left w:val="single" w:color="auto" w:sz="4" w:space="0"/>
              <w:right w:val="single" w:color="auto" w:sz="4" w:space="0"/>
            </w:tcBorders>
            <w:noWrap w:val="0"/>
            <w:vAlign w:val="top"/>
          </w:tcPr>
          <w:p w14:paraId="101F7CC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7A007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DC620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549EB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70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767D87A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w:t>
            </w:r>
          </w:p>
        </w:tc>
        <w:tc>
          <w:tcPr>
            <w:tcW w:w="4732" w:type="dxa"/>
            <w:tcBorders>
              <w:top w:val="single" w:color="auto" w:sz="4" w:space="0"/>
              <w:left w:val="single" w:color="auto" w:sz="4" w:space="0"/>
              <w:right w:val="single" w:color="auto" w:sz="4" w:space="0"/>
            </w:tcBorders>
            <w:noWrap w:val="0"/>
            <w:vAlign w:val="top"/>
          </w:tcPr>
          <w:p w14:paraId="778605D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清理与掘除</w:t>
            </w:r>
          </w:p>
        </w:tc>
        <w:tc>
          <w:tcPr>
            <w:tcW w:w="749" w:type="dxa"/>
            <w:tcBorders>
              <w:top w:val="single" w:color="auto" w:sz="4" w:space="0"/>
              <w:left w:val="single" w:color="auto" w:sz="4" w:space="0"/>
              <w:right w:val="single" w:color="auto" w:sz="4" w:space="0"/>
            </w:tcBorders>
            <w:noWrap w:val="0"/>
            <w:vAlign w:val="top"/>
          </w:tcPr>
          <w:p w14:paraId="0691E4A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9CC53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0EA38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FF2B6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AA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77ED6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979797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清理现场</w:t>
            </w:r>
          </w:p>
        </w:tc>
        <w:tc>
          <w:tcPr>
            <w:tcW w:w="749" w:type="dxa"/>
            <w:noWrap w:val="0"/>
            <w:vAlign w:val="top"/>
          </w:tcPr>
          <w:p w14:paraId="6793405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5CBA5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8ABD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E9CA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DA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47D64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7A1AE9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砍伐树木</w:t>
            </w:r>
          </w:p>
        </w:tc>
        <w:tc>
          <w:tcPr>
            <w:tcW w:w="749" w:type="dxa"/>
            <w:noWrap w:val="0"/>
            <w:vAlign w:val="top"/>
          </w:tcPr>
          <w:p w14:paraId="65E1BC3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80A05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CBE0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B749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9C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8F921A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362F685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挖除树根</w:t>
            </w:r>
          </w:p>
        </w:tc>
        <w:tc>
          <w:tcPr>
            <w:tcW w:w="749" w:type="dxa"/>
            <w:noWrap w:val="0"/>
            <w:vAlign w:val="top"/>
          </w:tcPr>
          <w:p w14:paraId="6A5433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654B3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C012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044C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D6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1702D9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w:t>
            </w:r>
          </w:p>
        </w:tc>
        <w:tc>
          <w:tcPr>
            <w:tcW w:w="4732" w:type="dxa"/>
            <w:noWrap w:val="0"/>
            <w:vAlign w:val="top"/>
          </w:tcPr>
          <w:p w14:paraId="2BDDC43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挖除旧路面</w:t>
            </w:r>
          </w:p>
        </w:tc>
        <w:tc>
          <w:tcPr>
            <w:tcW w:w="749" w:type="dxa"/>
            <w:noWrap w:val="0"/>
            <w:vAlign w:val="top"/>
          </w:tcPr>
          <w:p w14:paraId="551D95E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AF136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318F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32C87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6D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4FF76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786E14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水泥混凝土路面</w:t>
            </w:r>
          </w:p>
        </w:tc>
        <w:tc>
          <w:tcPr>
            <w:tcW w:w="749" w:type="dxa"/>
            <w:noWrap w:val="0"/>
            <w:vAlign w:val="top"/>
          </w:tcPr>
          <w:p w14:paraId="5EC29CD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964B4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5A4C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74B9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E3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00698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BEB34E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沥青混凝土路面</w:t>
            </w:r>
          </w:p>
        </w:tc>
        <w:tc>
          <w:tcPr>
            <w:tcW w:w="749" w:type="dxa"/>
            <w:noWrap w:val="0"/>
            <w:vAlign w:val="top"/>
          </w:tcPr>
          <w:p w14:paraId="5689D18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EB6B2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DB3C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3A895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C5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D43C54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1D970DC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碎石路面</w:t>
            </w:r>
          </w:p>
        </w:tc>
        <w:tc>
          <w:tcPr>
            <w:tcW w:w="749" w:type="dxa"/>
            <w:noWrap w:val="0"/>
            <w:vAlign w:val="top"/>
          </w:tcPr>
          <w:p w14:paraId="05C1BAC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D9DCD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95BA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C82F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86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B4A5D7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202-3</w:t>
            </w:r>
          </w:p>
        </w:tc>
        <w:tc>
          <w:tcPr>
            <w:tcW w:w="4732" w:type="dxa"/>
            <w:noWrap w:val="0"/>
            <w:vAlign w:val="top"/>
          </w:tcPr>
          <w:p w14:paraId="6CAD4AF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拆除结构物</w:t>
            </w:r>
          </w:p>
        </w:tc>
        <w:tc>
          <w:tcPr>
            <w:tcW w:w="749" w:type="dxa"/>
            <w:noWrap w:val="0"/>
            <w:vAlign w:val="top"/>
          </w:tcPr>
          <w:p w14:paraId="5974848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F4DA1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B7B6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C5E8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FD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5EACE5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EA7119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钢筋混凝土结构</w:t>
            </w:r>
          </w:p>
        </w:tc>
        <w:tc>
          <w:tcPr>
            <w:tcW w:w="749" w:type="dxa"/>
            <w:noWrap w:val="0"/>
            <w:vAlign w:val="top"/>
          </w:tcPr>
          <w:p w14:paraId="2EA058D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09BC9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E40E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D96C0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CD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42632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16BD48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混凝土结构</w:t>
            </w:r>
          </w:p>
        </w:tc>
        <w:tc>
          <w:tcPr>
            <w:tcW w:w="749" w:type="dxa"/>
            <w:noWrap w:val="0"/>
            <w:vAlign w:val="top"/>
          </w:tcPr>
          <w:p w14:paraId="03C7E80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6515F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14BC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2492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40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97B07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3168126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砖、石及其他砌体结构</w:t>
            </w:r>
          </w:p>
        </w:tc>
        <w:tc>
          <w:tcPr>
            <w:tcW w:w="749" w:type="dxa"/>
            <w:noWrap w:val="0"/>
            <w:vAlign w:val="top"/>
          </w:tcPr>
          <w:p w14:paraId="2D00A8C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978B0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AFFA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E602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E5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C3601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center"/>
          </w:tcPr>
          <w:p w14:paraId="488BDCD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金属结构</w:t>
            </w:r>
          </w:p>
        </w:tc>
        <w:tc>
          <w:tcPr>
            <w:tcW w:w="749" w:type="dxa"/>
            <w:noWrap w:val="0"/>
            <w:vAlign w:val="center"/>
          </w:tcPr>
          <w:p w14:paraId="6306E00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27FF34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7EA6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5138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1C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A45E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202-4</w:t>
            </w:r>
          </w:p>
        </w:tc>
        <w:tc>
          <w:tcPr>
            <w:tcW w:w="4732" w:type="dxa"/>
            <w:noWrap w:val="0"/>
            <w:vAlign w:val="center"/>
          </w:tcPr>
          <w:p w14:paraId="3815D0F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植物移栽</w:t>
            </w:r>
          </w:p>
        </w:tc>
        <w:tc>
          <w:tcPr>
            <w:tcW w:w="749" w:type="dxa"/>
            <w:noWrap w:val="0"/>
            <w:vAlign w:val="center"/>
          </w:tcPr>
          <w:p w14:paraId="4E084F9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34752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51E3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A519E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65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F2E56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42951D0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移栽乔（灌）木</w:t>
            </w:r>
          </w:p>
        </w:tc>
        <w:tc>
          <w:tcPr>
            <w:tcW w:w="749" w:type="dxa"/>
            <w:noWrap w:val="0"/>
            <w:vAlign w:val="center"/>
          </w:tcPr>
          <w:p w14:paraId="0A31CF5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0AD6F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437D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E5E5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51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595D6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01E4F81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移栽草皮</w:t>
            </w:r>
          </w:p>
        </w:tc>
        <w:tc>
          <w:tcPr>
            <w:tcW w:w="749" w:type="dxa"/>
            <w:noWrap w:val="0"/>
            <w:vAlign w:val="center"/>
          </w:tcPr>
          <w:p w14:paraId="2CE86DB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3EC74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9308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49D2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B9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F6F62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203</w:t>
            </w:r>
          </w:p>
        </w:tc>
        <w:tc>
          <w:tcPr>
            <w:tcW w:w="4732" w:type="dxa"/>
            <w:noWrap w:val="0"/>
            <w:vAlign w:val="center"/>
          </w:tcPr>
          <w:p w14:paraId="61F2B2D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挖方路基</w:t>
            </w:r>
          </w:p>
        </w:tc>
        <w:tc>
          <w:tcPr>
            <w:tcW w:w="749" w:type="dxa"/>
            <w:noWrap w:val="0"/>
            <w:vAlign w:val="top"/>
          </w:tcPr>
          <w:p w14:paraId="693BEE0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E578B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2B35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9335D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33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A4D6C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w:t>
            </w:r>
          </w:p>
        </w:tc>
        <w:tc>
          <w:tcPr>
            <w:tcW w:w="4732" w:type="dxa"/>
            <w:noWrap w:val="0"/>
            <w:vAlign w:val="top"/>
          </w:tcPr>
          <w:p w14:paraId="7700214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路基挖方</w:t>
            </w:r>
          </w:p>
        </w:tc>
        <w:tc>
          <w:tcPr>
            <w:tcW w:w="749" w:type="dxa"/>
            <w:noWrap w:val="0"/>
            <w:vAlign w:val="top"/>
          </w:tcPr>
          <w:p w14:paraId="05F9243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4C36D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6B53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0E50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25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2780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512AD8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01C854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9BEBB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15AE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DC9A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92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A22EF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D4C43B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6C018CE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44B02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EAA7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21CF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36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B81E9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3DA1F9B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top"/>
          </w:tcPr>
          <w:p w14:paraId="2D50C6D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40613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EF23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19773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89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6793B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top"/>
          </w:tcPr>
          <w:p w14:paraId="02EC9B7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挖淤泥</w:t>
            </w:r>
          </w:p>
        </w:tc>
        <w:tc>
          <w:tcPr>
            <w:tcW w:w="749" w:type="dxa"/>
            <w:noWrap w:val="0"/>
            <w:vAlign w:val="top"/>
          </w:tcPr>
          <w:p w14:paraId="07C212E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7515E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0D51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21EC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61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8E33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41B99DDB">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noWrap w:val="0"/>
            <w:vAlign w:val="center"/>
          </w:tcPr>
          <w:p w14:paraId="717EB2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C4F2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22D4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A862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BD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9A76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098391F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noWrap w:val="0"/>
            <w:vAlign w:val="center"/>
          </w:tcPr>
          <w:p w14:paraId="214AC2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DA394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4009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C8681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B1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BCA16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w:t>
            </w:r>
          </w:p>
        </w:tc>
        <w:tc>
          <w:tcPr>
            <w:tcW w:w="4732" w:type="dxa"/>
            <w:noWrap w:val="0"/>
            <w:vAlign w:val="top"/>
          </w:tcPr>
          <w:p w14:paraId="75C8E46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改河、改渠、改路挖方</w:t>
            </w:r>
          </w:p>
        </w:tc>
        <w:tc>
          <w:tcPr>
            <w:tcW w:w="749" w:type="dxa"/>
            <w:noWrap w:val="0"/>
            <w:vAlign w:val="top"/>
          </w:tcPr>
          <w:p w14:paraId="75F0A7E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92C14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88EE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5BA4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EB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143BF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DE074B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11427E1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FAEB4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809D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B282E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44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0EED5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DECFE5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418DCD8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5E629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6CE2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71843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45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8E6C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A291590">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center"/>
          </w:tcPr>
          <w:p w14:paraId="240D42B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34D02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5E19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7081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04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86440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E013E94">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挖淤泥</w:t>
            </w:r>
          </w:p>
        </w:tc>
        <w:tc>
          <w:tcPr>
            <w:tcW w:w="749" w:type="dxa"/>
            <w:noWrap w:val="0"/>
            <w:vAlign w:val="center"/>
          </w:tcPr>
          <w:p w14:paraId="180D37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9EF54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F5F0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DB4A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FD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5DACF3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749C62EA">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tcBorders>
              <w:bottom w:val="single" w:color="auto" w:sz="4" w:space="0"/>
            </w:tcBorders>
            <w:noWrap w:val="0"/>
            <w:vAlign w:val="center"/>
          </w:tcPr>
          <w:p w14:paraId="5B625A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148243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797B8F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463007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91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24CFA6A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tcBorders>
              <w:bottom w:val="single" w:color="auto" w:sz="4" w:space="0"/>
            </w:tcBorders>
            <w:noWrap w:val="0"/>
            <w:vAlign w:val="center"/>
          </w:tcPr>
          <w:p w14:paraId="6A707DD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tcBorders>
              <w:bottom w:val="single" w:color="auto" w:sz="4" w:space="0"/>
            </w:tcBorders>
            <w:noWrap w:val="0"/>
            <w:vAlign w:val="center"/>
          </w:tcPr>
          <w:p w14:paraId="7D6078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52024A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77DB45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182B2047">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379F76F8">
      <w:pPr>
        <w:pageBreakBefore w:val="0"/>
        <w:kinsoku/>
        <w:wordWrap w:val="0"/>
        <w:bidi w:val="0"/>
        <w:rPr>
          <w:rFonts w:hint="default" w:ascii="Times New Roman" w:hAnsi="Times New Roman" w:cs="Times New Roman"/>
          <w:color w:val="auto"/>
          <w:sz w:val="10"/>
          <w:szCs w:val="10"/>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B96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20E6B44">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6948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7322E1CD">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6B8EA0E0">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2A473A65">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9E538D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EC8813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5B54A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024F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B8F68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204</w:t>
            </w:r>
          </w:p>
        </w:tc>
        <w:tc>
          <w:tcPr>
            <w:tcW w:w="4732" w:type="dxa"/>
            <w:noWrap w:val="0"/>
            <w:vAlign w:val="center"/>
          </w:tcPr>
          <w:p w14:paraId="7FF13D6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填方路基</w:t>
            </w:r>
          </w:p>
        </w:tc>
        <w:tc>
          <w:tcPr>
            <w:tcW w:w="749" w:type="dxa"/>
            <w:noWrap w:val="0"/>
            <w:vAlign w:val="top"/>
          </w:tcPr>
          <w:p w14:paraId="71F4CB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DAF15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D4DF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6F26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AF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DE302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w:t>
            </w:r>
          </w:p>
        </w:tc>
        <w:tc>
          <w:tcPr>
            <w:tcW w:w="4732" w:type="dxa"/>
            <w:noWrap w:val="0"/>
            <w:vAlign w:val="top"/>
          </w:tcPr>
          <w:p w14:paraId="360B244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路基填筑（包括填前压实）</w:t>
            </w:r>
          </w:p>
        </w:tc>
        <w:tc>
          <w:tcPr>
            <w:tcW w:w="749" w:type="dxa"/>
            <w:noWrap w:val="0"/>
            <w:vAlign w:val="top"/>
          </w:tcPr>
          <w:p w14:paraId="44F6E00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B1641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3A1B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36E0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FD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64009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DD1A3B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center"/>
          </w:tcPr>
          <w:p w14:paraId="703127B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41DB3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2B92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E2BB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E9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828FB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61E3C2C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center"/>
          </w:tcPr>
          <w:p w14:paraId="0D5961F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E6D66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BCEF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38EF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98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EDB29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48A15EE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3A0877C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C1903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C8DF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401D8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95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F84F9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2D2A07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借土填方</w:t>
            </w:r>
          </w:p>
        </w:tc>
        <w:tc>
          <w:tcPr>
            <w:tcW w:w="749" w:type="dxa"/>
            <w:noWrap w:val="0"/>
            <w:vAlign w:val="center"/>
          </w:tcPr>
          <w:p w14:paraId="5F38141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D3037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A07E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DCC7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50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5F9FC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32CC6F21">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粉煤灰及矿渣路堤</w:t>
            </w:r>
          </w:p>
        </w:tc>
        <w:tc>
          <w:tcPr>
            <w:tcW w:w="749" w:type="dxa"/>
            <w:noWrap w:val="0"/>
            <w:vAlign w:val="center"/>
          </w:tcPr>
          <w:p w14:paraId="4993564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32881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86DE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092C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78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04770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012E8D8C">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吹填砂路堤</w:t>
            </w:r>
          </w:p>
        </w:tc>
        <w:tc>
          <w:tcPr>
            <w:tcW w:w="749" w:type="dxa"/>
            <w:noWrap w:val="0"/>
            <w:vAlign w:val="center"/>
          </w:tcPr>
          <w:p w14:paraId="3AECD47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2C12F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206E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680B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5C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9933D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55CAE3E0">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EPS路堤</w:t>
            </w:r>
          </w:p>
        </w:tc>
        <w:tc>
          <w:tcPr>
            <w:tcW w:w="749" w:type="dxa"/>
            <w:noWrap w:val="0"/>
            <w:vAlign w:val="center"/>
          </w:tcPr>
          <w:p w14:paraId="259957E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B7AA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12E6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8CFF7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9C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435C5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4732" w:type="dxa"/>
            <w:noWrap w:val="0"/>
            <w:vAlign w:val="center"/>
          </w:tcPr>
          <w:p w14:paraId="0A31C32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结构物台背回填</w:t>
            </w:r>
          </w:p>
        </w:tc>
        <w:tc>
          <w:tcPr>
            <w:tcW w:w="749" w:type="dxa"/>
            <w:noWrap w:val="0"/>
            <w:vAlign w:val="center"/>
          </w:tcPr>
          <w:p w14:paraId="67698B2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97CD1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716F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ABC9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D7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A9E76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-i</w:t>
            </w:r>
          </w:p>
        </w:tc>
        <w:tc>
          <w:tcPr>
            <w:tcW w:w="4732" w:type="dxa"/>
            <w:noWrap w:val="0"/>
            <w:vAlign w:val="center"/>
          </w:tcPr>
          <w:p w14:paraId="5E27999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锥坡及台前溜坡填土</w:t>
            </w:r>
          </w:p>
        </w:tc>
        <w:tc>
          <w:tcPr>
            <w:tcW w:w="749" w:type="dxa"/>
            <w:noWrap w:val="0"/>
            <w:vAlign w:val="center"/>
          </w:tcPr>
          <w:p w14:paraId="7C1BD26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BD8B9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ED3C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9CB7D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F1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D214E9">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w:t>
            </w:r>
          </w:p>
        </w:tc>
        <w:tc>
          <w:tcPr>
            <w:tcW w:w="4732" w:type="dxa"/>
            <w:noWrap w:val="0"/>
            <w:vAlign w:val="top"/>
          </w:tcPr>
          <w:p w14:paraId="634448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改河、改渠、改路填筑</w:t>
            </w:r>
          </w:p>
        </w:tc>
        <w:tc>
          <w:tcPr>
            <w:tcW w:w="749" w:type="dxa"/>
            <w:noWrap w:val="0"/>
            <w:vAlign w:val="top"/>
          </w:tcPr>
          <w:p w14:paraId="32569F19">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8FD4E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1CAC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A50B8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B4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1104A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A71CB2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top"/>
          </w:tcPr>
          <w:p w14:paraId="0A49B7D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D1037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4FB6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487B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95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88535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919144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top"/>
          </w:tcPr>
          <w:p w14:paraId="332586C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BE075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B316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4A02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5A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4BE69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052E064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3D0FD1C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BEB35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C6B5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1D63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70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59F0B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C8676F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借土填方</w:t>
            </w:r>
          </w:p>
        </w:tc>
        <w:tc>
          <w:tcPr>
            <w:tcW w:w="749" w:type="dxa"/>
            <w:noWrap w:val="0"/>
            <w:vAlign w:val="center"/>
          </w:tcPr>
          <w:p w14:paraId="68FA657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8AD49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505F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2229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B2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E42D0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205</w:t>
            </w:r>
          </w:p>
        </w:tc>
        <w:tc>
          <w:tcPr>
            <w:tcW w:w="4732" w:type="dxa"/>
            <w:noWrap w:val="0"/>
            <w:vAlign w:val="center"/>
          </w:tcPr>
          <w:p w14:paraId="1177426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特殊地区路基处理</w:t>
            </w:r>
          </w:p>
        </w:tc>
        <w:tc>
          <w:tcPr>
            <w:tcW w:w="749" w:type="dxa"/>
            <w:noWrap w:val="0"/>
            <w:vAlign w:val="top"/>
          </w:tcPr>
          <w:p w14:paraId="7A4CE12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84B2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0FBD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44435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49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163B52">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205-1</w:t>
            </w:r>
          </w:p>
        </w:tc>
        <w:tc>
          <w:tcPr>
            <w:tcW w:w="4732" w:type="dxa"/>
            <w:noWrap w:val="0"/>
            <w:vAlign w:val="top"/>
          </w:tcPr>
          <w:p w14:paraId="6367449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软土路基处理</w:t>
            </w:r>
          </w:p>
        </w:tc>
        <w:tc>
          <w:tcPr>
            <w:tcW w:w="749" w:type="dxa"/>
            <w:noWrap w:val="0"/>
            <w:vAlign w:val="top"/>
          </w:tcPr>
          <w:p w14:paraId="1E0FE836">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723D6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E70C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EE28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CB6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4C283C">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007175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抛石挤淤</w:t>
            </w:r>
          </w:p>
        </w:tc>
        <w:tc>
          <w:tcPr>
            <w:tcW w:w="749" w:type="dxa"/>
            <w:noWrap w:val="0"/>
            <w:vAlign w:val="center"/>
          </w:tcPr>
          <w:p w14:paraId="444D33A6">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FFC50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874C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6FA0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38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4A8D29">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6F35DD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爆炸挤淤</w:t>
            </w:r>
          </w:p>
        </w:tc>
        <w:tc>
          <w:tcPr>
            <w:tcW w:w="749" w:type="dxa"/>
            <w:noWrap w:val="0"/>
            <w:vAlign w:val="center"/>
          </w:tcPr>
          <w:p w14:paraId="08D5BF2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7D391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B2AE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D108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59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E918B4">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D96E3B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垫层</w:t>
            </w:r>
          </w:p>
        </w:tc>
        <w:tc>
          <w:tcPr>
            <w:tcW w:w="749" w:type="dxa"/>
            <w:noWrap w:val="0"/>
            <w:vAlign w:val="center"/>
          </w:tcPr>
          <w:p w14:paraId="46EE1CEC">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001924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FD62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B4654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8B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61B1C4">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732" w:type="dxa"/>
            <w:noWrap w:val="0"/>
            <w:vAlign w:val="center"/>
          </w:tcPr>
          <w:p w14:paraId="62D895C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砂垫层</w:t>
            </w:r>
          </w:p>
        </w:tc>
        <w:tc>
          <w:tcPr>
            <w:tcW w:w="749" w:type="dxa"/>
            <w:noWrap w:val="0"/>
            <w:vAlign w:val="center"/>
          </w:tcPr>
          <w:p w14:paraId="1FF90556">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CFC2E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1EB7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0543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24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D7EE44">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732" w:type="dxa"/>
            <w:noWrap w:val="0"/>
            <w:vAlign w:val="center"/>
          </w:tcPr>
          <w:p w14:paraId="3D6C286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center"/>
          </w:tcPr>
          <w:p w14:paraId="6E809B5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5CE8B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59D3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0F6B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11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1A6EE9">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732" w:type="dxa"/>
            <w:noWrap w:val="0"/>
            <w:vAlign w:val="center"/>
          </w:tcPr>
          <w:p w14:paraId="2DD24DA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noWrap w:val="0"/>
            <w:vAlign w:val="center"/>
          </w:tcPr>
          <w:p w14:paraId="65FCA073">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CA113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48A4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7FAA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39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A2444C">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732" w:type="dxa"/>
            <w:noWrap w:val="0"/>
            <w:vAlign w:val="center"/>
          </w:tcPr>
          <w:p w14:paraId="5692F0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碎石土垫层</w:t>
            </w:r>
          </w:p>
        </w:tc>
        <w:tc>
          <w:tcPr>
            <w:tcW w:w="749" w:type="dxa"/>
            <w:noWrap w:val="0"/>
            <w:vAlign w:val="center"/>
          </w:tcPr>
          <w:p w14:paraId="131180CC">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E7D19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72AF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AB63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8D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6D8189">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732" w:type="dxa"/>
            <w:noWrap w:val="0"/>
            <w:vAlign w:val="center"/>
          </w:tcPr>
          <w:p w14:paraId="3884B86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灰土垫层</w:t>
            </w:r>
          </w:p>
        </w:tc>
        <w:tc>
          <w:tcPr>
            <w:tcW w:w="749" w:type="dxa"/>
            <w:noWrap w:val="0"/>
            <w:vAlign w:val="center"/>
          </w:tcPr>
          <w:p w14:paraId="660FADC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EB9CC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FCB0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DC38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59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1AB19F">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DC350D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土工合成材料</w:t>
            </w:r>
          </w:p>
        </w:tc>
        <w:tc>
          <w:tcPr>
            <w:tcW w:w="749" w:type="dxa"/>
            <w:noWrap w:val="0"/>
            <w:vAlign w:val="center"/>
          </w:tcPr>
          <w:p w14:paraId="1B7BF513">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2A10B1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60E7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435F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E7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0F2976">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732" w:type="dxa"/>
            <w:noWrap w:val="0"/>
            <w:vAlign w:val="center"/>
          </w:tcPr>
          <w:p w14:paraId="78728CD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反滤土工布</w:t>
            </w:r>
          </w:p>
        </w:tc>
        <w:tc>
          <w:tcPr>
            <w:tcW w:w="749" w:type="dxa"/>
            <w:noWrap w:val="0"/>
            <w:vAlign w:val="center"/>
          </w:tcPr>
          <w:p w14:paraId="4D56341B">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5CE5D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501E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A659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AF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418D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732" w:type="dxa"/>
            <w:noWrap w:val="0"/>
            <w:vAlign w:val="center"/>
          </w:tcPr>
          <w:p w14:paraId="52D1FC4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防渗土工膜</w:t>
            </w:r>
          </w:p>
        </w:tc>
        <w:tc>
          <w:tcPr>
            <w:tcW w:w="749" w:type="dxa"/>
            <w:noWrap w:val="0"/>
            <w:vAlign w:val="center"/>
          </w:tcPr>
          <w:p w14:paraId="6F538DD9">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838C3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4299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FBAB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18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671793">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-d-3</w:t>
            </w:r>
          </w:p>
        </w:tc>
        <w:tc>
          <w:tcPr>
            <w:tcW w:w="4732" w:type="dxa"/>
            <w:noWrap w:val="0"/>
            <w:vAlign w:val="center"/>
          </w:tcPr>
          <w:p w14:paraId="3377D15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土工格栅</w:t>
            </w:r>
          </w:p>
        </w:tc>
        <w:tc>
          <w:tcPr>
            <w:tcW w:w="749" w:type="dxa"/>
            <w:noWrap w:val="0"/>
            <w:vAlign w:val="center"/>
          </w:tcPr>
          <w:p w14:paraId="429F393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1FACA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07AA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1EFC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BE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9CBB201">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-d-4</w:t>
            </w:r>
          </w:p>
        </w:tc>
        <w:tc>
          <w:tcPr>
            <w:tcW w:w="4732" w:type="dxa"/>
            <w:tcBorders>
              <w:bottom w:val="single" w:color="auto" w:sz="4" w:space="0"/>
            </w:tcBorders>
            <w:noWrap w:val="0"/>
            <w:vAlign w:val="center"/>
          </w:tcPr>
          <w:p w14:paraId="2788E7C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土工格室</w:t>
            </w:r>
          </w:p>
        </w:tc>
        <w:tc>
          <w:tcPr>
            <w:tcW w:w="749" w:type="dxa"/>
            <w:tcBorders>
              <w:bottom w:val="single" w:color="auto" w:sz="4" w:space="0"/>
            </w:tcBorders>
            <w:noWrap w:val="0"/>
            <w:vAlign w:val="center"/>
          </w:tcPr>
          <w:p w14:paraId="61D052F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bottom w:val="single" w:color="auto" w:sz="4" w:space="0"/>
            </w:tcBorders>
            <w:noWrap w:val="0"/>
            <w:vAlign w:val="center"/>
          </w:tcPr>
          <w:p w14:paraId="698C0D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118FE1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0F39CC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EA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546A17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5F2F511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预压与超载预压</w:t>
            </w:r>
          </w:p>
        </w:tc>
        <w:tc>
          <w:tcPr>
            <w:tcW w:w="749" w:type="dxa"/>
            <w:tcBorders>
              <w:bottom w:val="single" w:color="auto" w:sz="4" w:space="0"/>
            </w:tcBorders>
            <w:noWrap w:val="0"/>
            <w:vAlign w:val="center"/>
          </w:tcPr>
          <w:p w14:paraId="0A1DF1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bottom w:val="single" w:color="auto" w:sz="4" w:space="0"/>
            </w:tcBorders>
            <w:noWrap w:val="0"/>
            <w:vAlign w:val="center"/>
          </w:tcPr>
          <w:p w14:paraId="3C8939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0A168E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79F8733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63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tcBorders>
            <w:noWrap w:val="0"/>
            <w:vAlign w:val="center"/>
          </w:tcPr>
          <w:p w14:paraId="1F2635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732" w:type="dxa"/>
            <w:tcBorders>
              <w:top w:val="single" w:color="auto" w:sz="4" w:space="0"/>
            </w:tcBorders>
            <w:noWrap w:val="0"/>
            <w:vAlign w:val="center"/>
          </w:tcPr>
          <w:p w14:paraId="7145643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真空预压</w:t>
            </w:r>
          </w:p>
        </w:tc>
        <w:tc>
          <w:tcPr>
            <w:tcW w:w="749" w:type="dxa"/>
            <w:tcBorders>
              <w:top w:val="single" w:color="auto" w:sz="4" w:space="0"/>
            </w:tcBorders>
            <w:noWrap w:val="0"/>
            <w:vAlign w:val="center"/>
          </w:tcPr>
          <w:p w14:paraId="0C785DF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top w:val="single" w:color="auto" w:sz="4" w:space="0"/>
            </w:tcBorders>
            <w:noWrap w:val="0"/>
            <w:vAlign w:val="center"/>
          </w:tcPr>
          <w:p w14:paraId="2D2A9E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tcBorders>
            <w:noWrap w:val="0"/>
            <w:vAlign w:val="center"/>
          </w:tcPr>
          <w:p w14:paraId="1FEEF4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right w:val="single" w:color="auto" w:sz="12" w:space="0"/>
            </w:tcBorders>
            <w:noWrap w:val="0"/>
            <w:vAlign w:val="center"/>
          </w:tcPr>
          <w:p w14:paraId="4A98B6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BF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123C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732" w:type="dxa"/>
            <w:noWrap w:val="0"/>
            <w:vAlign w:val="center"/>
          </w:tcPr>
          <w:p w14:paraId="6244D03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超载预压</w:t>
            </w:r>
          </w:p>
        </w:tc>
        <w:tc>
          <w:tcPr>
            <w:tcW w:w="749" w:type="dxa"/>
            <w:noWrap w:val="0"/>
            <w:vAlign w:val="center"/>
          </w:tcPr>
          <w:p w14:paraId="3F0D44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D6F4D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ED51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41AB1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46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94C8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21AF051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袋装砂井</w:t>
            </w:r>
          </w:p>
        </w:tc>
        <w:tc>
          <w:tcPr>
            <w:tcW w:w="749" w:type="dxa"/>
            <w:noWrap w:val="0"/>
            <w:vAlign w:val="center"/>
          </w:tcPr>
          <w:p w14:paraId="25417E6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55B5ED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B10D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E3A6A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14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4068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7893857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塑料排水板</w:t>
            </w:r>
          </w:p>
        </w:tc>
        <w:tc>
          <w:tcPr>
            <w:tcW w:w="749" w:type="dxa"/>
            <w:noWrap w:val="0"/>
            <w:vAlign w:val="center"/>
          </w:tcPr>
          <w:p w14:paraId="1461CD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C129A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C09B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AB2F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4A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6B97E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732" w:type="dxa"/>
            <w:noWrap w:val="0"/>
            <w:vAlign w:val="center"/>
          </w:tcPr>
          <w:p w14:paraId="70E233C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粒料桩</w:t>
            </w:r>
          </w:p>
        </w:tc>
        <w:tc>
          <w:tcPr>
            <w:tcW w:w="749" w:type="dxa"/>
            <w:noWrap w:val="0"/>
            <w:vAlign w:val="center"/>
          </w:tcPr>
          <w:p w14:paraId="54640B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690C5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A271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F4FB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F1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B7B8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-h-1</w:t>
            </w:r>
          </w:p>
        </w:tc>
        <w:tc>
          <w:tcPr>
            <w:tcW w:w="4732" w:type="dxa"/>
            <w:noWrap w:val="0"/>
            <w:vAlign w:val="center"/>
          </w:tcPr>
          <w:p w14:paraId="52765DB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砂桩</w:t>
            </w:r>
          </w:p>
        </w:tc>
        <w:tc>
          <w:tcPr>
            <w:tcW w:w="749" w:type="dxa"/>
            <w:noWrap w:val="0"/>
            <w:vAlign w:val="center"/>
          </w:tcPr>
          <w:p w14:paraId="5006D5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94AB6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13F4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7E7D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71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DACE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-h-2</w:t>
            </w:r>
          </w:p>
        </w:tc>
        <w:tc>
          <w:tcPr>
            <w:tcW w:w="4732" w:type="dxa"/>
            <w:noWrap w:val="0"/>
            <w:vAlign w:val="center"/>
          </w:tcPr>
          <w:p w14:paraId="373F979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碎石桩</w:t>
            </w:r>
          </w:p>
        </w:tc>
        <w:tc>
          <w:tcPr>
            <w:tcW w:w="749" w:type="dxa"/>
            <w:noWrap w:val="0"/>
            <w:vAlign w:val="center"/>
          </w:tcPr>
          <w:p w14:paraId="12602D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8D0D4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7B34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AEF8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08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6064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732" w:type="dxa"/>
            <w:noWrap w:val="0"/>
            <w:vAlign w:val="center"/>
          </w:tcPr>
          <w:p w14:paraId="1959A42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加固土桩</w:t>
            </w:r>
          </w:p>
        </w:tc>
        <w:tc>
          <w:tcPr>
            <w:tcW w:w="749" w:type="dxa"/>
            <w:noWrap w:val="0"/>
            <w:vAlign w:val="center"/>
          </w:tcPr>
          <w:p w14:paraId="64F8AF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B2E3D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79C1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2BF1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98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8E5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-i-1</w:t>
            </w:r>
          </w:p>
        </w:tc>
        <w:tc>
          <w:tcPr>
            <w:tcW w:w="4732" w:type="dxa"/>
            <w:noWrap w:val="0"/>
            <w:vAlign w:val="center"/>
          </w:tcPr>
          <w:p w14:paraId="05C2986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粉喷桩</w:t>
            </w:r>
          </w:p>
        </w:tc>
        <w:tc>
          <w:tcPr>
            <w:tcW w:w="749" w:type="dxa"/>
            <w:noWrap w:val="0"/>
            <w:vAlign w:val="center"/>
          </w:tcPr>
          <w:p w14:paraId="657DDC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9AA0E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80B2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6055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90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8C3E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-i-2</w:t>
            </w:r>
          </w:p>
        </w:tc>
        <w:tc>
          <w:tcPr>
            <w:tcW w:w="4732" w:type="dxa"/>
            <w:noWrap w:val="0"/>
            <w:vAlign w:val="center"/>
          </w:tcPr>
          <w:p w14:paraId="7D11FAF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浆喷桩</w:t>
            </w:r>
          </w:p>
        </w:tc>
        <w:tc>
          <w:tcPr>
            <w:tcW w:w="749" w:type="dxa"/>
            <w:noWrap w:val="0"/>
            <w:vAlign w:val="center"/>
          </w:tcPr>
          <w:p w14:paraId="1B9CD3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3F4B9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1341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1A0DD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F7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AEA37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732" w:type="dxa"/>
            <w:noWrap w:val="0"/>
            <w:vAlign w:val="center"/>
          </w:tcPr>
          <w:p w14:paraId="53D3FF8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CFG桩</w:t>
            </w:r>
          </w:p>
        </w:tc>
        <w:tc>
          <w:tcPr>
            <w:tcW w:w="749" w:type="dxa"/>
            <w:noWrap w:val="0"/>
            <w:vAlign w:val="center"/>
          </w:tcPr>
          <w:p w14:paraId="5A6DCE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F411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0C92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B979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68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1999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732" w:type="dxa"/>
            <w:noWrap w:val="0"/>
            <w:vAlign w:val="center"/>
          </w:tcPr>
          <w:p w14:paraId="1687A9E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Y形沉管灌注桩</w:t>
            </w:r>
          </w:p>
        </w:tc>
        <w:tc>
          <w:tcPr>
            <w:tcW w:w="749" w:type="dxa"/>
            <w:noWrap w:val="0"/>
            <w:vAlign w:val="center"/>
          </w:tcPr>
          <w:p w14:paraId="540A60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9A08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A616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A11D1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5C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092FD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732" w:type="dxa"/>
            <w:noWrap w:val="0"/>
            <w:vAlign w:val="center"/>
          </w:tcPr>
          <w:p w14:paraId="28892D1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薄壁筒型沉管灌注桩</w:t>
            </w:r>
          </w:p>
        </w:tc>
        <w:tc>
          <w:tcPr>
            <w:tcW w:w="749" w:type="dxa"/>
            <w:noWrap w:val="0"/>
            <w:vAlign w:val="center"/>
          </w:tcPr>
          <w:p w14:paraId="12BD12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306D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FDB9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6ECC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73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999D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4732" w:type="dxa"/>
            <w:noWrap w:val="0"/>
            <w:vAlign w:val="center"/>
          </w:tcPr>
          <w:p w14:paraId="1774B9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静压管桩</w:t>
            </w:r>
          </w:p>
        </w:tc>
        <w:tc>
          <w:tcPr>
            <w:tcW w:w="749" w:type="dxa"/>
            <w:noWrap w:val="0"/>
            <w:vAlign w:val="center"/>
          </w:tcPr>
          <w:p w14:paraId="202914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651BF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563B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3448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9D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C266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w:t>
            </w:r>
          </w:p>
        </w:tc>
        <w:tc>
          <w:tcPr>
            <w:tcW w:w="4732" w:type="dxa"/>
            <w:noWrap w:val="0"/>
            <w:vAlign w:val="center"/>
          </w:tcPr>
          <w:p w14:paraId="4AA3F4E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73AE4A3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684A4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4E34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88E4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D9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2AA5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-n-1</w:t>
            </w:r>
          </w:p>
        </w:tc>
        <w:tc>
          <w:tcPr>
            <w:tcW w:w="4732" w:type="dxa"/>
            <w:noWrap w:val="0"/>
            <w:vAlign w:val="center"/>
          </w:tcPr>
          <w:p w14:paraId="0CD6517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65593B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3886B9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B220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94C8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0B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6DDE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-n-2</w:t>
            </w:r>
          </w:p>
        </w:tc>
        <w:tc>
          <w:tcPr>
            <w:tcW w:w="4732" w:type="dxa"/>
            <w:noWrap w:val="0"/>
            <w:vAlign w:val="center"/>
          </w:tcPr>
          <w:p w14:paraId="42738CC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7636EB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5C048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F022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F621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0E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D394A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205-2</w:t>
            </w:r>
          </w:p>
        </w:tc>
        <w:tc>
          <w:tcPr>
            <w:tcW w:w="4732" w:type="dxa"/>
            <w:noWrap w:val="0"/>
            <w:vAlign w:val="center"/>
          </w:tcPr>
          <w:p w14:paraId="6785FD7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红黏土及膨胀土路基处理</w:t>
            </w:r>
          </w:p>
        </w:tc>
        <w:tc>
          <w:tcPr>
            <w:tcW w:w="749" w:type="dxa"/>
            <w:noWrap w:val="0"/>
            <w:vAlign w:val="center"/>
          </w:tcPr>
          <w:p w14:paraId="144B17C7">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p>
        </w:tc>
        <w:tc>
          <w:tcPr>
            <w:tcW w:w="837" w:type="dxa"/>
            <w:noWrap w:val="0"/>
            <w:vAlign w:val="center"/>
          </w:tcPr>
          <w:p w14:paraId="5A1F47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82D3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4FCB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C4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9391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A82E13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16381D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9F92E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5B02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A928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49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2F031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28D49C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水泥改良土</w:t>
            </w:r>
          </w:p>
        </w:tc>
        <w:tc>
          <w:tcPr>
            <w:tcW w:w="749" w:type="dxa"/>
            <w:noWrap w:val="0"/>
            <w:vAlign w:val="center"/>
          </w:tcPr>
          <w:p w14:paraId="276678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736A4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3C65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6E7CD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00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21F6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205-3</w:t>
            </w:r>
          </w:p>
        </w:tc>
        <w:tc>
          <w:tcPr>
            <w:tcW w:w="4732" w:type="dxa"/>
            <w:noWrap w:val="0"/>
            <w:vAlign w:val="center"/>
          </w:tcPr>
          <w:p w14:paraId="1D92757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滑坡处理</w:t>
            </w:r>
          </w:p>
        </w:tc>
        <w:tc>
          <w:tcPr>
            <w:tcW w:w="749" w:type="dxa"/>
            <w:noWrap w:val="0"/>
            <w:vAlign w:val="center"/>
          </w:tcPr>
          <w:p w14:paraId="2DCE24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CCD42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C9C1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1001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7A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1CC7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AA7F72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清除滑坡体</w:t>
            </w:r>
          </w:p>
        </w:tc>
        <w:tc>
          <w:tcPr>
            <w:tcW w:w="749" w:type="dxa"/>
            <w:noWrap w:val="0"/>
            <w:vAlign w:val="center"/>
          </w:tcPr>
          <w:p w14:paraId="1CC0F9C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3B013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A608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BD9D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AE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2565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205-4</w:t>
            </w:r>
          </w:p>
        </w:tc>
        <w:tc>
          <w:tcPr>
            <w:tcW w:w="4732" w:type="dxa"/>
            <w:noWrap w:val="0"/>
            <w:vAlign w:val="center"/>
          </w:tcPr>
          <w:p w14:paraId="228355E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岩溶洞处理</w:t>
            </w:r>
          </w:p>
        </w:tc>
        <w:tc>
          <w:tcPr>
            <w:tcW w:w="749" w:type="dxa"/>
            <w:noWrap w:val="0"/>
            <w:vAlign w:val="center"/>
          </w:tcPr>
          <w:p w14:paraId="2BA657C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13AF3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9EAE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BFF8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27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D8A21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F08597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回填</w:t>
            </w:r>
          </w:p>
        </w:tc>
        <w:tc>
          <w:tcPr>
            <w:tcW w:w="749" w:type="dxa"/>
            <w:noWrap w:val="0"/>
            <w:vAlign w:val="center"/>
          </w:tcPr>
          <w:p w14:paraId="665BE3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990AF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E231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8DEA9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3A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B537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205-5</w:t>
            </w:r>
          </w:p>
        </w:tc>
        <w:tc>
          <w:tcPr>
            <w:tcW w:w="4732" w:type="dxa"/>
            <w:noWrap w:val="0"/>
            <w:vAlign w:val="center"/>
          </w:tcPr>
          <w:p w14:paraId="04F5C4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湿陷性黄土路基处理</w:t>
            </w:r>
          </w:p>
        </w:tc>
        <w:tc>
          <w:tcPr>
            <w:tcW w:w="749" w:type="dxa"/>
            <w:noWrap w:val="0"/>
            <w:vAlign w:val="center"/>
          </w:tcPr>
          <w:p w14:paraId="1A2220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9A3D0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BF8D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261C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9E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3CAB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67CF2D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陷穴处理</w:t>
            </w:r>
          </w:p>
        </w:tc>
        <w:tc>
          <w:tcPr>
            <w:tcW w:w="749" w:type="dxa"/>
            <w:noWrap w:val="0"/>
            <w:vAlign w:val="center"/>
          </w:tcPr>
          <w:p w14:paraId="6FA80CA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777AE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4925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09BB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B2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54AF2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01D636B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灌砂</w:t>
            </w:r>
          </w:p>
        </w:tc>
        <w:tc>
          <w:tcPr>
            <w:tcW w:w="749" w:type="dxa"/>
            <w:noWrap w:val="0"/>
            <w:vAlign w:val="center"/>
          </w:tcPr>
          <w:p w14:paraId="2C7304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1DFB9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E308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660D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8A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1F5B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4B62BAC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灌水泥砂浆</w:t>
            </w:r>
          </w:p>
        </w:tc>
        <w:tc>
          <w:tcPr>
            <w:tcW w:w="749" w:type="dxa"/>
            <w:noWrap w:val="0"/>
            <w:vAlign w:val="center"/>
          </w:tcPr>
          <w:p w14:paraId="36A882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C2000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84CA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DA8A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0A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9C5B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948B81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029A54A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DC497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4307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FF14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01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C6A8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0148890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7B29C0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36520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DC03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61D35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FF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84EB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01AF5E1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6A9C15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6D7F9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21E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CA19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77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E527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40045F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7585E47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C1CFC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E49A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E405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1B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CE9D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1A96318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灰土桩</w:t>
            </w:r>
          </w:p>
        </w:tc>
        <w:tc>
          <w:tcPr>
            <w:tcW w:w="749" w:type="dxa"/>
            <w:noWrap w:val="0"/>
            <w:vAlign w:val="center"/>
          </w:tcPr>
          <w:p w14:paraId="704C8D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69D81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EFDB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A998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6A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5961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205-6</w:t>
            </w:r>
          </w:p>
        </w:tc>
        <w:tc>
          <w:tcPr>
            <w:tcW w:w="4732" w:type="dxa"/>
            <w:noWrap w:val="0"/>
            <w:vAlign w:val="center"/>
          </w:tcPr>
          <w:p w14:paraId="4D206C3E">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盐渍土路基处理</w:t>
            </w:r>
          </w:p>
        </w:tc>
        <w:tc>
          <w:tcPr>
            <w:tcW w:w="749" w:type="dxa"/>
            <w:noWrap w:val="0"/>
            <w:vAlign w:val="center"/>
          </w:tcPr>
          <w:p w14:paraId="54B8FA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6DFD7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E04F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8160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FF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6D910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D00C60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7B4D40C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A8310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85BF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6942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5D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6C00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373F416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砂垫层</w:t>
            </w:r>
          </w:p>
        </w:tc>
        <w:tc>
          <w:tcPr>
            <w:tcW w:w="749" w:type="dxa"/>
            <w:noWrap w:val="0"/>
            <w:vAlign w:val="center"/>
          </w:tcPr>
          <w:p w14:paraId="1559075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E1B03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AED0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691ED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E8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B0105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54913E9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砂砾垫层</w:t>
            </w:r>
          </w:p>
        </w:tc>
        <w:tc>
          <w:tcPr>
            <w:tcW w:w="749" w:type="dxa"/>
            <w:noWrap w:val="0"/>
            <w:vAlign w:val="center"/>
          </w:tcPr>
          <w:p w14:paraId="378DC84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54984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A5BF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DE73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F7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AA7B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69FD8F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51C3693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E49F0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69D3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AD6A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21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10A0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7F8CEA9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防渗土工膜</w:t>
            </w:r>
          </w:p>
        </w:tc>
        <w:tc>
          <w:tcPr>
            <w:tcW w:w="749" w:type="dxa"/>
            <w:noWrap w:val="0"/>
            <w:vAlign w:val="center"/>
          </w:tcPr>
          <w:p w14:paraId="207CA0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CA791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0B4D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EF8D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50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E42A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41DD43F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3486B7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D8C57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43E3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BDBA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49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4826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205-7</w:t>
            </w:r>
          </w:p>
        </w:tc>
        <w:tc>
          <w:tcPr>
            <w:tcW w:w="4732" w:type="dxa"/>
            <w:noWrap w:val="0"/>
            <w:vAlign w:val="center"/>
          </w:tcPr>
          <w:p w14:paraId="7484D158">
            <w:pPr>
              <w:pageBreakBefore w:val="0"/>
              <w:tabs>
                <w:tab w:val="left" w:pos="1065"/>
              </w:tabs>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风积沙路基处理</w:t>
            </w:r>
          </w:p>
        </w:tc>
        <w:tc>
          <w:tcPr>
            <w:tcW w:w="749" w:type="dxa"/>
            <w:noWrap w:val="0"/>
            <w:vAlign w:val="center"/>
          </w:tcPr>
          <w:p w14:paraId="43C1EF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201DC9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F77E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D3BF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8C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1A041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952C8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4D6F0E0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85077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AFB5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638A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14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50D2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385BABF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7BF8BC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9D0A1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6F89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E3E2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2E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14F8B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74B205D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土工格室</w:t>
            </w:r>
          </w:p>
        </w:tc>
        <w:tc>
          <w:tcPr>
            <w:tcW w:w="749" w:type="dxa"/>
            <w:noWrap w:val="0"/>
            <w:vAlign w:val="center"/>
          </w:tcPr>
          <w:p w14:paraId="410B6A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BDC8D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3AE7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CE91D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E9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802BE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26F3D3C3">
            <w:pPr>
              <w:pageBreakBefore w:val="0"/>
              <w:tabs>
                <w:tab w:val="left" w:pos="1065"/>
              </w:tabs>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蜂窝式塑料网</w:t>
            </w:r>
          </w:p>
        </w:tc>
        <w:tc>
          <w:tcPr>
            <w:tcW w:w="749" w:type="dxa"/>
            <w:noWrap w:val="0"/>
            <w:vAlign w:val="center"/>
          </w:tcPr>
          <w:p w14:paraId="5EF041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68322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F2AA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7D1A4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87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C572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205-8</w:t>
            </w:r>
          </w:p>
        </w:tc>
        <w:tc>
          <w:tcPr>
            <w:tcW w:w="4732" w:type="dxa"/>
            <w:noWrap w:val="0"/>
            <w:vAlign w:val="center"/>
          </w:tcPr>
          <w:p w14:paraId="28AF4C8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冻土路基处理</w:t>
            </w:r>
          </w:p>
        </w:tc>
        <w:tc>
          <w:tcPr>
            <w:tcW w:w="749" w:type="dxa"/>
            <w:noWrap w:val="0"/>
            <w:vAlign w:val="center"/>
          </w:tcPr>
          <w:p w14:paraId="452853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B791D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BD8D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CD5E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5B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8589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B44BD0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隔热层</w:t>
            </w:r>
          </w:p>
        </w:tc>
        <w:tc>
          <w:tcPr>
            <w:tcW w:w="749" w:type="dxa"/>
            <w:noWrap w:val="0"/>
            <w:vAlign w:val="center"/>
          </w:tcPr>
          <w:p w14:paraId="1CC45AA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29F07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98CB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4D2C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38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F4AD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4634F46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XPS保温板</w:t>
            </w:r>
          </w:p>
        </w:tc>
        <w:tc>
          <w:tcPr>
            <w:tcW w:w="749" w:type="dxa"/>
            <w:noWrap w:val="0"/>
            <w:vAlign w:val="center"/>
          </w:tcPr>
          <w:p w14:paraId="1BCEC3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5C8D6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3539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05EF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BB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1C78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768160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通风管</w:t>
            </w:r>
          </w:p>
        </w:tc>
        <w:tc>
          <w:tcPr>
            <w:tcW w:w="749" w:type="dxa"/>
            <w:noWrap w:val="0"/>
            <w:vAlign w:val="center"/>
          </w:tcPr>
          <w:p w14:paraId="5B90DA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AE3A8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D859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C3D8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74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5740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458F7A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热棒</w:t>
            </w:r>
          </w:p>
        </w:tc>
        <w:tc>
          <w:tcPr>
            <w:tcW w:w="749" w:type="dxa"/>
            <w:noWrap w:val="0"/>
            <w:vAlign w:val="center"/>
          </w:tcPr>
          <w:p w14:paraId="76B358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w:t>
            </w:r>
          </w:p>
        </w:tc>
        <w:tc>
          <w:tcPr>
            <w:tcW w:w="837" w:type="dxa"/>
            <w:noWrap w:val="0"/>
            <w:vAlign w:val="center"/>
          </w:tcPr>
          <w:p w14:paraId="7DFE10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2D90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B905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9F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157CC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207</w:t>
            </w:r>
          </w:p>
        </w:tc>
        <w:tc>
          <w:tcPr>
            <w:tcW w:w="4732" w:type="dxa"/>
            <w:noWrap w:val="0"/>
            <w:vAlign w:val="center"/>
          </w:tcPr>
          <w:p w14:paraId="79C6580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坡面排水</w:t>
            </w:r>
          </w:p>
        </w:tc>
        <w:tc>
          <w:tcPr>
            <w:tcW w:w="749" w:type="dxa"/>
            <w:noWrap w:val="0"/>
            <w:vAlign w:val="center"/>
          </w:tcPr>
          <w:p w14:paraId="4F02C9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88620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5DAE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FE33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E9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A230E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w:t>
            </w:r>
          </w:p>
        </w:tc>
        <w:tc>
          <w:tcPr>
            <w:tcW w:w="4732" w:type="dxa"/>
            <w:noWrap w:val="0"/>
            <w:vAlign w:val="center"/>
          </w:tcPr>
          <w:p w14:paraId="3F449CF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w:t>
            </w:r>
          </w:p>
        </w:tc>
        <w:tc>
          <w:tcPr>
            <w:tcW w:w="749" w:type="dxa"/>
            <w:noWrap w:val="0"/>
            <w:vAlign w:val="center"/>
          </w:tcPr>
          <w:p w14:paraId="62641C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09C5B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F156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2D8B3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9A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B9114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205E182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1B4C1E4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08ABB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FD68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2584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36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3DA5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CB10644">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67418EC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D4BD3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4D08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3052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98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0220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FC9D5B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094800C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B4D2D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B61F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9D53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0D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8066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690E3BD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181308B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3D9A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A442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C6E17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DB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DA42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31A2661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543290B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AEE5C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882A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8A67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79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60B6D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705CE31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0ADEF6C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434A1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1A67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F2A34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7E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38BF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207-2</w:t>
            </w:r>
          </w:p>
        </w:tc>
        <w:tc>
          <w:tcPr>
            <w:tcW w:w="4732" w:type="dxa"/>
            <w:noWrap w:val="0"/>
            <w:vAlign w:val="center"/>
          </w:tcPr>
          <w:p w14:paraId="26111BB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排水沟</w:t>
            </w:r>
          </w:p>
        </w:tc>
        <w:tc>
          <w:tcPr>
            <w:tcW w:w="749" w:type="dxa"/>
            <w:noWrap w:val="0"/>
            <w:vAlign w:val="center"/>
          </w:tcPr>
          <w:p w14:paraId="34DD46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76C31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CE1F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425A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94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27F38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0880042D">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37326F6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35B20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96A2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30CB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88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DE1C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8F203DB">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14216B4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9052D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5F5F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86934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EB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654E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411939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6DE7520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C06C9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DB6D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D4ED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CD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CEF80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1E4505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7464760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F3AA3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D641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5940E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A6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88B60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254C828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7C10677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B6D95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0037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404C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22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0E706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17ABAE7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7DEBC61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AACA9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6189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1091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30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B883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207-3</w:t>
            </w:r>
          </w:p>
        </w:tc>
        <w:tc>
          <w:tcPr>
            <w:tcW w:w="4732" w:type="dxa"/>
            <w:noWrap w:val="0"/>
            <w:vAlign w:val="center"/>
          </w:tcPr>
          <w:p w14:paraId="0637978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截水沟</w:t>
            </w:r>
          </w:p>
        </w:tc>
        <w:tc>
          <w:tcPr>
            <w:tcW w:w="749" w:type="dxa"/>
            <w:noWrap w:val="0"/>
            <w:vAlign w:val="center"/>
          </w:tcPr>
          <w:p w14:paraId="5BB3F7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B2505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7422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5A41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42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64FA8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6E3613D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58C170E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CA1D2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BD02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3AD47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84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4DAB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3DD5D75">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6D6881C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4F525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CCFD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CD71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B1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9DAF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C0C149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7AD8BF4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9BA73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0BCB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3E24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51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BAFB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DD0320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5AB019C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FEDE6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BC2F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7D5F9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04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4CE3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-e</w:t>
            </w:r>
          </w:p>
        </w:tc>
        <w:tc>
          <w:tcPr>
            <w:tcW w:w="4732" w:type="dxa"/>
            <w:noWrap w:val="0"/>
            <w:vAlign w:val="center"/>
          </w:tcPr>
          <w:p w14:paraId="561C6F8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6DBB16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3F293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479F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316A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2D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AC38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207-4</w:t>
            </w:r>
          </w:p>
        </w:tc>
        <w:tc>
          <w:tcPr>
            <w:tcW w:w="4732" w:type="dxa"/>
            <w:noWrap w:val="0"/>
            <w:vAlign w:val="center"/>
          </w:tcPr>
          <w:p w14:paraId="7A78E5D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跌水与急流槽</w:t>
            </w:r>
          </w:p>
        </w:tc>
        <w:tc>
          <w:tcPr>
            <w:tcW w:w="749" w:type="dxa"/>
            <w:noWrap w:val="0"/>
            <w:vAlign w:val="center"/>
          </w:tcPr>
          <w:p w14:paraId="6D7926A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87E2D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8366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1B36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15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31F7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593A59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1D5976D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47CF7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5E10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0D27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4D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45A7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7DE6BE6">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浆砌片石</w:t>
            </w:r>
          </w:p>
        </w:tc>
        <w:tc>
          <w:tcPr>
            <w:tcW w:w="749" w:type="dxa"/>
            <w:noWrap w:val="0"/>
            <w:vAlign w:val="center"/>
          </w:tcPr>
          <w:p w14:paraId="2A61E94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E307C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7340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C328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19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B366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74F0591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05C70EE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A1E19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FA03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A14B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3C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84C5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64896E2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400E3B8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977EC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DC16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AA60A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D9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1BF5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207-5</w:t>
            </w:r>
          </w:p>
        </w:tc>
        <w:tc>
          <w:tcPr>
            <w:tcW w:w="4732" w:type="dxa"/>
            <w:noWrap w:val="0"/>
            <w:vAlign w:val="center"/>
          </w:tcPr>
          <w:p w14:paraId="3953F4A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749" w:type="dxa"/>
            <w:noWrap w:val="0"/>
            <w:vAlign w:val="center"/>
          </w:tcPr>
          <w:p w14:paraId="503C3F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9FECE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6F50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7683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6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3CA4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207-6</w:t>
            </w:r>
          </w:p>
        </w:tc>
        <w:tc>
          <w:tcPr>
            <w:tcW w:w="4732" w:type="dxa"/>
            <w:noWrap w:val="0"/>
            <w:vAlign w:val="center"/>
          </w:tcPr>
          <w:p w14:paraId="686F30E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蒸发池</w:t>
            </w:r>
          </w:p>
        </w:tc>
        <w:tc>
          <w:tcPr>
            <w:tcW w:w="749" w:type="dxa"/>
            <w:noWrap w:val="0"/>
            <w:vAlign w:val="center"/>
          </w:tcPr>
          <w:p w14:paraId="5CE53D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E112D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E4DA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C9E2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31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4A415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54AF79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挖土（石）方</w:t>
            </w:r>
          </w:p>
        </w:tc>
        <w:tc>
          <w:tcPr>
            <w:tcW w:w="749" w:type="dxa"/>
            <w:noWrap w:val="0"/>
            <w:vAlign w:val="center"/>
          </w:tcPr>
          <w:p w14:paraId="483E0B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36DDD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0D9F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6AC0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0E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6BCA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AC025D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圬工</w:t>
            </w:r>
          </w:p>
        </w:tc>
        <w:tc>
          <w:tcPr>
            <w:tcW w:w="749" w:type="dxa"/>
            <w:noWrap w:val="0"/>
            <w:vAlign w:val="center"/>
          </w:tcPr>
          <w:p w14:paraId="5356FF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B1E04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628D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DF3B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99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ED69C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207-7</w:t>
            </w:r>
          </w:p>
        </w:tc>
        <w:tc>
          <w:tcPr>
            <w:tcW w:w="4732" w:type="dxa"/>
            <w:noWrap w:val="0"/>
            <w:vAlign w:val="center"/>
          </w:tcPr>
          <w:p w14:paraId="1C328C56">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涵洞上下游改沟、改渠铺砌</w:t>
            </w:r>
          </w:p>
        </w:tc>
        <w:tc>
          <w:tcPr>
            <w:tcW w:w="749" w:type="dxa"/>
            <w:noWrap w:val="0"/>
            <w:vAlign w:val="center"/>
          </w:tcPr>
          <w:p w14:paraId="1086C3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A716A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5DBF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2998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2B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DCCB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72F6F90">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669713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3E663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E095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26E22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FB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9C61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82301AB">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现浇混凝土铺砌</w:t>
            </w:r>
          </w:p>
        </w:tc>
        <w:tc>
          <w:tcPr>
            <w:tcW w:w="749" w:type="dxa"/>
            <w:noWrap w:val="0"/>
            <w:vAlign w:val="center"/>
          </w:tcPr>
          <w:p w14:paraId="375FE3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08CDB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C914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1909D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6A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443C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6C8A731">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预制混凝土铺砌</w:t>
            </w:r>
          </w:p>
        </w:tc>
        <w:tc>
          <w:tcPr>
            <w:tcW w:w="749" w:type="dxa"/>
            <w:noWrap w:val="0"/>
            <w:vAlign w:val="center"/>
          </w:tcPr>
          <w:p w14:paraId="59E298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56E28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6597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0AD2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A4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ECA1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207-8</w:t>
            </w:r>
          </w:p>
        </w:tc>
        <w:tc>
          <w:tcPr>
            <w:tcW w:w="4732" w:type="dxa"/>
            <w:noWrap w:val="0"/>
            <w:vAlign w:val="center"/>
          </w:tcPr>
          <w:p w14:paraId="0FD6D9E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现浇混凝土坡面排水结构物</w:t>
            </w:r>
          </w:p>
        </w:tc>
        <w:tc>
          <w:tcPr>
            <w:tcW w:w="749" w:type="dxa"/>
            <w:noWrap w:val="0"/>
            <w:vAlign w:val="center"/>
          </w:tcPr>
          <w:p w14:paraId="14C2D3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81014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3480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3C69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4A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89C1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207-9</w:t>
            </w:r>
          </w:p>
        </w:tc>
        <w:tc>
          <w:tcPr>
            <w:tcW w:w="4732" w:type="dxa"/>
            <w:noWrap w:val="0"/>
            <w:vAlign w:val="center"/>
          </w:tcPr>
          <w:p w14:paraId="0BA63637">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预制混凝土坡面排水结构物</w:t>
            </w:r>
          </w:p>
        </w:tc>
        <w:tc>
          <w:tcPr>
            <w:tcW w:w="749" w:type="dxa"/>
            <w:noWrap w:val="0"/>
            <w:vAlign w:val="center"/>
          </w:tcPr>
          <w:p w14:paraId="647287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134E6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4858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8B43F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68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3845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207-10</w:t>
            </w:r>
          </w:p>
        </w:tc>
        <w:tc>
          <w:tcPr>
            <w:tcW w:w="4732" w:type="dxa"/>
            <w:noWrap w:val="0"/>
            <w:vAlign w:val="center"/>
          </w:tcPr>
          <w:p w14:paraId="3A2A791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仰斜式排水孔</w:t>
            </w:r>
          </w:p>
        </w:tc>
        <w:tc>
          <w:tcPr>
            <w:tcW w:w="749" w:type="dxa"/>
            <w:noWrap w:val="0"/>
            <w:vAlign w:val="center"/>
          </w:tcPr>
          <w:p w14:paraId="6FD3F05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52B9B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9107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281F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93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0701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ECEC11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w:t>
            </w:r>
          </w:p>
        </w:tc>
        <w:tc>
          <w:tcPr>
            <w:tcW w:w="749" w:type="dxa"/>
            <w:noWrap w:val="0"/>
            <w:vAlign w:val="center"/>
          </w:tcPr>
          <w:p w14:paraId="19E709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E33E3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85A6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625A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F6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6CD6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855EDF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749" w:type="dxa"/>
            <w:noWrap w:val="0"/>
            <w:vAlign w:val="center"/>
          </w:tcPr>
          <w:p w14:paraId="062089C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6C907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128A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27B8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D7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2BA6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130168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软式透水管</w:t>
            </w:r>
          </w:p>
        </w:tc>
        <w:tc>
          <w:tcPr>
            <w:tcW w:w="749" w:type="dxa"/>
            <w:noWrap w:val="0"/>
            <w:vAlign w:val="center"/>
          </w:tcPr>
          <w:p w14:paraId="07B9CE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AC074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6895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6650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9A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80D0B6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208</w:t>
            </w:r>
          </w:p>
        </w:tc>
        <w:tc>
          <w:tcPr>
            <w:tcW w:w="4732" w:type="dxa"/>
            <w:noWrap w:val="0"/>
            <w:vAlign w:val="center"/>
          </w:tcPr>
          <w:p w14:paraId="62FF9514">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护坡、护面墙</w:t>
            </w:r>
          </w:p>
        </w:tc>
        <w:tc>
          <w:tcPr>
            <w:tcW w:w="749" w:type="dxa"/>
            <w:noWrap w:val="0"/>
            <w:vAlign w:val="center"/>
          </w:tcPr>
          <w:p w14:paraId="1EAB95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45F91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969A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5DE7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71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9C29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208-1</w:t>
            </w:r>
          </w:p>
        </w:tc>
        <w:tc>
          <w:tcPr>
            <w:tcW w:w="4732" w:type="dxa"/>
            <w:noWrap w:val="0"/>
            <w:vAlign w:val="center"/>
          </w:tcPr>
          <w:p w14:paraId="3900068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护坡垫层</w:t>
            </w:r>
          </w:p>
        </w:tc>
        <w:tc>
          <w:tcPr>
            <w:tcW w:w="749" w:type="dxa"/>
            <w:noWrap w:val="0"/>
            <w:vAlign w:val="center"/>
          </w:tcPr>
          <w:p w14:paraId="5B04E4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7B547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79DF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9182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F6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73F51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208-2</w:t>
            </w:r>
          </w:p>
        </w:tc>
        <w:tc>
          <w:tcPr>
            <w:tcW w:w="4732" w:type="dxa"/>
            <w:noWrap w:val="0"/>
            <w:vAlign w:val="center"/>
          </w:tcPr>
          <w:p w14:paraId="2AAC3D4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干砌片石护坡</w:t>
            </w:r>
          </w:p>
        </w:tc>
        <w:tc>
          <w:tcPr>
            <w:tcW w:w="749" w:type="dxa"/>
            <w:noWrap w:val="0"/>
            <w:vAlign w:val="center"/>
          </w:tcPr>
          <w:p w14:paraId="5C522F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EAC22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D1BD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8DC2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33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A14A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208-3</w:t>
            </w:r>
          </w:p>
        </w:tc>
        <w:tc>
          <w:tcPr>
            <w:tcW w:w="4732" w:type="dxa"/>
            <w:noWrap w:val="0"/>
            <w:vAlign w:val="center"/>
          </w:tcPr>
          <w:p w14:paraId="1DBEF1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749" w:type="dxa"/>
            <w:noWrap w:val="0"/>
            <w:vAlign w:val="center"/>
          </w:tcPr>
          <w:p w14:paraId="271DE8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F7C66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7F31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77FF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FD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85B1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103FEE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满铺浆砌片石护坡</w:t>
            </w:r>
          </w:p>
        </w:tc>
        <w:tc>
          <w:tcPr>
            <w:tcW w:w="749" w:type="dxa"/>
            <w:noWrap w:val="0"/>
            <w:vAlign w:val="center"/>
          </w:tcPr>
          <w:p w14:paraId="75E118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24768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9D38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7FD8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E8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6E20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9E9D4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浆砌骨架护坡</w:t>
            </w:r>
          </w:p>
        </w:tc>
        <w:tc>
          <w:tcPr>
            <w:tcW w:w="749" w:type="dxa"/>
            <w:noWrap w:val="0"/>
            <w:vAlign w:val="center"/>
          </w:tcPr>
          <w:p w14:paraId="3C4077E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C646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77E5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FB12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08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4" w:type="dxa"/>
            <w:tcBorders>
              <w:left w:val="single" w:color="auto" w:sz="12" w:space="0"/>
            </w:tcBorders>
            <w:noWrap w:val="0"/>
            <w:vAlign w:val="center"/>
          </w:tcPr>
          <w:p w14:paraId="129967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52921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749" w:type="dxa"/>
            <w:noWrap w:val="0"/>
            <w:vAlign w:val="center"/>
          </w:tcPr>
          <w:p w14:paraId="449FFE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A581F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5685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269B7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0E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AED3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208-4</w:t>
            </w:r>
          </w:p>
        </w:tc>
        <w:tc>
          <w:tcPr>
            <w:tcW w:w="4732" w:type="dxa"/>
            <w:noWrap w:val="0"/>
            <w:vAlign w:val="center"/>
          </w:tcPr>
          <w:p w14:paraId="1EDE90D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混凝土护坡</w:t>
            </w:r>
          </w:p>
        </w:tc>
        <w:tc>
          <w:tcPr>
            <w:tcW w:w="749" w:type="dxa"/>
            <w:noWrap w:val="0"/>
            <w:vAlign w:val="center"/>
          </w:tcPr>
          <w:p w14:paraId="670AF7C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6EB3E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C59C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59F6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F4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8E71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BCD7C3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现浇混凝土满铺护坡</w:t>
            </w:r>
          </w:p>
        </w:tc>
        <w:tc>
          <w:tcPr>
            <w:tcW w:w="749" w:type="dxa"/>
            <w:noWrap w:val="0"/>
            <w:vAlign w:val="center"/>
          </w:tcPr>
          <w:p w14:paraId="1DC616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3F38F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1E69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EB54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D6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A671C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09904D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混凝土预制件满铺护坡</w:t>
            </w:r>
          </w:p>
        </w:tc>
        <w:tc>
          <w:tcPr>
            <w:tcW w:w="749" w:type="dxa"/>
            <w:noWrap w:val="0"/>
            <w:vAlign w:val="center"/>
          </w:tcPr>
          <w:p w14:paraId="2AD7E47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2B6BA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E16D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C3B4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F2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673E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7A3FF6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现浇混凝土骨架护坡</w:t>
            </w:r>
          </w:p>
        </w:tc>
        <w:tc>
          <w:tcPr>
            <w:tcW w:w="749" w:type="dxa"/>
            <w:noWrap w:val="0"/>
            <w:vAlign w:val="center"/>
          </w:tcPr>
          <w:p w14:paraId="3189F0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573FA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C1A6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94CA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D9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8AEB3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2E5F1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混凝土预制件骨架护坡</w:t>
            </w:r>
          </w:p>
        </w:tc>
        <w:tc>
          <w:tcPr>
            <w:tcW w:w="749" w:type="dxa"/>
            <w:noWrap w:val="0"/>
            <w:vAlign w:val="center"/>
          </w:tcPr>
          <w:p w14:paraId="1F866C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9C860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F172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18C6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A7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210D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35C8A3B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0367471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070B6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C14A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8301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6E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37E2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208-5</w:t>
            </w:r>
          </w:p>
        </w:tc>
        <w:tc>
          <w:tcPr>
            <w:tcW w:w="4732" w:type="dxa"/>
            <w:noWrap w:val="0"/>
            <w:vAlign w:val="center"/>
          </w:tcPr>
          <w:p w14:paraId="50CAC74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护面墙</w:t>
            </w:r>
          </w:p>
        </w:tc>
        <w:tc>
          <w:tcPr>
            <w:tcW w:w="749" w:type="dxa"/>
            <w:noWrap w:val="0"/>
            <w:vAlign w:val="center"/>
          </w:tcPr>
          <w:p w14:paraId="62C9BB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C1FFE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59A6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7190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95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8169D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1B30C1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浆砌片（块）石护面墙</w:t>
            </w:r>
          </w:p>
        </w:tc>
        <w:tc>
          <w:tcPr>
            <w:tcW w:w="749" w:type="dxa"/>
            <w:noWrap w:val="0"/>
            <w:vAlign w:val="center"/>
          </w:tcPr>
          <w:p w14:paraId="26F6AE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DEC24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B9E0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5D58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79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1CB2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8BCC8A0">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749" w:type="dxa"/>
            <w:noWrap w:val="0"/>
            <w:vAlign w:val="center"/>
          </w:tcPr>
          <w:p w14:paraId="67D201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5EE70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768C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166A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D8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6E68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AB086F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预制安装混凝土护面墙</w:t>
            </w:r>
          </w:p>
        </w:tc>
        <w:tc>
          <w:tcPr>
            <w:tcW w:w="749" w:type="dxa"/>
            <w:noWrap w:val="0"/>
            <w:vAlign w:val="center"/>
          </w:tcPr>
          <w:p w14:paraId="7F2BF92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01C30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F9B4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6ED43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C1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BD5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208-6</w:t>
            </w:r>
          </w:p>
        </w:tc>
        <w:tc>
          <w:tcPr>
            <w:tcW w:w="4732" w:type="dxa"/>
            <w:noWrap w:val="0"/>
            <w:vAlign w:val="center"/>
          </w:tcPr>
          <w:p w14:paraId="5BA3DB5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19B4D7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EC648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7712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A44A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15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509C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AF1445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27A747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88B5E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0A63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3D7F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B6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D1C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208-7</w:t>
            </w:r>
          </w:p>
        </w:tc>
        <w:tc>
          <w:tcPr>
            <w:tcW w:w="4732" w:type="dxa"/>
            <w:noWrap w:val="0"/>
            <w:vAlign w:val="center"/>
          </w:tcPr>
          <w:p w14:paraId="3CD2D1B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3C61CB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AE240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BBB6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472A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4D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F61D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92492F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31F680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D2A8C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7017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05F5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FE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94C0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208-8</w:t>
            </w:r>
          </w:p>
        </w:tc>
        <w:tc>
          <w:tcPr>
            <w:tcW w:w="4732" w:type="dxa"/>
            <w:noWrap w:val="0"/>
            <w:vAlign w:val="center"/>
          </w:tcPr>
          <w:p w14:paraId="01B0846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坡面柔性防护</w:t>
            </w:r>
          </w:p>
        </w:tc>
        <w:tc>
          <w:tcPr>
            <w:tcW w:w="749" w:type="dxa"/>
            <w:noWrap w:val="0"/>
            <w:vAlign w:val="center"/>
          </w:tcPr>
          <w:p w14:paraId="578F0B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C1F83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C374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E7D18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9E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599AD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E5205C4">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749" w:type="dxa"/>
            <w:noWrap w:val="0"/>
            <w:vAlign w:val="center"/>
          </w:tcPr>
          <w:p w14:paraId="3174170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35B46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7FB5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CA51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C4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0B47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335758D">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749" w:type="dxa"/>
            <w:noWrap w:val="0"/>
            <w:vAlign w:val="center"/>
          </w:tcPr>
          <w:p w14:paraId="29C01A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37510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FD38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3C06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96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E99B1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w:t>
            </w:r>
          </w:p>
        </w:tc>
        <w:tc>
          <w:tcPr>
            <w:tcW w:w="4732" w:type="dxa"/>
            <w:noWrap w:val="0"/>
            <w:vAlign w:val="center"/>
          </w:tcPr>
          <w:p w14:paraId="1099F966">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挡土墙</w:t>
            </w:r>
          </w:p>
        </w:tc>
        <w:tc>
          <w:tcPr>
            <w:tcW w:w="749" w:type="dxa"/>
            <w:noWrap w:val="0"/>
            <w:vAlign w:val="center"/>
          </w:tcPr>
          <w:p w14:paraId="45B4A7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CA3F8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5BF0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7FEF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FA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5745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209-1</w:t>
            </w:r>
          </w:p>
        </w:tc>
        <w:tc>
          <w:tcPr>
            <w:tcW w:w="4732" w:type="dxa"/>
            <w:noWrap w:val="0"/>
            <w:vAlign w:val="center"/>
          </w:tcPr>
          <w:p w14:paraId="291EF97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21F3F1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03078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F835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8160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3B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CB2A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209-2</w:t>
            </w:r>
          </w:p>
        </w:tc>
        <w:tc>
          <w:tcPr>
            <w:tcW w:w="4732" w:type="dxa"/>
            <w:noWrap w:val="0"/>
            <w:vAlign w:val="center"/>
          </w:tcPr>
          <w:p w14:paraId="4D87F78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w:t>
            </w:r>
          </w:p>
        </w:tc>
        <w:tc>
          <w:tcPr>
            <w:tcW w:w="749" w:type="dxa"/>
            <w:noWrap w:val="0"/>
            <w:vAlign w:val="center"/>
          </w:tcPr>
          <w:p w14:paraId="1A872B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099C5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DC07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1B87E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0F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B883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0C69E1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浆砌片（块）石基础</w:t>
            </w:r>
          </w:p>
        </w:tc>
        <w:tc>
          <w:tcPr>
            <w:tcW w:w="749" w:type="dxa"/>
            <w:noWrap w:val="0"/>
            <w:vAlign w:val="center"/>
          </w:tcPr>
          <w:p w14:paraId="0A4A52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A3792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05BB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82CB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19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4BBF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C1E398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0BFD62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7AB4E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BE04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F61C1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CA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DA320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209-3</w:t>
            </w:r>
          </w:p>
        </w:tc>
        <w:tc>
          <w:tcPr>
            <w:tcW w:w="4732" w:type="dxa"/>
            <w:noWrap w:val="0"/>
            <w:vAlign w:val="center"/>
          </w:tcPr>
          <w:p w14:paraId="19B9AC8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砌体挡土墙</w:t>
            </w:r>
          </w:p>
        </w:tc>
        <w:tc>
          <w:tcPr>
            <w:tcW w:w="749" w:type="dxa"/>
            <w:noWrap w:val="0"/>
            <w:vAlign w:val="center"/>
          </w:tcPr>
          <w:p w14:paraId="169497D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F925E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F8A5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BA3A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B27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D2AF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86392F9">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w:t>
            </w:r>
          </w:p>
        </w:tc>
        <w:tc>
          <w:tcPr>
            <w:tcW w:w="749" w:type="dxa"/>
            <w:noWrap w:val="0"/>
            <w:vAlign w:val="center"/>
          </w:tcPr>
          <w:p w14:paraId="49B537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891A8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DED7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4BD8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BA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E0FE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209-4</w:t>
            </w:r>
          </w:p>
        </w:tc>
        <w:tc>
          <w:tcPr>
            <w:tcW w:w="4732" w:type="dxa"/>
            <w:noWrap w:val="0"/>
            <w:vAlign w:val="center"/>
          </w:tcPr>
          <w:p w14:paraId="417E3F95">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干砌挡土墙</w:t>
            </w:r>
          </w:p>
        </w:tc>
        <w:tc>
          <w:tcPr>
            <w:tcW w:w="749" w:type="dxa"/>
            <w:noWrap w:val="0"/>
            <w:vAlign w:val="center"/>
          </w:tcPr>
          <w:p w14:paraId="32473A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A0B13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D7C0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A310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9A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46D06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209-5</w:t>
            </w:r>
          </w:p>
        </w:tc>
        <w:tc>
          <w:tcPr>
            <w:tcW w:w="4732" w:type="dxa"/>
            <w:noWrap w:val="0"/>
            <w:vAlign w:val="center"/>
          </w:tcPr>
          <w:p w14:paraId="0DE0F4A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749" w:type="dxa"/>
            <w:noWrap w:val="0"/>
            <w:vAlign w:val="center"/>
          </w:tcPr>
          <w:p w14:paraId="708C416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3D028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3E91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10CE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86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F4C84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8F0419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2BBEEC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2B3FD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571F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3AEB5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14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3404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22AD36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63883E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ACA17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C053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EBE9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E2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4F89A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w:t>
            </w:r>
          </w:p>
        </w:tc>
        <w:tc>
          <w:tcPr>
            <w:tcW w:w="4732" w:type="dxa"/>
            <w:noWrap w:val="0"/>
            <w:vAlign w:val="center"/>
          </w:tcPr>
          <w:p w14:paraId="420D53FD">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锚杆、锚定板挡土墙</w:t>
            </w:r>
          </w:p>
        </w:tc>
        <w:tc>
          <w:tcPr>
            <w:tcW w:w="749" w:type="dxa"/>
            <w:noWrap w:val="0"/>
            <w:vAlign w:val="center"/>
          </w:tcPr>
          <w:p w14:paraId="56A332B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860D0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9967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7F17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D4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6442D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210-1</w:t>
            </w:r>
          </w:p>
        </w:tc>
        <w:tc>
          <w:tcPr>
            <w:tcW w:w="4732" w:type="dxa"/>
            <w:noWrap w:val="0"/>
            <w:vAlign w:val="center"/>
          </w:tcPr>
          <w:p w14:paraId="52C95BB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锚杆挡土墙</w:t>
            </w:r>
          </w:p>
        </w:tc>
        <w:tc>
          <w:tcPr>
            <w:tcW w:w="749" w:type="dxa"/>
            <w:noWrap w:val="0"/>
            <w:vAlign w:val="center"/>
          </w:tcPr>
          <w:p w14:paraId="76855E3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D519C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4FE0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9402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79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12F8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476BD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现浇混凝土立柱</w:t>
            </w:r>
          </w:p>
        </w:tc>
        <w:tc>
          <w:tcPr>
            <w:tcW w:w="749" w:type="dxa"/>
            <w:noWrap w:val="0"/>
            <w:vAlign w:val="center"/>
          </w:tcPr>
          <w:p w14:paraId="65D3B9A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C2BF8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26C4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70822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E7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FB1F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D1CE01A">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混凝土立柱</w:t>
            </w:r>
          </w:p>
        </w:tc>
        <w:tc>
          <w:tcPr>
            <w:tcW w:w="749" w:type="dxa"/>
            <w:noWrap w:val="0"/>
            <w:vAlign w:val="center"/>
          </w:tcPr>
          <w:p w14:paraId="0FAAF1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6C0C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5EEF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142A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F0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7016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EEE9C2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混凝土挡板</w:t>
            </w:r>
          </w:p>
        </w:tc>
        <w:tc>
          <w:tcPr>
            <w:tcW w:w="749" w:type="dxa"/>
            <w:noWrap w:val="0"/>
            <w:vAlign w:val="center"/>
          </w:tcPr>
          <w:p w14:paraId="2F2FD1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DBC35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2D58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CF54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70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E56A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210-2</w:t>
            </w:r>
          </w:p>
        </w:tc>
        <w:tc>
          <w:tcPr>
            <w:tcW w:w="4732" w:type="dxa"/>
            <w:noWrap w:val="0"/>
            <w:vAlign w:val="center"/>
          </w:tcPr>
          <w:p w14:paraId="2C26B15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锚定板挡土墙</w:t>
            </w:r>
          </w:p>
        </w:tc>
        <w:tc>
          <w:tcPr>
            <w:tcW w:w="749" w:type="dxa"/>
            <w:noWrap w:val="0"/>
            <w:vAlign w:val="center"/>
          </w:tcPr>
          <w:p w14:paraId="4812A8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A0C83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32FF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54E3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CE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C0BAE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F443C4F">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现浇混凝土肋柱</w:t>
            </w:r>
          </w:p>
        </w:tc>
        <w:tc>
          <w:tcPr>
            <w:tcW w:w="749" w:type="dxa"/>
            <w:noWrap w:val="0"/>
            <w:vAlign w:val="center"/>
          </w:tcPr>
          <w:p w14:paraId="4F980D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A1939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13F8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7D0AB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CE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BB988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E61569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预制安装混凝土肋柱</w:t>
            </w:r>
          </w:p>
        </w:tc>
        <w:tc>
          <w:tcPr>
            <w:tcW w:w="749" w:type="dxa"/>
            <w:noWrap w:val="0"/>
            <w:vAlign w:val="center"/>
          </w:tcPr>
          <w:p w14:paraId="1AB3AB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1CA67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3E60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103A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5E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DEF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2F13219">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预制安装混凝土锚定板</w:t>
            </w:r>
          </w:p>
        </w:tc>
        <w:tc>
          <w:tcPr>
            <w:tcW w:w="749" w:type="dxa"/>
            <w:noWrap w:val="0"/>
            <w:vAlign w:val="center"/>
          </w:tcPr>
          <w:p w14:paraId="091BD6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E7CCD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AE86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D639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C8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629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210-3</w:t>
            </w:r>
          </w:p>
        </w:tc>
        <w:tc>
          <w:tcPr>
            <w:tcW w:w="4732" w:type="dxa"/>
            <w:noWrap w:val="0"/>
            <w:vAlign w:val="center"/>
          </w:tcPr>
          <w:p w14:paraId="6ED83EA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现浇墙身混凝土、附属部位混凝土</w:t>
            </w:r>
          </w:p>
        </w:tc>
        <w:tc>
          <w:tcPr>
            <w:tcW w:w="749" w:type="dxa"/>
            <w:noWrap w:val="0"/>
            <w:vAlign w:val="center"/>
          </w:tcPr>
          <w:p w14:paraId="2E151D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D3135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3D81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DAB4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B4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0A01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6B4C00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现浇混凝土墙身</w:t>
            </w:r>
          </w:p>
        </w:tc>
        <w:tc>
          <w:tcPr>
            <w:tcW w:w="749" w:type="dxa"/>
            <w:noWrap w:val="0"/>
            <w:vAlign w:val="center"/>
          </w:tcPr>
          <w:p w14:paraId="1EDC73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ACC64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115D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B52B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F5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D830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CA4775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现浇附属部位混凝土</w:t>
            </w:r>
          </w:p>
        </w:tc>
        <w:tc>
          <w:tcPr>
            <w:tcW w:w="749" w:type="dxa"/>
            <w:noWrap w:val="0"/>
            <w:vAlign w:val="center"/>
          </w:tcPr>
          <w:p w14:paraId="317E42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E24D6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8581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688C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85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8C49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210-4</w:t>
            </w:r>
          </w:p>
        </w:tc>
        <w:tc>
          <w:tcPr>
            <w:tcW w:w="4732" w:type="dxa"/>
            <w:noWrap w:val="0"/>
            <w:vAlign w:val="center"/>
          </w:tcPr>
          <w:p w14:paraId="508E225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现浇桩基混凝土</w:t>
            </w:r>
          </w:p>
        </w:tc>
        <w:tc>
          <w:tcPr>
            <w:tcW w:w="749" w:type="dxa"/>
            <w:noWrap w:val="0"/>
            <w:vAlign w:val="center"/>
          </w:tcPr>
          <w:p w14:paraId="25E111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2969D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C7A9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554B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44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B5236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210-5</w:t>
            </w:r>
          </w:p>
        </w:tc>
        <w:tc>
          <w:tcPr>
            <w:tcW w:w="4732" w:type="dxa"/>
            <w:noWrap w:val="0"/>
            <w:vAlign w:val="center"/>
          </w:tcPr>
          <w:p w14:paraId="31EED4BB">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锚杆及拉杆</w:t>
            </w:r>
          </w:p>
        </w:tc>
        <w:tc>
          <w:tcPr>
            <w:tcW w:w="749" w:type="dxa"/>
            <w:noWrap w:val="0"/>
            <w:vAlign w:val="center"/>
          </w:tcPr>
          <w:p w14:paraId="4FEEBDF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2F760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6F8F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6633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29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EFE6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CB7642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394A66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CA9B4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A9D6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3E46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EF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D557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6BF651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拉杆</w:t>
            </w:r>
          </w:p>
        </w:tc>
        <w:tc>
          <w:tcPr>
            <w:tcW w:w="749" w:type="dxa"/>
            <w:noWrap w:val="0"/>
            <w:vAlign w:val="center"/>
          </w:tcPr>
          <w:p w14:paraId="0B1190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37538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6F5C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48C7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D3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5CA9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210-6</w:t>
            </w:r>
          </w:p>
        </w:tc>
        <w:tc>
          <w:tcPr>
            <w:tcW w:w="4732" w:type="dxa"/>
            <w:noWrap w:val="0"/>
            <w:vAlign w:val="center"/>
          </w:tcPr>
          <w:p w14:paraId="5843DD6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3EE407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3C349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EA7E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5328F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F8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A3905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211</w:t>
            </w:r>
          </w:p>
        </w:tc>
        <w:tc>
          <w:tcPr>
            <w:tcW w:w="4732" w:type="dxa"/>
            <w:noWrap w:val="0"/>
            <w:vAlign w:val="center"/>
          </w:tcPr>
          <w:p w14:paraId="6B66D13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加筋土挡土墙</w:t>
            </w:r>
          </w:p>
        </w:tc>
        <w:tc>
          <w:tcPr>
            <w:tcW w:w="749" w:type="dxa"/>
            <w:noWrap w:val="0"/>
            <w:vAlign w:val="center"/>
          </w:tcPr>
          <w:p w14:paraId="21565ED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73465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24EE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E949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5A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0D78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211-1</w:t>
            </w:r>
          </w:p>
        </w:tc>
        <w:tc>
          <w:tcPr>
            <w:tcW w:w="4732" w:type="dxa"/>
            <w:noWrap w:val="0"/>
            <w:vAlign w:val="center"/>
          </w:tcPr>
          <w:p w14:paraId="3C19AB9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基础</w:t>
            </w:r>
          </w:p>
        </w:tc>
        <w:tc>
          <w:tcPr>
            <w:tcW w:w="749" w:type="dxa"/>
            <w:noWrap w:val="0"/>
            <w:vAlign w:val="center"/>
          </w:tcPr>
          <w:p w14:paraId="6D82FD0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EF630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A590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8368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0C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B812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0B4DD0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浆砌片石基础</w:t>
            </w:r>
          </w:p>
        </w:tc>
        <w:tc>
          <w:tcPr>
            <w:tcW w:w="749" w:type="dxa"/>
            <w:noWrap w:val="0"/>
            <w:vAlign w:val="center"/>
          </w:tcPr>
          <w:p w14:paraId="14DF8B9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FC4AD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FAD1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AD28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0B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6C23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8860CB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48EDF11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8F626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85AC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07CE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52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A959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211-2</w:t>
            </w:r>
          </w:p>
        </w:tc>
        <w:tc>
          <w:tcPr>
            <w:tcW w:w="4732" w:type="dxa"/>
            <w:noWrap w:val="0"/>
            <w:vAlign w:val="center"/>
          </w:tcPr>
          <w:p w14:paraId="1143C4A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混凝土帽石</w:t>
            </w:r>
          </w:p>
        </w:tc>
        <w:tc>
          <w:tcPr>
            <w:tcW w:w="749" w:type="dxa"/>
            <w:noWrap w:val="0"/>
            <w:vAlign w:val="center"/>
          </w:tcPr>
          <w:p w14:paraId="15022C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E3CAB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7A5B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7E28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EE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55BC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7317F6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现浇帽石混凝土</w:t>
            </w:r>
          </w:p>
        </w:tc>
        <w:tc>
          <w:tcPr>
            <w:tcW w:w="749" w:type="dxa"/>
            <w:noWrap w:val="0"/>
            <w:vAlign w:val="center"/>
          </w:tcPr>
          <w:p w14:paraId="6A3A74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78111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8DB7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C7A7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A7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6512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211-3</w:t>
            </w:r>
          </w:p>
        </w:tc>
        <w:tc>
          <w:tcPr>
            <w:tcW w:w="4732" w:type="dxa"/>
            <w:noWrap w:val="0"/>
            <w:vAlign w:val="center"/>
          </w:tcPr>
          <w:p w14:paraId="6D0B382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预制安装混凝土墙面板</w:t>
            </w:r>
          </w:p>
        </w:tc>
        <w:tc>
          <w:tcPr>
            <w:tcW w:w="749" w:type="dxa"/>
            <w:noWrap w:val="0"/>
            <w:vAlign w:val="center"/>
          </w:tcPr>
          <w:p w14:paraId="7BE1E9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A3521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420A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67DF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C3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0E82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211-4</w:t>
            </w:r>
          </w:p>
        </w:tc>
        <w:tc>
          <w:tcPr>
            <w:tcW w:w="4732" w:type="dxa"/>
            <w:noWrap w:val="0"/>
            <w:vAlign w:val="center"/>
          </w:tcPr>
          <w:p w14:paraId="448E6C6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加筋带</w:t>
            </w:r>
          </w:p>
        </w:tc>
        <w:tc>
          <w:tcPr>
            <w:tcW w:w="749" w:type="dxa"/>
            <w:noWrap w:val="0"/>
            <w:vAlign w:val="center"/>
          </w:tcPr>
          <w:p w14:paraId="677C5C0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62554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8033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F384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B0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A84D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E13211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扁钢带</w:t>
            </w:r>
          </w:p>
        </w:tc>
        <w:tc>
          <w:tcPr>
            <w:tcW w:w="749" w:type="dxa"/>
            <w:noWrap w:val="0"/>
            <w:vAlign w:val="center"/>
          </w:tcPr>
          <w:p w14:paraId="6380E3E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32F13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9D30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D45A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59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59B2A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AC9454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钢筋混凝土带</w:t>
            </w:r>
          </w:p>
        </w:tc>
        <w:tc>
          <w:tcPr>
            <w:tcW w:w="749" w:type="dxa"/>
            <w:noWrap w:val="0"/>
            <w:vAlign w:val="center"/>
          </w:tcPr>
          <w:p w14:paraId="53F0B3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20C6A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A6C0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3DC0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FB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8F20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0B7086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塑钢复合带</w:t>
            </w:r>
          </w:p>
        </w:tc>
        <w:tc>
          <w:tcPr>
            <w:tcW w:w="749" w:type="dxa"/>
            <w:noWrap w:val="0"/>
            <w:vAlign w:val="center"/>
          </w:tcPr>
          <w:p w14:paraId="608A28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719D2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A2E1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AF7F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95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D2DB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3A765E7">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塑料土工格栅</w:t>
            </w:r>
          </w:p>
        </w:tc>
        <w:tc>
          <w:tcPr>
            <w:tcW w:w="749" w:type="dxa"/>
            <w:noWrap w:val="0"/>
            <w:vAlign w:val="center"/>
          </w:tcPr>
          <w:p w14:paraId="0FB458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EE920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BA1D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0A2B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C2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EA40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22FE28FC">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聚丙烯土工带</w:t>
            </w:r>
          </w:p>
        </w:tc>
        <w:tc>
          <w:tcPr>
            <w:tcW w:w="749" w:type="dxa"/>
            <w:noWrap w:val="0"/>
            <w:vAlign w:val="center"/>
          </w:tcPr>
          <w:p w14:paraId="58FFFB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B5998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1E48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167A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9C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F8B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211-5</w:t>
            </w:r>
          </w:p>
        </w:tc>
        <w:tc>
          <w:tcPr>
            <w:tcW w:w="4732" w:type="dxa"/>
            <w:noWrap w:val="0"/>
            <w:vAlign w:val="center"/>
          </w:tcPr>
          <w:p w14:paraId="7DE6544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1094F4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F28D5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92AB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33D9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D6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BF63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w:t>
            </w:r>
          </w:p>
        </w:tc>
        <w:tc>
          <w:tcPr>
            <w:tcW w:w="4732" w:type="dxa"/>
            <w:noWrap w:val="0"/>
            <w:vAlign w:val="center"/>
          </w:tcPr>
          <w:p w14:paraId="4D9E8B9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喷射混凝土和喷浆边坡防护</w:t>
            </w:r>
          </w:p>
        </w:tc>
        <w:tc>
          <w:tcPr>
            <w:tcW w:w="749" w:type="dxa"/>
            <w:noWrap w:val="0"/>
            <w:vAlign w:val="center"/>
          </w:tcPr>
          <w:p w14:paraId="27F58F1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6F7DA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F077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FC2C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93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0B16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212-1</w:t>
            </w:r>
          </w:p>
        </w:tc>
        <w:tc>
          <w:tcPr>
            <w:tcW w:w="4732" w:type="dxa"/>
            <w:noWrap w:val="0"/>
            <w:vAlign w:val="center"/>
          </w:tcPr>
          <w:p w14:paraId="58329C9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挂网土工格栅喷浆防护边坡</w:t>
            </w:r>
          </w:p>
        </w:tc>
        <w:tc>
          <w:tcPr>
            <w:tcW w:w="749" w:type="dxa"/>
            <w:noWrap w:val="0"/>
            <w:vAlign w:val="center"/>
          </w:tcPr>
          <w:p w14:paraId="173EEA7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ABA3E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0257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0136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10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19C3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1DFC13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喷浆防护边坡</w:t>
            </w:r>
          </w:p>
        </w:tc>
        <w:tc>
          <w:tcPr>
            <w:tcW w:w="749" w:type="dxa"/>
            <w:noWrap w:val="0"/>
            <w:vAlign w:val="center"/>
          </w:tcPr>
          <w:p w14:paraId="07F06E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9B32A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6A40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3BCA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0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B860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25855F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279C68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C6A50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3371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C700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A5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1D43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CABC7D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577EAF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36142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771D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9CC2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2F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2DC9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76CF0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378225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05F45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FE46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D0E0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8C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10E98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212-2</w:t>
            </w:r>
          </w:p>
        </w:tc>
        <w:tc>
          <w:tcPr>
            <w:tcW w:w="4732" w:type="dxa"/>
            <w:noWrap w:val="0"/>
            <w:vAlign w:val="center"/>
          </w:tcPr>
          <w:p w14:paraId="1BEFB56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挂网锚喷混凝土防护边坡（全坡面）</w:t>
            </w:r>
          </w:p>
        </w:tc>
        <w:tc>
          <w:tcPr>
            <w:tcW w:w="749" w:type="dxa"/>
            <w:noWrap w:val="0"/>
            <w:vAlign w:val="center"/>
          </w:tcPr>
          <w:p w14:paraId="1814960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E1E85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C09A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24AE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0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3C359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89BDCD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喷射混凝土防护边坡</w:t>
            </w:r>
          </w:p>
        </w:tc>
        <w:tc>
          <w:tcPr>
            <w:tcW w:w="749" w:type="dxa"/>
            <w:noWrap w:val="0"/>
            <w:vAlign w:val="center"/>
          </w:tcPr>
          <w:p w14:paraId="6719D5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B34B6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0669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2A20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2C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CD3C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76458E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238757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A8E5B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603D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4863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96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9784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BCDCBE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00A16B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992BE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F2D4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59B4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1E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8B15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118C3A6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1BC1D1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D3AD6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FCCF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0AFE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D9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ADA3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2408C43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582217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DAEF2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7B4A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4D93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37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41DB0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212-3</w:t>
            </w:r>
          </w:p>
        </w:tc>
        <w:tc>
          <w:tcPr>
            <w:tcW w:w="4732" w:type="dxa"/>
            <w:noWrap w:val="0"/>
            <w:vAlign w:val="center"/>
          </w:tcPr>
          <w:p w14:paraId="0A9933D8">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坡面防护</w:t>
            </w:r>
          </w:p>
        </w:tc>
        <w:tc>
          <w:tcPr>
            <w:tcW w:w="749" w:type="dxa"/>
            <w:noWrap w:val="0"/>
            <w:vAlign w:val="center"/>
          </w:tcPr>
          <w:p w14:paraId="291ED8D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2C213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9BDF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46F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34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711F9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33913AB">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喷浆边坡防护</w:t>
            </w:r>
          </w:p>
        </w:tc>
        <w:tc>
          <w:tcPr>
            <w:tcW w:w="749" w:type="dxa"/>
            <w:noWrap w:val="0"/>
            <w:vAlign w:val="center"/>
          </w:tcPr>
          <w:p w14:paraId="2265A1C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C9708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9572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A8B5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8A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61CE0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209A510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喷射混凝土</w:t>
            </w:r>
            <w:r>
              <w:rPr>
                <w:rFonts w:hint="default" w:ascii="Times New Roman" w:hAnsi="Times New Roman" w:cs="Times New Roman"/>
                <w:color w:val="auto"/>
                <w:kern w:val="0"/>
                <w:szCs w:val="21"/>
                <w:highlight w:val="none"/>
              </w:rPr>
              <w:t>边坡防护</w:t>
            </w:r>
          </w:p>
        </w:tc>
        <w:tc>
          <w:tcPr>
            <w:tcW w:w="749" w:type="dxa"/>
            <w:noWrap w:val="0"/>
            <w:vAlign w:val="center"/>
          </w:tcPr>
          <w:p w14:paraId="358D9A0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vertAlign w:val="superscript"/>
              </w:rPr>
            </w:pPr>
            <w:r>
              <w:rPr>
                <w:rFonts w:hint="default" w:ascii="Times New Roman" w:hAnsi="Times New Roman" w:cs="Times New Roman"/>
                <w:bCs/>
                <w:color w:val="auto"/>
                <w:kern w:val="0"/>
                <w:szCs w:val="21"/>
                <w:highlight w:val="none"/>
              </w:rPr>
              <w:t>m</w:t>
            </w:r>
            <w:r>
              <w:rPr>
                <w:rFonts w:hint="default" w:ascii="Times New Roman" w:hAnsi="Times New Roman" w:cs="Times New Roman"/>
                <w:bCs/>
                <w:color w:val="auto"/>
                <w:kern w:val="0"/>
                <w:szCs w:val="21"/>
                <w:highlight w:val="none"/>
                <w:vertAlign w:val="superscript"/>
              </w:rPr>
              <w:t>2</w:t>
            </w:r>
          </w:p>
        </w:tc>
        <w:tc>
          <w:tcPr>
            <w:tcW w:w="837" w:type="dxa"/>
            <w:noWrap w:val="0"/>
            <w:vAlign w:val="center"/>
          </w:tcPr>
          <w:p w14:paraId="7CA195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F2AC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8BBCB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E1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F4F51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212-4</w:t>
            </w:r>
          </w:p>
        </w:tc>
        <w:tc>
          <w:tcPr>
            <w:tcW w:w="4732" w:type="dxa"/>
            <w:noWrap w:val="0"/>
            <w:vAlign w:val="center"/>
          </w:tcPr>
          <w:p w14:paraId="4DE700A4">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土钉支护</w:t>
            </w:r>
          </w:p>
        </w:tc>
        <w:tc>
          <w:tcPr>
            <w:tcW w:w="749" w:type="dxa"/>
            <w:noWrap w:val="0"/>
            <w:vAlign w:val="center"/>
          </w:tcPr>
          <w:p w14:paraId="7BB46E7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584C9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932D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0333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84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BABA7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DF7796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钻孔注浆钉</w:t>
            </w:r>
          </w:p>
        </w:tc>
        <w:tc>
          <w:tcPr>
            <w:tcW w:w="749" w:type="dxa"/>
            <w:noWrap w:val="0"/>
            <w:vAlign w:val="center"/>
          </w:tcPr>
          <w:p w14:paraId="007CAE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D4279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8E42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59ED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3E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3F13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B2D391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击入钉</w:t>
            </w:r>
          </w:p>
        </w:tc>
        <w:tc>
          <w:tcPr>
            <w:tcW w:w="749" w:type="dxa"/>
            <w:noWrap w:val="0"/>
            <w:vAlign w:val="center"/>
          </w:tcPr>
          <w:p w14:paraId="23ABCF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38323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EDE5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10E5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91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E0B4E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FF8398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749" w:type="dxa"/>
            <w:noWrap w:val="0"/>
            <w:vAlign w:val="center"/>
          </w:tcPr>
          <w:p w14:paraId="20B056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30260A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8622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C6B9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67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4760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B320AB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D3300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77B68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B4E3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79A1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75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AF36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6721E2E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466647C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6F4C9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5142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676D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D1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D821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4F511F1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网格梁、立柱、挡土板</w:t>
            </w:r>
          </w:p>
        </w:tc>
        <w:tc>
          <w:tcPr>
            <w:tcW w:w="749" w:type="dxa"/>
            <w:noWrap w:val="0"/>
            <w:vAlign w:val="center"/>
          </w:tcPr>
          <w:p w14:paraId="1AD5BD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3F85E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636A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CE41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D2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E694A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4D72C14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721ED1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DDCDA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CC0C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22F5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EC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77C8B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213</w:t>
            </w:r>
          </w:p>
        </w:tc>
        <w:tc>
          <w:tcPr>
            <w:tcW w:w="4732" w:type="dxa"/>
            <w:noWrap w:val="0"/>
            <w:vAlign w:val="center"/>
          </w:tcPr>
          <w:p w14:paraId="6CFCED8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预应力锚索边坡加固</w:t>
            </w:r>
          </w:p>
        </w:tc>
        <w:tc>
          <w:tcPr>
            <w:tcW w:w="749" w:type="dxa"/>
            <w:noWrap w:val="0"/>
            <w:vAlign w:val="center"/>
          </w:tcPr>
          <w:p w14:paraId="3E32997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2B2CE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8F1F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1CD4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DE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A5E95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213-1</w:t>
            </w:r>
          </w:p>
        </w:tc>
        <w:tc>
          <w:tcPr>
            <w:tcW w:w="4732" w:type="dxa"/>
            <w:noWrap w:val="0"/>
            <w:vAlign w:val="center"/>
          </w:tcPr>
          <w:p w14:paraId="42A6103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预应力钢绞线</w:t>
            </w:r>
          </w:p>
        </w:tc>
        <w:tc>
          <w:tcPr>
            <w:tcW w:w="749" w:type="dxa"/>
            <w:noWrap w:val="0"/>
            <w:vAlign w:val="center"/>
          </w:tcPr>
          <w:p w14:paraId="1155302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E0DAC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32F5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66F5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74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744D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213-2</w:t>
            </w:r>
          </w:p>
        </w:tc>
        <w:tc>
          <w:tcPr>
            <w:tcW w:w="4732" w:type="dxa"/>
            <w:noWrap w:val="0"/>
            <w:vAlign w:val="center"/>
          </w:tcPr>
          <w:p w14:paraId="02EC5BF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无黏结预应力钢绞线</w:t>
            </w:r>
          </w:p>
        </w:tc>
        <w:tc>
          <w:tcPr>
            <w:tcW w:w="749" w:type="dxa"/>
            <w:noWrap w:val="0"/>
            <w:vAlign w:val="center"/>
          </w:tcPr>
          <w:p w14:paraId="35954A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0A87A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B5D5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90EC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74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B42F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213-3</w:t>
            </w:r>
          </w:p>
        </w:tc>
        <w:tc>
          <w:tcPr>
            <w:tcW w:w="4732" w:type="dxa"/>
            <w:noWrap w:val="0"/>
            <w:vAlign w:val="center"/>
          </w:tcPr>
          <w:p w14:paraId="38C5EB9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309442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AE1FD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4CC3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2372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26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D1B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C77EE0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钢筋锚杆</w:t>
            </w:r>
          </w:p>
        </w:tc>
        <w:tc>
          <w:tcPr>
            <w:tcW w:w="749" w:type="dxa"/>
            <w:noWrap w:val="0"/>
            <w:vAlign w:val="center"/>
          </w:tcPr>
          <w:p w14:paraId="1D9960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946D4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83C5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88249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29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E1FC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F8935A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预应力钢筋锚杆</w:t>
            </w:r>
          </w:p>
        </w:tc>
        <w:tc>
          <w:tcPr>
            <w:tcW w:w="749" w:type="dxa"/>
            <w:noWrap w:val="0"/>
            <w:vAlign w:val="center"/>
          </w:tcPr>
          <w:p w14:paraId="64BA12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63793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210F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7219B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5C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0EC5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213-4</w:t>
            </w:r>
          </w:p>
        </w:tc>
        <w:tc>
          <w:tcPr>
            <w:tcW w:w="4732" w:type="dxa"/>
            <w:noWrap w:val="0"/>
            <w:vAlign w:val="center"/>
          </w:tcPr>
          <w:p w14:paraId="207D813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混凝土框格梁</w:t>
            </w:r>
          </w:p>
        </w:tc>
        <w:tc>
          <w:tcPr>
            <w:tcW w:w="749" w:type="dxa"/>
            <w:noWrap w:val="0"/>
            <w:vAlign w:val="center"/>
          </w:tcPr>
          <w:p w14:paraId="671986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F584B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F00A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5CCB4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AA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ECA3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213-5</w:t>
            </w:r>
          </w:p>
        </w:tc>
        <w:tc>
          <w:tcPr>
            <w:tcW w:w="4732" w:type="dxa"/>
            <w:noWrap w:val="0"/>
            <w:vAlign w:val="center"/>
          </w:tcPr>
          <w:p w14:paraId="24A6590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混凝土锚固板</w:t>
            </w:r>
          </w:p>
        </w:tc>
        <w:tc>
          <w:tcPr>
            <w:tcW w:w="749" w:type="dxa"/>
            <w:noWrap w:val="0"/>
            <w:vAlign w:val="center"/>
          </w:tcPr>
          <w:p w14:paraId="7A302EA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CA761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8D49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9507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27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9881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213-6</w:t>
            </w:r>
          </w:p>
        </w:tc>
        <w:tc>
          <w:tcPr>
            <w:tcW w:w="4732" w:type="dxa"/>
            <w:noWrap w:val="0"/>
            <w:vAlign w:val="center"/>
          </w:tcPr>
          <w:p w14:paraId="0335FBF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7A131E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415FC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307C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42C8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98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99DB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w:t>
            </w:r>
          </w:p>
        </w:tc>
        <w:tc>
          <w:tcPr>
            <w:tcW w:w="4732" w:type="dxa"/>
            <w:noWrap w:val="0"/>
            <w:vAlign w:val="center"/>
          </w:tcPr>
          <w:p w14:paraId="5148F10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抗滑桩</w:t>
            </w:r>
          </w:p>
        </w:tc>
        <w:tc>
          <w:tcPr>
            <w:tcW w:w="749" w:type="dxa"/>
            <w:noWrap w:val="0"/>
            <w:vAlign w:val="center"/>
          </w:tcPr>
          <w:p w14:paraId="6F84372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53323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BC02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8CC7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BC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8210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214-1</w:t>
            </w:r>
          </w:p>
        </w:tc>
        <w:tc>
          <w:tcPr>
            <w:tcW w:w="4732" w:type="dxa"/>
            <w:noWrap w:val="0"/>
            <w:vAlign w:val="center"/>
          </w:tcPr>
          <w:p w14:paraId="6F00BB1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现浇混凝土桩</w:t>
            </w:r>
          </w:p>
        </w:tc>
        <w:tc>
          <w:tcPr>
            <w:tcW w:w="749" w:type="dxa"/>
            <w:noWrap w:val="0"/>
            <w:vAlign w:val="center"/>
          </w:tcPr>
          <w:p w14:paraId="481303A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78DA5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659D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652A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05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AB53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2A9F5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445F2F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11C94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5455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A42E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58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E360E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214-2</w:t>
            </w:r>
          </w:p>
        </w:tc>
        <w:tc>
          <w:tcPr>
            <w:tcW w:w="4732" w:type="dxa"/>
            <w:noWrap w:val="0"/>
            <w:vAlign w:val="center"/>
          </w:tcPr>
          <w:p w14:paraId="6961F49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桩板式抗滑挡墙</w:t>
            </w:r>
          </w:p>
        </w:tc>
        <w:tc>
          <w:tcPr>
            <w:tcW w:w="749" w:type="dxa"/>
            <w:noWrap w:val="0"/>
            <w:vAlign w:val="center"/>
          </w:tcPr>
          <w:p w14:paraId="4A41626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C0813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2AA3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377D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65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F945D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7D1D5DC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挡土板</w:t>
            </w:r>
          </w:p>
        </w:tc>
        <w:tc>
          <w:tcPr>
            <w:tcW w:w="749" w:type="dxa"/>
            <w:noWrap w:val="0"/>
            <w:vAlign w:val="center"/>
          </w:tcPr>
          <w:p w14:paraId="0AE667C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C660D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A4C1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BE50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F8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8EDE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214-3</w:t>
            </w:r>
          </w:p>
        </w:tc>
        <w:tc>
          <w:tcPr>
            <w:tcW w:w="4732" w:type="dxa"/>
            <w:noWrap w:val="0"/>
            <w:vAlign w:val="center"/>
          </w:tcPr>
          <w:p w14:paraId="73394B3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3DEFB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A5735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72D4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8FFD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7C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8C779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215</w:t>
            </w:r>
          </w:p>
        </w:tc>
        <w:tc>
          <w:tcPr>
            <w:tcW w:w="4732" w:type="dxa"/>
            <w:noWrap w:val="0"/>
            <w:vAlign w:val="center"/>
          </w:tcPr>
          <w:p w14:paraId="03115BD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河道防护</w:t>
            </w:r>
          </w:p>
        </w:tc>
        <w:tc>
          <w:tcPr>
            <w:tcW w:w="749" w:type="dxa"/>
            <w:noWrap w:val="0"/>
            <w:vAlign w:val="center"/>
          </w:tcPr>
          <w:p w14:paraId="50FCE35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ADE64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B373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B796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46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41C03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215-1</w:t>
            </w:r>
          </w:p>
        </w:tc>
        <w:tc>
          <w:tcPr>
            <w:tcW w:w="4732" w:type="dxa"/>
            <w:noWrap w:val="0"/>
            <w:vAlign w:val="center"/>
          </w:tcPr>
          <w:p w14:paraId="3BC0EBBD">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河床铺砌</w:t>
            </w:r>
          </w:p>
        </w:tc>
        <w:tc>
          <w:tcPr>
            <w:tcW w:w="749" w:type="dxa"/>
            <w:noWrap w:val="0"/>
            <w:vAlign w:val="center"/>
          </w:tcPr>
          <w:p w14:paraId="2992A21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3D2B0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B06B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E0E9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5A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13B1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D37939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37425A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DA481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9F9D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7BAF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57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FA5C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59C9C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混凝土铺砌</w:t>
            </w:r>
          </w:p>
        </w:tc>
        <w:tc>
          <w:tcPr>
            <w:tcW w:w="749" w:type="dxa"/>
            <w:noWrap w:val="0"/>
            <w:vAlign w:val="center"/>
          </w:tcPr>
          <w:p w14:paraId="37DF6F1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727B9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7A7B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FE34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ED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705F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215-2</w:t>
            </w:r>
          </w:p>
        </w:tc>
        <w:tc>
          <w:tcPr>
            <w:tcW w:w="4732" w:type="dxa"/>
            <w:noWrap w:val="0"/>
            <w:vAlign w:val="center"/>
          </w:tcPr>
          <w:p w14:paraId="3E896AF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导流设施（护岸墙、顺坝、丁坝、调水坝、锥坡）</w:t>
            </w:r>
          </w:p>
        </w:tc>
        <w:tc>
          <w:tcPr>
            <w:tcW w:w="749" w:type="dxa"/>
            <w:noWrap w:val="0"/>
            <w:vAlign w:val="center"/>
          </w:tcPr>
          <w:p w14:paraId="535E5BB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p>
        </w:tc>
        <w:tc>
          <w:tcPr>
            <w:tcW w:w="837" w:type="dxa"/>
            <w:noWrap w:val="0"/>
            <w:vAlign w:val="center"/>
          </w:tcPr>
          <w:p w14:paraId="1A9DF4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04AF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1893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86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B0DF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C2B00D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1E2CB59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7E421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F8C3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7336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AE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DE4D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4B858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575AE1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78E3D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71A5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4D36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0A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CE0FB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CD56C8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石笼</w:t>
            </w:r>
          </w:p>
        </w:tc>
        <w:tc>
          <w:tcPr>
            <w:tcW w:w="749" w:type="dxa"/>
            <w:noWrap w:val="0"/>
            <w:vAlign w:val="center"/>
          </w:tcPr>
          <w:p w14:paraId="6CE3B4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884EF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81E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8E2F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BE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96B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215-3</w:t>
            </w:r>
          </w:p>
        </w:tc>
        <w:tc>
          <w:tcPr>
            <w:tcW w:w="4732" w:type="dxa"/>
            <w:noWrap w:val="0"/>
            <w:vAlign w:val="center"/>
          </w:tcPr>
          <w:p w14:paraId="46A3A27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抛石防护</w:t>
            </w:r>
          </w:p>
        </w:tc>
        <w:tc>
          <w:tcPr>
            <w:tcW w:w="749" w:type="dxa"/>
            <w:noWrap w:val="0"/>
            <w:vAlign w:val="center"/>
          </w:tcPr>
          <w:p w14:paraId="1FA398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869A6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8852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D60A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3B4048AA">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清单第200章合计  人民币</w:t>
            </w:r>
            <w:r>
              <w:rPr>
                <w:rFonts w:hint="default" w:ascii="Times New Roman" w:hAnsi="Times New Roman" w:cs="Times New Roman"/>
                <w:color w:val="auto"/>
                <w:szCs w:val="21"/>
                <w:highlight w:val="none"/>
                <w:u w:val="single"/>
              </w:rPr>
              <w:t xml:space="preserve">                    </w:t>
            </w:r>
          </w:p>
        </w:tc>
      </w:tr>
    </w:tbl>
    <w:p w14:paraId="4EDB74EE">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3BFBE49D">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4072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D6EB86C">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2B08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E403C6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2B21041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4782EEE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232E3A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A9C821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2590DF6">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633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6F766A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2340254A">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42EC7ED">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690E6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5A5EC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6F0FF7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C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0B76CE7A">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3F19541D">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89BBADB">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35E21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18691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326DFF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B3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543D00F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538825E1">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tcBorders>
              <w:top w:val="single" w:color="auto" w:sz="4" w:space="0"/>
              <w:left w:val="single" w:color="auto" w:sz="4" w:space="0"/>
              <w:right w:val="single" w:color="auto" w:sz="4" w:space="0"/>
            </w:tcBorders>
            <w:noWrap w:val="0"/>
            <w:vAlign w:val="top"/>
          </w:tcPr>
          <w:p w14:paraId="6267B07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tcBorders>
              <w:top w:val="single" w:color="auto" w:sz="4" w:space="0"/>
              <w:left w:val="single" w:color="auto" w:sz="4" w:space="0"/>
              <w:right w:val="single" w:color="auto" w:sz="4" w:space="0"/>
            </w:tcBorders>
            <w:noWrap w:val="0"/>
            <w:vAlign w:val="center"/>
          </w:tcPr>
          <w:p w14:paraId="202114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56C0B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82C59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B7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D6A70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302-2</w:t>
            </w:r>
          </w:p>
        </w:tc>
        <w:tc>
          <w:tcPr>
            <w:tcW w:w="4732" w:type="dxa"/>
            <w:noWrap w:val="0"/>
            <w:vAlign w:val="top"/>
          </w:tcPr>
          <w:p w14:paraId="0E8A5287">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top"/>
          </w:tcPr>
          <w:p w14:paraId="1D63D49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2090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887B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5333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B6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4F94D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8676FB5">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626D5C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B8369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6B31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8A98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E2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DDA97F">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302-3</w:t>
            </w:r>
          </w:p>
        </w:tc>
        <w:tc>
          <w:tcPr>
            <w:tcW w:w="4732" w:type="dxa"/>
            <w:noWrap w:val="0"/>
            <w:vAlign w:val="top"/>
          </w:tcPr>
          <w:p w14:paraId="2FFE1DDA">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水泥稳定土垫层</w:t>
            </w:r>
          </w:p>
        </w:tc>
        <w:tc>
          <w:tcPr>
            <w:tcW w:w="749" w:type="dxa"/>
            <w:noWrap w:val="0"/>
            <w:vAlign w:val="top"/>
          </w:tcPr>
          <w:p w14:paraId="580A8B6B">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F93B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964C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4BAF2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1B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60AADDF">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DA7FBF4">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746591F">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EDAC3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A4F8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83B3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5E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C015FC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302-4</w:t>
            </w:r>
          </w:p>
        </w:tc>
        <w:tc>
          <w:tcPr>
            <w:tcW w:w="4732" w:type="dxa"/>
            <w:noWrap w:val="0"/>
            <w:vAlign w:val="top"/>
          </w:tcPr>
          <w:p w14:paraId="4A14EB43">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石灰稳定土垫层</w:t>
            </w:r>
          </w:p>
        </w:tc>
        <w:tc>
          <w:tcPr>
            <w:tcW w:w="749" w:type="dxa"/>
            <w:noWrap w:val="0"/>
            <w:vAlign w:val="top"/>
          </w:tcPr>
          <w:p w14:paraId="74958D6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ABC6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31B6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5509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D8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C5BB3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ACF6FF1">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030D76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A9959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384C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FE4AB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4A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77CF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303</w:t>
            </w:r>
          </w:p>
        </w:tc>
        <w:tc>
          <w:tcPr>
            <w:tcW w:w="4732" w:type="dxa"/>
            <w:noWrap w:val="0"/>
            <w:vAlign w:val="center"/>
          </w:tcPr>
          <w:p w14:paraId="569A69D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石灰稳定土底基层、基层</w:t>
            </w:r>
          </w:p>
        </w:tc>
        <w:tc>
          <w:tcPr>
            <w:tcW w:w="749" w:type="dxa"/>
            <w:noWrap w:val="0"/>
            <w:vAlign w:val="top"/>
          </w:tcPr>
          <w:p w14:paraId="38EB8FF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4EC9F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D0C1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9DEF0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A9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5DBC9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303-1</w:t>
            </w:r>
          </w:p>
        </w:tc>
        <w:tc>
          <w:tcPr>
            <w:tcW w:w="4732" w:type="dxa"/>
            <w:noWrap w:val="0"/>
            <w:vAlign w:val="top"/>
          </w:tcPr>
          <w:p w14:paraId="6F9C086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石灰稳定土底基层</w:t>
            </w:r>
          </w:p>
        </w:tc>
        <w:tc>
          <w:tcPr>
            <w:tcW w:w="749" w:type="dxa"/>
            <w:noWrap w:val="0"/>
            <w:vAlign w:val="top"/>
          </w:tcPr>
          <w:p w14:paraId="7D5DCA2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25312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7EC0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C4BC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D6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62A98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E99F8E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8B6A41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E1AD8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993F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82CA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44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2B12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303-2</w:t>
            </w:r>
          </w:p>
        </w:tc>
        <w:tc>
          <w:tcPr>
            <w:tcW w:w="4732" w:type="dxa"/>
            <w:noWrap w:val="0"/>
            <w:vAlign w:val="top"/>
          </w:tcPr>
          <w:p w14:paraId="3AC6D67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搭板、埋板下石灰稳定土底基层</w:t>
            </w:r>
          </w:p>
        </w:tc>
        <w:tc>
          <w:tcPr>
            <w:tcW w:w="749" w:type="dxa"/>
            <w:noWrap w:val="0"/>
            <w:vAlign w:val="top"/>
          </w:tcPr>
          <w:p w14:paraId="348742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9F141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C320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13A5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D0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4F2540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303-3</w:t>
            </w:r>
          </w:p>
        </w:tc>
        <w:tc>
          <w:tcPr>
            <w:tcW w:w="4732" w:type="dxa"/>
            <w:noWrap w:val="0"/>
            <w:vAlign w:val="top"/>
          </w:tcPr>
          <w:p w14:paraId="7D88E64E">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石灰稳定土基层</w:t>
            </w:r>
          </w:p>
        </w:tc>
        <w:tc>
          <w:tcPr>
            <w:tcW w:w="749" w:type="dxa"/>
            <w:noWrap w:val="0"/>
            <w:vAlign w:val="top"/>
          </w:tcPr>
          <w:p w14:paraId="2D7B0A0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B3AF7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9962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AD61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0A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3BBAD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59FD87D">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62E01A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75A0D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D2FE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87D3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8F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8FE1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304</w:t>
            </w:r>
          </w:p>
        </w:tc>
        <w:tc>
          <w:tcPr>
            <w:tcW w:w="4732" w:type="dxa"/>
            <w:noWrap w:val="0"/>
            <w:vAlign w:val="center"/>
          </w:tcPr>
          <w:p w14:paraId="6FF2093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水泥稳定土底基层、基层</w:t>
            </w:r>
          </w:p>
        </w:tc>
        <w:tc>
          <w:tcPr>
            <w:tcW w:w="749" w:type="dxa"/>
            <w:noWrap w:val="0"/>
            <w:vAlign w:val="top"/>
          </w:tcPr>
          <w:p w14:paraId="6BC10EC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42C66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C357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2416B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84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EBA9D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304-1</w:t>
            </w:r>
          </w:p>
        </w:tc>
        <w:tc>
          <w:tcPr>
            <w:tcW w:w="4732" w:type="dxa"/>
            <w:noWrap w:val="0"/>
            <w:vAlign w:val="top"/>
          </w:tcPr>
          <w:p w14:paraId="25E0BD1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水泥稳定土底基层</w:t>
            </w:r>
          </w:p>
        </w:tc>
        <w:tc>
          <w:tcPr>
            <w:tcW w:w="749" w:type="dxa"/>
            <w:noWrap w:val="0"/>
            <w:vAlign w:val="top"/>
          </w:tcPr>
          <w:p w14:paraId="7A760D0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2525C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E989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EF21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1C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E7E7D7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BDB2A9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1FD963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1D74E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B3AC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3A59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E2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8A9460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304-2</w:t>
            </w:r>
          </w:p>
        </w:tc>
        <w:tc>
          <w:tcPr>
            <w:tcW w:w="4732" w:type="dxa"/>
            <w:noWrap w:val="0"/>
            <w:vAlign w:val="top"/>
          </w:tcPr>
          <w:p w14:paraId="073323D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搭板、埋板下水泥稳定土底基层</w:t>
            </w:r>
          </w:p>
        </w:tc>
        <w:tc>
          <w:tcPr>
            <w:tcW w:w="749" w:type="dxa"/>
            <w:noWrap w:val="0"/>
            <w:vAlign w:val="top"/>
          </w:tcPr>
          <w:p w14:paraId="5871E7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CDD1C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BA67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40AAD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62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150EDE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304-3</w:t>
            </w:r>
          </w:p>
        </w:tc>
        <w:tc>
          <w:tcPr>
            <w:tcW w:w="4732" w:type="dxa"/>
            <w:noWrap w:val="0"/>
            <w:vAlign w:val="top"/>
          </w:tcPr>
          <w:p w14:paraId="54191FE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水泥稳定土基层</w:t>
            </w:r>
          </w:p>
        </w:tc>
        <w:tc>
          <w:tcPr>
            <w:tcW w:w="749" w:type="dxa"/>
            <w:noWrap w:val="0"/>
            <w:vAlign w:val="top"/>
          </w:tcPr>
          <w:p w14:paraId="6B2A9A0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219E2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DBCC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85022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3C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34EF8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279FFC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D2A7CF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CA94E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4F9F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7C7B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5E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9705A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w:t>
            </w:r>
          </w:p>
        </w:tc>
        <w:tc>
          <w:tcPr>
            <w:tcW w:w="4732" w:type="dxa"/>
            <w:noWrap w:val="0"/>
            <w:vAlign w:val="center"/>
          </w:tcPr>
          <w:p w14:paraId="4773F8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石灰粉煤灰稳定土底基层、基层</w:t>
            </w:r>
          </w:p>
        </w:tc>
        <w:tc>
          <w:tcPr>
            <w:tcW w:w="749" w:type="dxa"/>
            <w:noWrap w:val="0"/>
            <w:vAlign w:val="top"/>
          </w:tcPr>
          <w:p w14:paraId="5B6C09F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FD34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676E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8F897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B7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BCA22C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305-1</w:t>
            </w:r>
          </w:p>
        </w:tc>
        <w:tc>
          <w:tcPr>
            <w:tcW w:w="4732" w:type="dxa"/>
            <w:noWrap w:val="0"/>
            <w:vAlign w:val="top"/>
          </w:tcPr>
          <w:p w14:paraId="53327FAF">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石灰粉煤灰稳定土底基层</w:t>
            </w:r>
          </w:p>
        </w:tc>
        <w:tc>
          <w:tcPr>
            <w:tcW w:w="749" w:type="dxa"/>
            <w:noWrap w:val="0"/>
            <w:vAlign w:val="top"/>
          </w:tcPr>
          <w:p w14:paraId="610CFED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D3A7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D2C1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EF935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ED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A150E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C121C3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FB5BEA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BD7C5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9A3D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CAD9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AE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E036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305-2</w:t>
            </w:r>
          </w:p>
        </w:tc>
        <w:tc>
          <w:tcPr>
            <w:tcW w:w="4732" w:type="dxa"/>
            <w:noWrap w:val="0"/>
            <w:vAlign w:val="center"/>
          </w:tcPr>
          <w:p w14:paraId="27F55FBC">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搭板、埋板下石灰粉煤灰稳定土底基层</w:t>
            </w:r>
          </w:p>
        </w:tc>
        <w:tc>
          <w:tcPr>
            <w:tcW w:w="749" w:type="dxa"/>
            <w:noWrap w:val="0"/>
            <w:vAlign w:val="top"/>
          </w:tcPr>
          <w:p w14:paraId="28713B0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7C5D1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8359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CF8D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30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C298E7">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305-3</w:t>
            </w:r>
          </w:p>
        </w:tc>
        <w:tc>
          <w:tcPr>
            <w:tcW w:w="4732" w:type="dxa"/>
            <w:noWrap w:val="0"/>
            <w:vAlign w:val="center"/>
          </w:tcPr>
          <w:p w14:paraId="49E9186E">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石灰粉煤灰稳定土基层</w:t>
            </w:r>
          </w:p>
        </w:tc>
        <w:tc>
          <w:tcPr>
            <w:tcW w:w="749" w:type="dxa"/>
            <w:noWrap w:val="0"/>
            <w:vAlign w:val="top"/>
          </w:tcPr>
          <w:p w14:paraId="6CC605C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F8B9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05F5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54C9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C8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6FA4A9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E3C12E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00DE1D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F92FC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8826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5796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B0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09D22D">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305-4</w:t>
            </w:r>
          </w:p>
        </w:tc>
        <w:tc>
          <w:tcPr>
            <w:tcW w:w="4732" w:type="dxa"/>
            <w:noWrap w:val="0"/>
            <w:vAlign w:val="center"/>
          </w:tcPr>
          <w:p w14:paraId="4F9BD8D7">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石灰煤渣稳定土基层</w:t>
            </w:r>
          </w:p>
        </w:tc>
        <w:tc>
          <w:tcPr>
            <w:tcW w:w="749" w:type="dxa"/>
            <w:noWrap w:val="0"/>
            <w:vAlign w:val="center"/>
          </w:tcPr>
          <w:p w14:paraId="2F155431">
            <w:pPr>
              <w:pageBreakBefore w:val="0"/>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109AF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8721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3E13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8F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CD5104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FA8BCAF">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0590B4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A4848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CE9A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FC483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BB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26FD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306</w:t>
            </w:r>
          </w:p>
        </w:tc>
        <w:tc>
          <w:tcPr>
            <w:tcW w:w="4732" w:type="dxa"/>
            <w:noWrap w:val="0"/>
            <w:vAlign w:val="center"/>
          </w:tcPr>
          <w:p w14:paraId="255B744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级配碎（砾）石底基层、基层</w:t>
            </w:r>
          </w:p>
        </w:tc>
        <w:tc>
          <w:tcPr>
            <w:tcW w:w="749" w:type="dxa"/>
            <w:noWrap w:val="0"/>
            <w:vAlign w:val="center"/>
          </w:tcPr>
          <w:p w14:paraId="54B75403">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429BC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95DD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A4FA1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CA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10CFD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306-1</w:t>
            </w:r>
          </w:p>
        </w:tc>
        <w:tc>
          <w:tcPr>
            <w:tcW w:w="4732" w:type="dxa"/>
            <w:noWrap w:val="0"/>
            <w:vAlign w:val="center"/>
          </w:tcPr>
          <w:p w14:paraId="15A93E63">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级配碎石底基层</w:t>
            </w:r>
          </w:p>
        </w:tc>
        <w:tc>
          <w:tcPr>
            <w:tcW w:w="749" w:type="dxa"/>
            <w:noWrap w:val="0"/>
            <w:vAlign w:val="center"/>
          </w:tcPr>
          <w:p w14:paraId="0F7549A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F2646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9747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7468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A7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9F6E7A">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640E597">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2D16E2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EEE12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430D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4ACF7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2F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5266ABCD">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0B7D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5569F09A">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6DF2F0D9">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1CB0D5EB">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00A1CB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E3B21D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0D8605A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509E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EFB30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306-2</w:t>
            </w:r>
          </w:p>
        </w:tc>
        <w:tc>
          <w:tcPr>
            <w:tcW w:w="4732" w:type="dxa"/>
            <w:noWrap w:val="0"/>
            <w:vAlign w:val="top"/>
          </w:tcPr>
          <w:p w14:paraId="16AC1B2E">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搭板、埋板下级配碎石底基层</w:t>
            </w:r>
          </w:p>
        </w:tc>
        <w:tc>
          <w:tcPr>
            <w:tcW w:w="749" w:type="dxa"/>
            <w:noWrap w:val="0"/>
            <w:vAlign w:val="top"/>
          </w:tcPr>
          <w:p w14:paraId="1FCC9EED">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3F489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2D03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C8A5E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70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239DFA">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306-3</w:t>
            </w:r>
          </w:p>
        </w:tc>
        <w:tc>
          <w:tcPr>
            <w:tcW w:w="4732" w:type="dxa"/>
            <w:noWrap w:val="0"/>
            <w:vAlign w:val="center"/>
          </w:tcPr>
          <w:p w14:paraId="3B1FD1CE">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级配碎石基层</w:t>
            </w:r>
          </w:p>
        </w:tc>
        <w:tc>
          <w:tcPr>
            <w:tcW w:w="749" w:type="dxa"/>
            <w:noWrap w:val="0"/>
            <w:vAlign w:val="center"/>
          </w:tcPr>
          <w:p w14:paraId="79373F81">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0C79D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F77A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E836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C3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3CC2C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CE9CF69">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4071EF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EBE07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89FD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E51D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BD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76026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306-4</w:t>
            </w:r>
          </w:p>
        </w:tc>
        <w:tc>
          <w:tcPr>
            <w:tcW w:w="4732" w:type="dxa"/>
            <w:noWrap w:val="0"/>
            <w:vAlign w:val="center"/>
          </w:tcPr>
          <w:p w14:paraId="5771246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级配砾石底基层</w:t>
            </w:r>
          </w:p>
        </w:tc>
        <w:tc>
          <w:tcPr>
            <w:tcW w:w="749" w:type="dxa"/>
            <w:noWrap w:val="0"/>
            <w:vAlign w:val="center"/>
          </w:tcPr>
          <w:p w14:paraId="3C18C0A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C4DDA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A9DB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A887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31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54AB5D">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F5A7936">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A65117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408B6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03F7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43D1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0C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4415B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306-5</w:t>
            </w:r>
          </w:p>
        </w:tc>
        <w:tc>
          <w:tcPr>
            <w:tcW w:w="4732" w:type="dxa"/>
            <w:noWrap w:val="0"/>
            <w:vAlign w:val="center"/>
          </w:tcPr>
          <w:p w14:paraId="3672E937">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搭板、埋板下级配砾石底基层</w:t>
            </w:r>
          </w:p>
        </w:tc>
        <w:tc>
          <w:tcPr>
            <w:tcW w:w="749" w:type="dxa"/>
            <w:noWrap w:val="0"/>
            <w:vAlign w:val="top"/>
          </w:tcPr>
          <w:p w14:paraId="1E27157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8B714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A976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249E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29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952FD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306-6</w:t>
            </w:r>
          </w:p>
        </w:tc>
        <w:tc>
          <w:tcPr>
            <w:tcW w:w="4732" w:type="dxa"/>
            <w:noWrap w:val="0"/>
            <w:vAlign w:val="center"/>
          </w:tcPr>
          <w:p w14:paraId="44774FEF">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级配砾石基层</w:t>
            </w:r>
          </w:p>
        </w:tc>
        <w:tc>
          <w:tcPr>
            <w:tcW w:w="749" w:type="dxa"/>
            <w:noWrap w:val="0"/>
            <w:vAlign w:val="center"/>
          </w:tcPr>
          <w:p w14:paraId="0B6D3B7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174E5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625D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D472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C6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D62CEA">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55DF51D">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3EA0A1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0BE8A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F483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FB67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6D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03D5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307</w:t>
            </w:r>
          </w:p>
        </w:tc>
        <w:tc>
          <w:tcPr>
            <w:tcW w:w="4732" w:type="dxa"/>
            <w:noWrap w:val="0"/>
            <w:vAlign w:val="center"/>
          </w:tcPr>
          <w:p w14:paraId="557A101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沥青稳定碎石基层（ATB）</w:t>
            </w:r>
          </w:p>
        </w:tc>
        <w:tc>
          <w:tcPr>
            <w:tcW w:w="749" w:type="dxa"/>
            <w:noWrap w:val="0"/>
            <w:vAlign w:val="top"/>
          </w:tcPr>
          <w:p w14:paraId="1A10152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D6D3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BBBB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B7C7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A8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28607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307-1</w:t>
            </w:r>
          </w:p>
        </w:tc>
        <w:tc>
          <w:tcPr>
            <w:tcW w:w="4732" w:type="dxa"/>
            <w:noWrap w:val="0"/>
            <w:vAlign w:val="top"/>
          </w:tcPr>
          <w:p w14:paraId="3110F288">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沥青稳定碎石基层（ATB）</w:t>
            </w:r>
          </w:p>
        </w:tc>
        <w:tc>
          <w:tcPr>
            <w:tcW w:w="749" w:type="dxa"/>
            <w:noWrap w:val="0"/>
            <w:vAlign w:val="top"/>
          </w:tcPr>
          <w:p w14:paraId="2828229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7367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0C81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46BB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27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EE59D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B52E91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B994E7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E9D8C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880F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9953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07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C624AB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BDDCD57">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20A0C1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CB1D0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2A73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1643A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47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5B85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308</w:t>
            </w:r>
          </w:p>
        </w:tc>
        <w:tc>
          <w:tcPr>
            <w:tcW w:w="4732" w:type="dxa"/>
            <w:noWrap w:val="0"/>
            <w:vAlign w:val="center"/>
          </w:tcPr>
          <w:p w14:paraId="4F6A2E3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透层和黏层</w:t>
            </w:r>
          </w:p>
        </w:tc>
        <w:tc>
          <w:tcPr>
            <w:tcW w:w="749" w:type="dxa"/>
            <w:noWrap w:val="0"/>
            <w:vAlign w:val="top"/>
          </w:tcPr>
          <w:p w14:paraId="7B0D923E">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7F22D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4E47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F91D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15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8732FE">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-1</w:t>
            </w:r>
          </w:p>
        </w:tc>
        <w:tc>
          <w:tcPr>
            <w:tcW w:w="4732" w:type="dxa"/>
            <w:noWrap w:val="0"/>
            <w:vAlign w:val="top"/>
          </w:tcPr>
          <w:p w14:paraId="42CC6459">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透层</w:t>
            </w:r>
          </w:p>
        </w:tc>
        <w:tc>
          <w:tcPr>
            <w:tcW w:w="749" w:type="dxa"/>
            <w:noWrap w:val="0"/>
            <w:vAlign w:val="top"/>
          </w:tcPr>
          <w:p w14:paraId="2CF31F5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0375F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684F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1AA6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B4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8DB118">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-2</w:t>
            </w:r>
          </w:p>
        </w:tc>
        <w:tc>
          <w:tcPr>
            <w:tcW w:w="4732" w:type="dxa"/>
            <w:noWrap w:val="0"/>
            <w:vAlign w:val="top"/>
          </w:tcPr>
          <w:p w14:paraId="245DF14C">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黏层</w:t>
            </w:r>
          </w:p>
        </w:tc>
        <w:tc>
          <w:tcPr>
            <w:tcW w:w="749" w:type="dxa"/>
            <w:noWrap w:val="0"/>
            <w:vAlign w:val="top"/>
          </w:tcPr>
          <w:p w14:paraId="2F3F3B82">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0F591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500D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68695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8B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6520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309</w:t>
            </w:r>
          </w:p>
        </w:tc>
        <w:tc>
          <w:tcPr>
            <w:tcW w:w="4732" w:type="dxa"/>
            <w:noWrap w:val="0"/>
            <w:vAlign w:val="center"/>
          </w:tcPr>
          <w:p w14:paraId="452F535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热拌沥青混合料面层</w:t>
            </w:r>
          </w:p>
        </w:tc>
        <w:tc>
          <w:tcPr>
            <w:tcW w:w="749" w:type="dxa"/>
            <w:noWrap w:val="0"/>
            <w:vAlign w:val="top"/>
          </w:tcPr>
          <w:p w14:paraId="7EBCF75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BF93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EB5A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EB2F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32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6D9D42A">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309-1</w:t>
            </w:r>
          </w:p>
        </w:tc>
        <w:tc>
          <w:tcPr>
            <w:tcW w:w="4732" w:type="dxa"/>
            <w:noWrap w:val="0"/>
            <w:vAlign w:val="top"/>
          </w:tcPr>
          <w:p w14:paraId="1649CB9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细粒式沥青混凝土</w:t>
            </w:r>
          </w:p>
        </w:tc>
        <w:tc>
          <w:tcPr>
            <w:tcW w:w="749" w:type="dxa"/>
            <w:noWrap w:val="0"/>
            <w:vAlign w:val="top"/>
          </w:tcPr>
          <w:p w14:paraId="5A451B9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1CA8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A55D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E640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6B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BBCA12F">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5EB5B1A0">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789C5C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9009D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B249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6634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EF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A483F1B">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55C7A978">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0FBA36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08FF3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0376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F85C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23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C9FD45">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309-2</w:t>
            </w:r>
          </w:p>
        </w:tc>
        <w:tc>
          <w:tcPr>
            <w:tcW w:w="4732" w:type="dxa"/>
            <w:noWrap w:val="0"/>
            <w:vAlign w:val="top"/>
          </w:tcPr>
          <w:p w14:paraId="4D36115F">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中粒式沥青混凝土</w:t>
            </w:r>
          </w:p>
        </w:tc>
        <w:tc>
          <w:tcPr>
            <w:tcW w:w="749" w:type="dxa"/>
            <w:noWrap w:val="0"/>
            <w:vAlign w:val="top"/>
          </w:tcPr>
          <w:p w14:paraId="0C7F138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96CE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AC81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F7D9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6F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84E5A23">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2244FE0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4FBA49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4CBB6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2AF0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0B6A6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0A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B461564">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72782CF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7174DE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AA56F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8687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A0F7A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E5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9550FC">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309-3</w:t>
            </w:r>
          </w:p>
        </w:tc>
        <w:tc>
          <w:tcPr>
            <w:tcW w:w="4732" w:type="dxa"/>
            <w:noWrap w:val="0"/>
            <w:vAlign w:val="top"/>
          </w:tcPr>
          <w:p w14:paraId="301292A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粗粒式沥青混凝土</w:t>
            </w:r>
          </w:p>
        </w:tc>
        <w:tc>
          <w:tcPr>
            <w:tcW w:w="749" w:type="dxa"/>
            <w:noWrap w:val="0"/>
            <w:vAlign w:val="top"/>
          </w:tcPr>
          <w:p w14:paraId="0AC10D0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913C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C92B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2A42D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4F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1F5C62">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4C606E0B">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9E41B5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248BF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5FDE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8991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E8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8BFDD59">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6330789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903817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A13E1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AC7D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15033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0A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0125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310</w:t>
            </w:r>
          </w:p>
        </w:tc>
        <w:tc>
          <w:tcPr>
            <w:tcW w:w="4732" w:type="dxa"/>
            <w:noWrap w:val="0"/>
            <w:vAlign w:val="center"/>
          </w:tcPr>
          <w:p w14:paraId="4EFC62B4">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沥青表面处置与封层</w:t>
            </w:r>
          </w:p>
        </w:tc>
        <w:tc>
          <w:tcPr>
            <w:tcW w:w="749" w:type="dxa"/>
            <w:noWrap w:val="0"/>
            <w:vAlign w:val="top"/>
          </w:tcPr>
          <w:p w14:paraId="7853B670">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530CA7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3F56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4283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BC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97C8684">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-1</w:t>
            </w:r>
          </w:p>
        </w:tc>
        <w:tc>
          <w:tcPr>
            <w:tcW w:w="4732" w:type="dxa"/>
            <w:noWrap w:val="0"/>
            <w:vAlign w:val="top"/>
          </w:tcPr>
          <w:p w14:paraId="4796C99D">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沥青表面处</w:t>
            </w:r>
            <w:r>
              <w:rPr>
                <w:rFonts w:hint="default" w:ascii="Times New Roman" w:hAnsi="Times New Roman" w:cs="Times New Roman"/>
                <w:color w:val="auto"/>
                <w:kern w:val="0"/>
                <w:szCs w:val="21"/>
                <w:highlight w:val="none"/>
              </w:rPr>
              <w:t>置</w:t>
            </w:r>
          </w:p>
        </w:tc>
        <w:tc>
          <w:tcPr>
            <w:tcW w:w="749" w:type="dxa"/>
            <w:noWrap w:val="0"/>
            <w:vAlign w:val="top"/>
          </w:tcPr>
          <w:p w14:paraId="480D6D12">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34A9D7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9FAE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F2093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18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CB2E484">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AAB61B0">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67C04B4">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A9761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2DA3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2678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64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C8A140">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62415BFA">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FBF05D7">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9E0E4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E669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2C95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51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31E4A4">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-2</w:t>
            </w:r>
          </w:p>
        </w:tc>
        <w:tc>
          <w:tcPr>
            <w:tcW w:w="4732" w:type="dxa"/>
            <w:noWrap w:val="0"/>
            <w:vAlign w:val="top"/>
          </w:tcPr>
          <w:p w14:paraId="48FA63F9">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封层</w:t>
            </w:r>
          </w:p>
        </w:tc>
        <w:tc>
          <w:tcPr>
            <w:tcW w:w="749" w:type="dxa"/>
            <w:noWrap w:val="0"/>
            <w:vAlign w:val="top"/>
          </w:tcPr>
          <w:p w14:paraId="212B6F0C">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B79BC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22ED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ED09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7B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EF32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311</w:t>
            </w:r>
          </w:p>
        </w:tc>
        <w:tc>
          <w:tcPr>
            <w:tcW w:w="4732" w:type="dxa"/>
            <w:noWrap w:val="0"/>
            <w:vAlign w:val="center"/>
          </w:tcPr>
          <w:p w14:paraId="5AC5F12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改性沥青及改性沥青混合料</w:t>
            </w:r>
          </w:p>
        </w:tc>
        <w:tc>
          <w:tcPr>
            <w:tcW w:w="749" w:type="dxa"/>
            <w:noWrap w:val="0"/>
            <w:vAlign w:val="top"/>
          </w:tcPr>
          <w:p w14:paraId="701CB54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88BF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C678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DAA3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4B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76EA5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311-1</w:t>
            </w:r>
          </w:p>
        </w:tc>
        <w:tc>
          <w:tcPr>
            <w:tcW w:w="4732" w:type="dxa"/>
            <w:noWrap w:val="0"/>
            <w:vAlign w:val="top"/>
          </w:tcPr>
          <w:p w14:paraId="144DEC16">
            <w:pPr>
              <w:pageBreakBefore w:val="0"/>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细粒式改性沥青混合料路面</w:t>
            </w:r>
          </w:p>
        </w:tc>
        <w:tc>
          <w:tcPr>
            <w:tcW w:w="749" w:type="dxa"/>
            <w:noWrap w:val="0"/>
            <w:vAlign w:val="top"/>
          </w:tcPr>
          <w:p w14:paraId="74D5C28A">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9E01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7CA3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8FD7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CA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8A83E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0CD896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81459B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71E15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2DCF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85D8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46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BAD321A">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4BAD254">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8F02CC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BEAEF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932C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B5BA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2B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CE1ECD">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311-2</w:t>
            </w:r>
          </w:p>
        </w:tc>
        <w:tc>
          <w:tcPr>
            <w:tcW w:w="4732" w:type="dxa"/>
            <w:noWrap w:val="0"/>
            <w:vAlign w:val="top"/>
          </w:tcPr>
          <w:p w14:paraId="25219EBB">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中粒式改性沥青混合料路面</w:t>
            </w:r>
          </w:p>
        </w:tc>
        <w:tc>
          <w:tcPr>
            <w:tcW w:w="749" w:type="dxa"/>
            <w:noWrap w:val="0"/>
            <w:vAlign w:val="top"/>
          </w:tcPr>
          <w:p w14:paraId="501986F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CC7A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6FC7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5FB5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03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223E7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97A728B">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EDB5B8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181FD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7C23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AB5D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D9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86D6B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44C5D4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2BAECA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756BB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3D2A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F68E5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43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C4C286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311-3</w:t>
            </w:r>
          </w:p>
        </w:tc>
        <w:tc>
          <w:tcPr>
            <w:tcW w:w="4732" w:type="dxa"/>
            <w:noWrap w:val="0"/>
            <w:vAlign w:val="top"/>
          </w:tcPr>
          <w:p w14:paraId="268AF7F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SMA路面</w:t>
            </w:r>
          </w:p>
        </w:tc>
        <w:tc>
          <w:tcPr>
            <w:tcW w:w="749" w:type="dxa"/>
            <w:noWrap w:val="0"/>
            <w:vAlign w:val="top"/>
          </w:tcPr>
          <w:p w14:paraId="7344BFD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EC87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E2EF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591A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E9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723B77E">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752AAD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B81073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6CBB3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9427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A9E2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BD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8E650A">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03EFEA3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A8CAA0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375CD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96A5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9638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70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ABE81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312</w:t>
            </w:r>
          </w:p>
        </w:tc>
        <w:tc>
          <w:tcPr>
            <w:tcW w:w="4732" w:type="dxa"/>
            <w:noWrap w:val="0"/>
            <w:vAlign w:val="center"/>
          </w:tcPr>
          <w:p w14:paraId="700DB6A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水泥混凝土面板</w:t>
            </w:r>
          </w:p>
        </w:tc>
        <w:tc>
          <w:tcPr>
            <w:tcW w:w="749" w:type="dxa"/>
            <w:noWrap w:val="0"/>
            <w:vAlign w:val="center"/>
          </w:tcPr>
          <w:p w14:paraId="501B641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49BB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20C7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2D4F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1A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8CBBE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312-1</w:t>
            </w:r>
          </w:p>
        </w:tc>
        <w:tc>
          <w:tcPr>
            <w:tcW w:w="4732" w:type="dxa"/>
            <w:noWrap w:val="0"/>
            <w:vAlign w:val="center"/>
          </w:tcPr>
          <w:p w14:paraId="4467B9A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水泥混凝土面板</w:t>
            </w:r>
          </w:p>
        </w:tc>
        <w:tc>
          <w:tcPr>
            <w:tcW w:w="749" w:type="dxa"/>
            <w:noWrap w:val="0"/>
            <w:vAlign w:val="center"/>
          </w:tcPr>
          <w:p w14:paraId="1D427BC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D9BD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51F0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6E77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87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3CBC0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5732951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352CE83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F5D77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8FFB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2BCD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9E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F9804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5FE7EC9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561078E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EEE16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4B5F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3640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38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740A0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312-2</w:t>
            </w:r>
          </w:p>
        </w:tc>
        <w:tc>
          <w:tcPr>
            <w:tcW w:w="4732" w:type="dxa"/>
            <w:noWrap w:val="0"/>
            <w:vAlign w:val="center"/>
          </w:tcPr>
          <w:p w14:paraId="547933C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w:t>
            </w:r>
          </w:p>
        </w:tc>
        <w:tc>
          <w:tcPr>
            <w:tcW w:w="749" w:type="dxa"/>
            <w:noWrap w:val="0"/>
            <w:vAlign w:val="center"/>
          </w:tcPr>
          <w:p w14:paraId="539F74A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9D40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367F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187A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43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82B69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9AD1090">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center"/>
          </w:tcPr>
          <w:p w14:paraId="05C159F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D4BB0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94BB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2EF1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EC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DF209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23AFABA9">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center"/>
          </w:tcPr>
          <w:p w14:paraId="105C403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AE2B8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17EC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4484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B2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AC19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313</w:t>
            </w:r>
          </w:p>
        </w:tc>
        <w:tc>
          <w:tcPr>
            <w:tcW w:w="4732" w:type="dxa"/>
            <w:noWrap w:val="0"/>
            <w:vAlign w:val="center"/>
          </w:tcPr>
          <w:p w14:paraId="5B6D60A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路肩培土、中央分隔带回填土、土路肩加固及路缘石</w:t>
            </w:r>
          </w:p>
        </w:tc>
        <w:tc>
          <w:tcPr>
            <w:tcW w:w="749" w:type="dxa"/>
            <w:noWrap w:val="0"/>
            <w:vAlign w:val="top"/>
          </w:tcPr>
          <w:p w14:paraId="02F0945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6E8FF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DE1A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C0A2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14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0E1DC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313-1</w:t>
            </w:r>
          </w:p>
        </w:tc>
        <w:tc>
          <w:tcPr>
            <w:tcW w:w="4732" w:type="dxa"/>
            <w:noWrap w:val="0"/>
            <w:vAlign w:val="top"/>
          </w:tcPr>
          <w:p w14:paraId="0402584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路肩培土</w:t>
            </w:r>
          </w:p>
        </w:tc>
        <w:tc>
          <w:tcPr>
            <w:tcW w:w="749" w:type="dxa"/>
            <w:noWrap w:val="0"/>
            <w:vAlign w:val="top"/>
          </w:tcPr>
          <w:p w14:paraId="0D9B09C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442BA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8F9E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7CF4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11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FE6C3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313-2</w:t>
            </w:r>
          </w:p>
        </w:tc>
        <w:tc>
          <w:tcPr>
            <w:tcW w:w="4732" w:type="dxa"/>
            <w:noWrap w:val="0"/>
            <w:vAlign w:val="top"/>
          </w:tcPr>
          <w:p w14:paraId="35D0BAC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中央分隔带回填土</w:t>
            </w:r>
          </w:p>
        </w:tc>
        <w:tc>
          <w:tcPr>
            <w:tcW w:w="749" w:type="dxa"/>
            <w:noWrap w:val="0"/>
            <w:vAlign w:val="top"/>
          </w:tcPr>
          <w:p w14:paraId="2D6DC03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4087F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7DD5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411B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6C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EEAB3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313-3</w:t>
            </w:r>
          </w:p>
        </w:tc>
        <w:tc>
          <w:tcPr>
            <w:tcW w:w="4732" w:type="dxa"/>
            <w:noWrap w:val="0"/>
            <w:vAlign w:val="top"/>
          </w:tcPr>
          <w:p w14:paraId="1E21040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现浇混凝土加固土路肩</w:t>
            </w:r>
          </w:p>
        </w:tc>
        <w:tc>
          <w:tcPr>
            <w:tcW w:w="749" w:type="dxa"/>
            <w:noWrap w:val="0"/>
            <w:vAlign w:val="top"/>
          </w:tcPr>
          <w:p w14:paraId="54CF881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156E9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D455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5C69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43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AA06F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313-4</w:t>
            </w:r>
          </w:p>
        </w:tc>
        <w:tc>
          <w:tcPr>
            <w:tcW w:w="4732" w:type="dxa"/>
            <w:noWrap w:val="0"/>
            <w:vAlign w:val="top"/>
          </w:tcPr>
          <w:p w14:paraId="783ACF8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混凝土预制块加固土路肩</w:t>
            </w:r>
          </w:p>
        </w:tc>
        <w:tc>
          <w:tcPr>
            <w:tcW w:w="749" w:type="dxa"/>
            <w:noWrap w:val="0"/>
            <w:vAlign w:val="top"/>
          </w:tcPr>
          <w:p w14:paraId="68B9B76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88C9B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4E79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D8787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56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C702E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313-5</w:t>
            </w:r>
          </w:p>
        </w:tc>
        <w:tc>
          <w:tcPr>
            <w:tcW w:w="4732" w:type="dxa"/>
            <w:noWrap w:val="0"/>
            <w:vAlign w:val="top"/>
          </w:tcPr>
          <w:p w14:paraId="02F491C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混凝土预制块路缘石</w:t>
            </w:r>
          </w:p>
        </w:tc>
        <w:tc>
          <w:tcPr>
            <w:tcW w:w="749" w:type="dxa"/>
            <w:noWrap w:val="0"/>
            <w:vAlign w:val="top"/>
          </w:tcPr>
          <w:p w14:paraId="2ED48A4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DE189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89F2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5E3EB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0E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C791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314</w:t>
            </w:r>
          </w:p>
        </w:tc>
        <w:tc>
          <w:tcPr>
            <w:tcW w:w="4732" w:type="dxa"/>
            <w:noWrap w:val="0"/>
            <w:vAlign w:val="center"/>
          </w:tcPr>
          <w:p w14:paraId="576F6D68">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路面及中央分隔带排水</w:t>
            </w:r>
          </w:p>
        </w:tc>
        <w:tc>
          <w:tcPr>
            <w:tcW w:w="749" w:type="dxa"/>
            <w:noWrap w:val="0"/>
            <w:vAlign w:val="center"/>
          </w:tcPr>
          <w:p w14:paraId="52F8F6C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A9357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FBEC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5478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DA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2A4B8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314-1</w:t>
            </w:r>
          </w:p>
        </w:tc>
        <w:tc>
          <w:tcPr>
            <w:tcW w:w="4732" w:type="dxa"/>
            <w:noWrap w:val="0"/>
            <w:vAlign w:val="center"/>
          </w:tcPr>
          <w:p w14:paraId="7A98A9F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排水管</w:t>
            </w:r>
          </w:p>
        </w:tc>
        <w:tc>
          <w:tcPr>
            <w:tcW w:w="749" w:type="dxa"/>
            <w:noWrap w:val="0"/>
            <w:vAlign w:val="center"/>
          </w:tcPr>
          <w:p w14:paraId="4E72602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24770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5A09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6888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8C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4195E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314-2</w:t>
            </w:r>
          </w:p>
        </w:tc>
        <w:tc>
          <w:tcPr>
            <w:tcW w:w="4732" w:type="dxa"/>
            <w:noWrap w:val="0"/>
            <w:vAlign w:val="center"/>
          </w:tcPr>
          <w:p w14:paraId="68A7511B">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纵向雨水沟（管）</w:t>
            </w:r>
          </w:p>
        </w:tc>
        <w:tc>
          <w:tcPr>
            <w:tcW w:w="749" w:type="dxa"/>
            <w:noWrap w:val="0"/>
            <w:vAlign w:val="center"/>
          </w:tcPr>
          <w:p w14:paraId="0DB05BD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EAAA9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2B5E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8583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49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0FD4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314-3</w:t>
            </w:r>
          </w:p>
        </w:tc>
        <w:tc>
          <w:tcPr>
            <w:tcW w:w="4732" w:type="dxa"/>
            <w:noWrap w:val="0"/>
            <w:vAlign w:val="center"/>
          </w:tcPr>
          <w:p w14:paraId="6BE2486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集水井 </w:t>
            </w:r>
          </w:p>
        </w:tc>
        <w:tc>
          <w:tcPr>
            <w:tcW w:w="749" w:type="dxa"/>
            <w:noWrap w:val="0"/>
            <w:vAlign w:val="center"/>
          </w:tcPr>
          <w:p w14:paraId="7CB3C44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00B358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E716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FFF0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13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87457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314-4</w:t>
            </w:r>
          </w:p>
        </w:tc>
        <w:tc>
          <w:tcPr>
            <w:tcW w:w="4732" w:type="dxa"/>
            <w:noWrap w:val="0"/>
            <w:vAlign w:val="center"/>
          </w:tcPr>
          <w:p w14:paraId="4B0D02B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中央分隔带渗沟</w:t>
            </w:r>
          </w:p>
        </w:tc>
        <w:tc>
          <w:tcPr>
            <w:tcW w:w="749" w:type="dxa"/>
            <w:noWrap w:val="0"/>
            <w:vAlign w:val="center"/>
          </w:tcPr>
          <w:p w14:paraId="6912D7D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8082F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6B56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C604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74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9F138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314-5</w:t>
            </w:r>
          </w:p>
        </w:tc>
        <w:tc>
          <w:tcPr>
            <w:tcW w:w="4732" w:type="dxa"/>
            <w:noWrap w:val="0"/>
            <w:vAlign w:val="center"/>
          </w:tcPr>
          <w:p w14:paraId="08A8AC8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沥青油毡防水层</w:t>
            </w:r>
          </w:p>
        </w:tc>
        <w:tc>
          <w:tcPr>
            <w:tcW w:w="749" w:type="dxa"/>
            <w:noWrap w:val="0"/>
            <w:vAlign w:val="top"/>
          </w:tcPr>
          <w:p w14:paraId="3DA689C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F8E9D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A6A0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034B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2B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F8A8D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314-6</w:t>
            </w:r>
          </w:p>
        </w:tc>
        <w:tc>
          <w:tcPr>
            <w:tcW w:w="4732" w:type="dxa"/>
            <w:noWrap w:val="0"/>
            <w:vAlign w:val="center"/>
          </w:tcPr>
          <w:p w14:paraId="56EF263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路肩排水沟</w:t>
            </w:r>
          </w:p>
        </w:tc>
        <w:tc>
          <w:tcPr>
            <w:tcW w:w="749" w:type="dxa"/>
            <w:noWrap w:val="0"/>
            <w:vAlign w:val="center"/>
          </w:tcPr>
          <w:p w14:paraId="226DDC1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87FA3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5F6B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CF00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62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3D41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314-7</w:t>
            </w:r>
          </w:p>
        </w:tc>
        <w:tc>
          <w:tcPr>
            <w:tcW w:w="4732" w:type="dxa"/>
            <w:noWrap w:val="0"/>
            <w:vAlign w:val="center"/>
          </w:tcPr>
          <w:p w14:paraId="3402FF2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拦水带</w:t>
            </w:r>
          </w:p>
        </w:tc>
        <w:tc>
          <w:tcPr>
            <w:tcW w:w="749" w:type="dxa"/>
            <w:noWrap w:val="0"/>
            <w:vAlign w:val="center"/>
          </w:tcPr>
          <w:p w14:paraId="5058DFD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34720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446B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C9D2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D6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62DF0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6F35C40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沥青混凝土拦水带</w:t>
            </w:r>
          </w:p>
        </w:tc>
        <w:tc>
          <w:tcPr>
            <w:tcW w:w="749" w:type="dxa"/>
            <w:noWrap w:val="0"/>
            <w:vAlign w:val="center"/>
          </w:tcPr>
          <w:p w14:paraId="681421B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DD4B3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400A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D6AF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A8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3179D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772C1E6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水泥混凝土拦水带</w:t>
            </w:r>
          </w:p>
        </w:tc>
        <w:tc>
          <w:tcPr>
            <w:tcW w:w="749" w:type="dxa"/>
            <w:noWrap w:val="0"/>
            <w:vAlign w:val="center"/>
          </w:tcPr>
          <w:p w14:paraId="1286EC6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9B54A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33FC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DA685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EE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71772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421013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64801A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7298B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5359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F7D4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6C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E849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1AB7F8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77DDDB7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42599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AF9C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E5F1F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02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EA8B9E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清单第300章合计  人民币</w:t>
            </w:r>
            <w:r>
              <w:rPr>
                <w:rFonts w:hint="default" w:ascii="Times New Roman" w:hAnsi="Times New Roman" w:cs="Times New Roman"/>
                <w:bCs/>
                <w:color w:val="auto"/>
                <w:kern w:val="0"/>
                <w:szCs w:val="21"/>
                <w:highlight w:val="none"/>
                <w:u w:val="single"/>
              </w:rPr>
              <w:t xml:space="preserve">                    </w:t>
            </w:r>
          </w:p>
        </w:tc>
      </w:tr>
    </w:tbl>
    <w:p w14:paraId="1842A2B5">
      <w:pPr>
        <w:pageBreakBefore w:val="0"/>
        <w:widowControl/>
        <w:kinsoku/>
        <w:wordWrap w:val="0"/>
        <w:bidi w:val="0"/>
        <w:spacing w:line="360" w:lineRule="atLeast"/>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674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24C0AB0">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52CE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6BCBFE2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A57F98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50571B46">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44F145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CCA85B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4379B8A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C78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DF1F2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w:t>
            </w:r>
          </w:p>
        </w:tc>
        <w:tc>
          <w:tcPr>
            <w:tcW w:w="4732" w:type="dxa"/>
            <w:tcBorders>
              <w:top w:val="single" w:color="auto" w:sz="4" w:space="0"/>
              <w:left w:val="single" w:color="auto" w:sz="4" w:space="0"/>
              <w:right w:val="single" w:color="auto" w:sz="4" w:space="0"/>
            </w:tcBorders>
            <w:noWrap w:val="0"/>
            <w:vAlign w:val="center"/>
          </w:tcPr>
          <w:p w14:paraId="2BE04F0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通则</w:t>
            </w:r>
          </w:p>
        </w:tc>
        <w:tc>
          <w:tcPr>
            <w:tcW w:w="749" w:type="dxa"/>
            <w:tcBorders>
              <w:top w:val="single" w:color="auto" w:sz="4" w:space="0"/>
              <w:left w:val="single" w:color="auto" w:sz="4" w:space="0"/>
              <w:right w:val="single" w:color="auto" w:sz="4" w:space="0"/>
            </w:tcBorders>
            <w:noWrap w:val="0"/>
            <w:vAlign w:val="top"/>
          </w:tcPr>
          <w:p w14:paraId="3AD863D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CEADE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E62BE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3E28A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A0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01F3E80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1-1</w:t>
            </w:r>
          </w:p>
        </w:tc>
        <w:tc>
          <w:tcPr>
            <w:tcW w:w="4732" w:type="dxa"/>
            <w:tcBorders>
              <w:top w:val="single" w:color="auto" w:sz="4" w:space="0"/>
              <w:left w:val="single" w:color="auto" w:sz="4" w:space="0"/>
              <w:right w:val="single" w:color="auto" w:sz="4" w:space="0"/>
            </w:tcBorders>
            <w:noWrap w:val="0"/>
            <w:vAlign w:val="top"/>
          </w:tcPr>
          <w:p w14:paraId="610D3CF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桥梁荷载试验（暂估价）</w:t>
            </w:r>
          </w:p>
        </w:tc>
        <w:tc>
          <w:tcPr>
            <w:tcW w:w="749" w:type="dxa"/>
            <w:tcBorders>
              <w:top w:val="single" w:color="auto" w:sz="4" w:space="0"/>
              <w:left w:val="single" w:color="auto" w:sz="4" w:space="0"/>
              <w:right w:val="single" w:color="auto" w:sz="4" w:space="0"/>
            </w:tcBorders>
            <w:noWrap w:val="0"/>
            <w:vAlign w:val="top"/>
          </w:tcPr>
          <w:p w14:paraId="6DDA9CC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354178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F2F18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83F96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00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213ED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401-2</w:t>
            </w:r>
          </w:p>
        </w:tc>
        <w:tc>
          <w:tcPr>
            <w:tcW w:w="4732" w:type="dxa"/>
            <w:noWrap w:val="0"/>
            <w:vAlign w:val="center"/>
          </w:tcPr>
          <w:p w14:paraId="63C8AF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桥梁施工监控（</w:t>
            </w:r>
            <w:r>
              <w:rPr>
                <w:rFonts w:hint="default" w:ascii="Times New Roman" w:hAnsi="Times New Roman" w:cs="Times New Roman"/>
                <w:color w:val="auto"/>
                <w:kern w:val="0"/>
                <w:szCs w:val="21"/>
                <w:highlight w:val="none"/>
              </w:rPr>
              <w:t>暂估价</w:t>
            </w:r>
            <w:r>
              <w:rPr>
                <w:rFonts w:hint="default" w:ascii="Times New Roman" w:hAnsi="Times New Roman" w:cs="Times New Roman"/>
                <w:color w:val="auto"/>
                <w:szCs w:val="21"/>
                <w:highlight w:val="none"/>
              </w:rPr>
              <w:t>）</w:t>
            </w:r>
          </w:p>
        </w:tc>
        <w:tc>
          <w:tcPr>
            <w:tcW w:w="749" w:type="dxa"/>
            <w:noWrap w:val="0"/>
            <w:vAlign w:val="center"/>
          </w:tcPr>
          <w:p w14:paraId="7670CB6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65F670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0141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B467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E6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24B328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1-3</w:t>
            </w:r>
          </w:p>
        </w:tc>
        <w:tc>
          <w:tcPr>
            <w:tcW w:w="4732" w:type="dxa"/>
            <w:noWrap w:val="0"/>
            <w:vAlign w:val="top"/>
          </w:tcPr>
          <w:p w14:paraId="6321362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地质钻探及取样试验（暂定工程量）</w:t>
            </w:r>
          </w:p>
        </w:tc>
        <w:tc>
          <w:tcPr>
            <w:tcW w:w="749" w:type="dxa"/>
            <w:noWrap w:val="0"/>
            <w:vAlign w:val="top"/>
          </w:tcPr>
          <w:p w14:paraId="16D1D89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13C8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239A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571D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2A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0CB1FE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90EC81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Ф70mm</w:t>
            </w:r>
          </w:p>
        </w:tc>
        <w:tc>
          <w:tcPr>
            <w:tcW w:w="749" w:type="dxa"/>
            <w:noWrap w:val="0"/>
            <w:vAlign w:val="top"/>
          </w:tcPr>
          <w:p w14:paraId="2553C6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0F9DD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2527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385C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07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2787A8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01CFB4C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Ф110mm</w:t>
            </w:r>
          </w:p>
        </w:tc>
        <w:tc>
          <w:tcPr>
            <w:tcW w:w="749" w:type="dxa"/>
            <w:noWrap w:val="0"/>
            <w:vAlign w:val="top"/>
          </w:tcPr>
          <w:p w14:paraId="1CF836E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A24CB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D745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CD809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7F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7A4C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403</w:t>
            </w:r>
          </w:p>
        </w:tc>
        <w:tc>
          <w:tcPr>
            <w:tcW w:w="4732" w:type="dxa"/>
            <w:noWrap w:val="0"/>
            <w:vAlign w:val="center"/>
          </w:tcPr>
          <w:p w14:paraId="5D8D525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top"/>
          </w:tcPr>
          <w:p w14:paraId="1D72FAA7">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C644E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8102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DF16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BE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37F86B">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403-1</w:t>
            </w:r>
          </w:p>
        </w:tc>
        <w:tc>
          <w:tcPr>
            <w:tcW w:w="4732" w:type="dxa"/>
            <w:noWrap w:val="0"/>
            <w:vAlign w:val="center"/>
          </w:tcPr>
          <w:p w14:paraId="45B36B0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基础钢筋（含灌注桩、承台、桩系梁、沉桩、沉井等）</w:t>
            </w:r>
          </w:p>
        </w:tc>
        <w:tc>
          <w:tcPr>
            <w:tcW w:w="749" w:type="dxa"/>
            <w:noWrap w:val="0"/>
            <w:vAlign w:val="top"/>
          </w:tcPr>
          <w:p w14:paraId="5EB731C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8EF00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E865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BEE12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B4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DF1901">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D182E26">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02F306F0">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48E9A9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9ADD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D18D5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14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D0FDB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1161633">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484D7413">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1C0A85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FA89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6B8E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5F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CD28C0E">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403-2</w:t>
            </w:r>
          </w:p>
        </w:tc>
        <w:tc>
          <w:tcPr>
            <w:tcW w:w="4732" w:type="dxa"/>
            <w:noWrap w:val="0"/>
            <w:vAlign w:val="top"/>
          </w:tcPr>
          <w:p w14:paraId="42F115DC">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下部结构钢筋</w:t>
            </w:r>
          </w:p>
        </w:tc>
        <w:tc>
          <w:tcPr>
            <w:tcW w:w="749" w:type="dxa"/>
            <w:noWrap w:val="0"/>
            <w:vAlign w:val="top"/>
          </w:tcPr>
          <w:p w14:paraId="613A1B76">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B8D76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9B3C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32BC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7F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9633F3">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247F6E3">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15D9FCD9">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29887C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119E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04A91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8F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B1849E">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DAC1F8D">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78791A89">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D4822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5C26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45AB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B7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0FBCD93">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403-3</w:t>
            </w:r>
          </w:p>
        </w:tc>
        <w:tc>
          <w:tcPr>
            <w:tcW w:w="4732" w:type="dxa"/>
            <w:noWrap w:val="0"/>
            <w:vAlign w:val="top"/>
          </w:tcPr>
          <w:p w14:paraId="58135AFF">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上部结构钢筋</w:t>
            </w:r>
          </w:p>
        </w:tc>
        <w:tc>
          <w:tcPr>
            <w:tcW w:w="749" w:type="dxa"/>
            <w:noWrap w:val="0"/>
            <w:vAlign w:val="top"/>
          </w:tcPr>
          <w:p w14:paraId="11D7D813">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F014F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42D0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0B74F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A8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8F12C81">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7C0C942">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30581BCC">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5B42A2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FC69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7999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0A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DD1233">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36D3482">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12ACBFD7">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2F1800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359C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D520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2E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347040B">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403-4</w:t>
            </w:r>
          </w:p>
        </w:tc>
        <w:tc>
          <w:tcPr>
            <w:tcW w:w="4732" w:type="dxa"/>
            <w:noWrap w:val="0"/>
            <w:vAlign w:val="top"/>
          </w:tcPr>
          <w:p w14:paraId="0A7FEFE3">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附属结构钢筋</w:t>
            </w:r>
          </w:p>
        </w:tc>
        <w:tc>
          <w:tcPr>
            <w:tcW w:w="749" w:type="dxa"/>
            <w:noWrap w:val="0"/>
            <w:vAlign w:val="top"/>
          </w:tcPr>
          <w:p w14:paraId="2227360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B6FAF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03DF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0BCD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91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8A815D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29E7AA9">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48E42CD9">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01660C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6A8E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92B5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82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5FAF8E">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09D0C32">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203A928B">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57BDD4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945C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C244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B4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35CE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404</w:t>
            </w:r>
          </w:p>
        </w:tc>
        <w:tc>
          <w:tcPr>
            <w:tcW w:w="4732" w:type="dxa"/>
            <w:noWrap w:val="0"/>
            <w:vAlign w:val="center"/>
          </w:tcPr>
          <w:p w14:paraId="66CE345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基坑开挖及回填</w:t>
            </w:r>
          </w:p>
        </w:tc>
        <w:tc>
          <w:tcPr>
            <w:tcW w:w="749" w:type="dxa"/>
            <w:noWrap w:val="0"/>
            <w:vAlign w:val="top"/>
          </w:tcPr>
          <w:p w14:paraId="3D7D155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E5CEE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1440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49A4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E8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5609D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404-1</w:t>
            </w:r>
          </w:p>
        </w:tc>
        <w:tc>
          <w:tcPr>
            <w:tcW w:w="4732" w:type="dxa"/>
            <w:noWrap w:val="0"/>
            <w:vAlign w:val="top"/>
          </w:tcPr>
          <w:p w14:paraId="49EF9D7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干处挖土方</w:t>
            </w:r>
          </w:p>
        </w:tc>
        <w:tc>
          <w:tcPr>
            <w:tcW w:w="749" w:type="dxa"/>
            <w:noWrap w:val="0"/>
            <w:vAlign w:val="top"/>
          </w:tcPr>
          <w:p w14:paraId="263274C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465A5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18B8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F803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E8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C7280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404-2</w:t>
            </w:r>
          </w:p>
        </w:tc>
        <w:tc>
          <w:tcPr>
            <w:tcW w:w="4732" w:type="dxa"/>
            <w:noWrap w:val="0"/>
            <w:vAlign w:val="top"/>
          </w:tcPr>
          <w:p w14:paraId="1FC74D1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水下挖土方</w:t>
            </w:r>
          </w:p>
        </w:tc>
        <w:tc>
          <w:tcPr>
            <w:tcW w:w="749" w:type="dxa"/>
            <w:noWrap w:val="0"/>
            <w:vAlign w:val="top"/>
          </w:tcPr>
          <w:p w14:paraId="5EA3771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BE20A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E6EA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2FD55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70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EA2CC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404-3</w:t>
            </w:r>
          </w:p>
        </w:tc>
        <w:tc>
          <w:tcPr>
            <w:tcW w:w="4732" w:type="dxa"/>
            <w:noWrap w:val="0"/>
            <w:vAlign w:val="top"/>
          </w:tcPr>
          <w:p w14:paraId="5EB1046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干处挖石方</w:t>
            </w:r>
          </w:p>
        </w:tc>
        <w:tc>
          <w:tcPr>
            <w:tcW w:w="749" w:type="dxa"/>
            <w:noWrap w:val="0"/>
            <w:vAlign w:val="top"/>
          </w:tcPr>
          <w:p w14:paraId="3C8FDF0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614F5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5F1B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B955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65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EF859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404-4</w:t>
            </w:r>
          </w:p>
        </w:tc>
        <w:tc>
          <w:tcPr>
            <w:tcW w:w="4732" w:type="dxa"/>
            <w:noWrap w:val="0"/>
            <w:vAlign w:val="top"/>
          </w:tcPr>
          <w:p w14:paraId="7CF6ED4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水下挖石方</w:t>
            </w:r>
          </w:p>
        </w:tc>
        <w:tc>
          <w:tcPr>
            <w:tcW w:w="749" w:type="dxa"/>
            <w:noWrap w:val="0"/>
            <w:vAlign w:val="top"/>
          </w:tcPr>
          <w:p w14:paraId="00E6712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C3CCF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C1E8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019F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AE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C2A82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w:t>
            </w:r>
          </w:p>
        </w:tc>
        <w:tc>
          <w:tcPr>
            <w:tcW w:w="4732" w:type="dxa"/>
            <w:noWrap w:val="0"/>
            <w:vAlign w:val="center"/>
          </w:tcPr>
          <w:p w14:paraId="31CC02A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top"/>
          </w:tcPr>
          <w:p w14:paraId="02239F4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BF567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D02A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660D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66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D2C38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405-1</w:t>
            </w:r>
          </w:p>
        </w:tc>
        <w:tc>
          <w:tcPr>
            <w:tcW w:w="4732" w:type="dxa"/>
            <w:noWrap w:val="0"/>
            <w:vAlign w:val="center"/>
          </w:tcPr>
          <w:p w14:paraId="22F764D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center"/>
          </w:tcPr>
          <w:p w14:paraId="1B0B928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B72EB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9BEB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B62C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51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75EC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EA2300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陆上钻孔灌注桩</w:t>
            </w:r>
          </w:p>
        </w:tc>
        <w:tc>
          <w:tcPr>
            <w:tcW w:w="749" w:type="dxa"/>
            <w:noWrap w:val="0"/>
            <w:vAlign w:val="center"/>
          </w:tcPr>
          <w:p w14:paraId="41E4D0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383E1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226A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E99F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0C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51E4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EE19B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水中钻孔灌注桩</w:t>
            </w:r>
          </w:p>
        </w:tc>
        <w:tc>
          <w:tcPr>
            <w:tcW w:w="749" w:type="dxa"/>
            <w:noWrap w:val="0"/>
            <w:vAlign w:val="center"/>
          </w:tcPr>
          <w:p w14:paraId="3A4E14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3474D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D97E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40C5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3D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1A77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405-2</w:t>
            </w:r>
          </w:p>
        </w:tc>
        <w:tc>
          <w:tcPr>
            <w:tcW w:w="4732" w:type="dxa"/>
            <w:noWrap w:val="0"/>
            <w:vAlign w:val="center"/>
          </w:tcPr>
          <w:p w14:paraId="24145AF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0979F3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8744C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BFC7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A8CC1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0B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032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405-3</w:t>
            </w:r>
          </w:p>
        </w:tc>
        <w:tc>
          <w:tcPr>
            <w:tcW w:w="4732" w:type="dxa"/>
            <w:noWrap w:val="0"/>
            <w:vAlign w:val="center"/>
          </w:tcPr>
          <w:p w14:paraId="30D4001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72183F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0C839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67AF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EDFE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21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584EB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406</w:t>
            </w:r>
          </w:p>
        </w:tc>
        <w:tc>
          <w:tcPr>
            <w:tcW w:w="4732" w:type="dxa"/>
            <w:noWrap w:val="0"/>
            <w:vAlign w:val="center"/>
          </w:tcPr>
          <w:p w14:paraId="05BEA4A7">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沉桩</w:t>
            </w:r>
          </w:p>
        </w:tc>
        <w:tc>
          <w:tcPr>
            <w:tcW w:w="749" w:type="dxa"/>
            <w:noWrap w:val="0"/>
            <w:vAlign w:val="center"/>
          </w:tcPr>
          <w:p w14:paraId="660E290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FE7DB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5B7E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89E39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29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68E3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406-1</w:t>
            </w:r>
          </w:p>
        </w:tc>
        <w:tc>
          <w:tcPr>
            <w:tcW w:w="4732" w:type="dxa"/>
            <w:noWrap w:val="0"/>
            <w:vAlign w:val="center"/>
          </w:tcPr>
          <w:p w14:paraId="70F4AB3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钢筋混凝土沉桩</w:t>
            </w:r>
          </w:p>
        </w:tc>
        <w:tc>
          <w:tcPr>
            <w:tcW w:w="749" w:type="dxa"/>
            <w:noWrap w:val="0"/>
            <w:vAlign w:val="center"/>
          </w:tcPr>
          <w:p w14:paraId="4BC951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82803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A2B0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7D90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B9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57A68087">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5477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5C63F5E4">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1449B754">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FA6A0B5">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DE5A11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35A7FE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4395456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1940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9335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406-2</w:t>
            </w:r>
          </w:p>
        </w:tc>
        <w:tc>
          <w:tcPr>
            <w:tcW w:w="4732" w:type="dxa"/>
            <w:noWrap w:val="0"/>
            <w:vAlign w:val="center"/>
          </w:tcPr>
          <w:p w14:paraId="74B3C0D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预应力混凝土沉桩</w:t>
            </w:r>
          </w:p>
        </w:tc>
        <w:tc>
          <w:tcPr>
            <w:tcW w:w="749" w:type="dxa"/>
            <w:noWrap w:val="0"/>
            <w:vAlign w:val="center"/>
          </w:tcPr>
          <w:p w14:paraId="28E0AE1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2684C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17CB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0315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31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EBF3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406-3</w:t>
            </w:r>
          </w:p>
        </w:tc>
        <w:tc>
          <w:tcPr>
            <w:tcW w:w="4732" w:type="dxa"/>
            <w:noWrap w:val="0"/>
            <w:vAlign w:val="center"/>
          </w:tcPr>
          <w:p w14:paraId="0E5501D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试桩（暂定工程量）</w:t>
            </w:r>
          </w:p>
        </w:tc>
        <w:tc>
          <w:tcPr>
            <w:tcW w:w="749" w:type="dxa"/>
            <w:noWrap w:val="0"/>
            <w:vAlign w:val="center"/>
          </w:tcPr>
          <w:p w14:paraId="609ABE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B097E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E5BC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79C4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45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BF560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407</w:t>
            </w:r>
          </w:p>
        </w:tc>
        <w:tc>
          <w:tcPr>
            <w:tcW w:w="4732" w:type="dxa"/>
            <w:noWrap w:val="0"/>
            <w:vAlign w:val="center"/>
          </w:tcPr>
          <w:p w14:paraId="1EB946BB">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top"/>
          </w:tcPr>
          <w:p w14:paraId="4816EED4">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3D998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1397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1B6E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67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01431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407-1</w:t>
            </w:r>
          </w:p>
        </w:tc>
        <w:tc>
          <w:tcPr>
            <w:tcW w:w="4732" w:type="dxa"/>
            <w:noWrap w:val="0"/>
            <w:vAlign w:val="center"/>
          </w:tcPr>
          <w:p w14:paraId="4BC1CD8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center"/>
          </w:tcPr>
          <w:p w14:paraId="46638A0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2FB21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8988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F1C0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EB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266A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407-2</w:t>
            </w:r>
          </w:p>
        </w:tc>
        <w:tc>
          <w:tcPr>
            <w:tcW w:w="4732" w:type="dxa"/>
            <w:noWrap w:val="0"/>
            <w:vAlign w:val="center"/>
          </w:tcPr>
          <w:p w14:paraId="1167625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533D56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5907D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397D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F94F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55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F7BB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407-3</w:t>
            </w:r>
          </w:p>
        </w:tc>
        <w:tc>
          <w:tcPr>
            <w:tcW w:w="4732" w:type="dxa"/>
            <w:noWrap w:val="0"/>
            <w:vAlign w:val="center"/>
          </w:tcPr>
          <w:p w14:paraId="74469CB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08E1CDD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93FEF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9F19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595E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E1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685A6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408</w:t>
            </w:r>
          </w:p>
        </w:tc>
        <w:tc>
          <w:tcPr>
            <w:tcW w:w="4732" w:type="dxa"/>
            <w:noWrap w:val="0"/>
            <w:vAlign w:val="center"/>
          </w:tcPr>
          <w:p w14:paraId="517BA59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桩的垂直静荷载试验</w:t>
            </w:r>
          </w:p>
        </w:tc>
        <w:tc>
          <w:tcPr>
            <w:tcW w:w="749" w:type="dxa"/>
            <w:noWrap w:val="0"/>
            <w:vAlign w:val="top"/>
          </w:tcPr>
          <w:p w14:paraId="5BA8B58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F0AF9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A6F4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008B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FE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4291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408-1</w:t>
            </w:r>
          </w:p>
        </w:tc>
        <w:tc>
          <w:tcPr>
            <w:tcW w:w="4732" w:type="dxa"/>
            <w:noWrap w:val="0"/>
            <w:vAlign w:val="center"/>
          </w:tcPr>
          <w:p w14:paraId="431CAB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桩的检验荷载试验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57A105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0A8598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3A95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5C42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2D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926E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408-2</w:t>
            </w:r>
          </w:p>
        </w:tc>
        <w:tc>
          <w:tcPr>
            <w:tcW w:w="4732" w:type="dxa"/>
            <w:noWrap w:val="0"/>
            <w:vAlign w:val="center"/>
          </w:tcPr>
          <w:p w14:paraId="107D94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桩的破坏荷载试验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313CB4C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4623FE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B07E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F0B3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AC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DDD7F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409</w:t>
            </w:r>
          </w:p>
        </w:tc>
        <w:tc>
          <w:tcPr>
            <w:tcW w:w="4732" w:type="dxa"/>
            <w:noWrap w:val="0"/>
            <w:vAlign w:val="center"/>
          </w:tcPr>
          <w:p w14:paraId="3FD8821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沉井</w:t>
            </w:r>
          </w:p>
        </w:tc>
        <w:tc>
          <w:tcPr>
            <w:tcW w:w="749" w:type="dxa"/>
            <w:noWrap w:val="0"/>
            <w:vAlign w:val="top"/>
          </w:tcPr>
          <w:p w14:paraId="52A09E6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EECA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3D4C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E9435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68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9AF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409-1</w:t>
            </w:r>
          </w:p>
        </w:tc>
        <w:tc>
          <w:tcPr>
            <w:tcW w:w="4732" w:type="dxa"/>
            <w:noWrap w:val="0"/>
            <w:vAlign w:val="center"/>
          </w:tcPr>
          <w:p w14:paraId="6217601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钢筋混凝土沉井</w:t>
            </w:r>
          </w:p>
        </w:tc>
        <w:tc>
          <w:tcPr>
            <w:tcW w:w="749" w:type="dxa"/>
            <w:noWrap w:val="0"/>
            <w:vAlign w:val="center"/>
          </w:tcPr>
          <w:p w14:paraId="2F2A7F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A8837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0A51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50D2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87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86DD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EA9BC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井壁混凝土</w:t>
            </w:r>
          </w:p>
        </w:tc>
        <w:tc>
          <w:tcPr>
            <w:tcW w:w="749" w:type="dxa"/>
            <w:noWrap w:val="0"/>
            <w:vAlign w:val="center"/>
          </w:tcPr>
          <w:p w14:paraId="37CC17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CFB74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3D16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B0788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1C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725E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EE0A2D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封底混凝土</w:t>
            </w:r>
          </w:p>
        </w:tc>
        <w:tc>
          <w:tcPr>
            <w:tcW w:w="749" w:type="dxa"/>
            <w:noWrap w:val="0"/>
            <w:vAlign w:val="center"/>
          </w:tcPr>
          <w:p w14:paraId="715495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14C49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811C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E792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32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05B2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2DDA0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填芯混凝土</w:t>
            </w:r>
          </w:p>
        </w:tc>
        <w:tc>
          <w:tcPr>
            <w:tcW w:w="749" w:type="dxa"/>
            <w:noWrap w:val="0"/>
            <w:vAlign w:val="center"/>
          </w:tcPr>
          <w:p w14:paraId="79A8F3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029DE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BA52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CE85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02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C4A7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217470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顶板混凝土</w:t>
            </w:r>
          </w:p>
        </w:tc>
        <w:tc>
          <w:tcPr>
            <w:tcW w:w="749" w:type="dxa"/>
            <w:noWrap w:val="0"/>
            <w:vAlign w:val="center"/>
          </w:tcPr>
          <w:p w14:paraId="5A1FA3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A8D1B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604D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48E7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6E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B09E9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w:t>
            </w:r>
          </w:p>
        </w:tc>
        <w:tc>
          <w:tcPr>
            <w:tcW w:w="4732" w:type="dxa"/>
            <w:noWrap w:val="0"/>
            <w:vAlign w:val="center"/>
          </w:tcPr>
          <w:p w14:paraId="62E687D7">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结构混凝土工程</w:t>
            </w:r>
          </w:p>
        </w:tc>
        <w:tc>
          <w:tcPr>
            <w:tcW w:w="749" w:type="dxa"/>
            <w:noWrap w:val="0"/>
            <w:vAlign w:val="center"/>
          </w:tcPr>
          <w:p w14:paraId="74A45976">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3A084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B118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D2AFD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01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096D4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410-1</w:t>
            </w:r>
          </w:p>
        </w:tc>
        <w:tc>
          <w:tcPr>
            <w:tcW w:w="4732" w:type="dxa"/>
            <w:noWrap w:val="0"/>
            <w:vAlign w:val="center"/>
          </w:tcPr>
          <w:p w14:paraId="6060577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混凝土基础（包括支撑梁、桩基承台、桩系梁，但不包括桩基）</w:t>
            </w:r>
          </w:p>
        </w:tc>
        <w:tc>
          <w:tcPr>
            <w:tcW w:w="749" w:type="dxa"/>
            <w:noWrap w:val="0"/>
            <w:vAlign w:val="center"/>
          </w:tcPr>
          <w:p w14:paraId="72BA3F5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m³</w:t>
            </w:r>
          </w:p>
        </w:tc>
        <w:tc>
          <w:tcPr>
            <w:tcW w:w="837" w:type="dxa"/>
            <w:noWrap w:val="0"/>
            <w:vAlign w:val="center"/>
          </w:tcPr>
          <w:p w14:paraId="3D02DB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EEB5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C513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EB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C167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410-2</w:t>
            </w:r>
          </w:p>
        </w:tc>
        <w:tc>
          <w:tcPr>
            <w:tcW w:w="4732" w:type="dxa"/>
            <w:noWrap w:val="0"/>
            <w:vAlign w:val="center"/>
          </w:tcPr>
          <w:p w14:paraId="777F48A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混凝土下部结构</w:t>
            </w:r>
          </w:p>
        </w:tc>
        <w:tc>
          <w:tcPr>
            <w:tcW w:w="749" w:type="dxa"/>
            <w:noWrap w:val="0"/>
            <w:vAlign w:val="center"/>
          </w:tcPr>
          <w:p w14:paraId="776422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59293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5D4E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59CD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15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3AF51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A45AC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桥台混凝土</w:t>
            </w:r>
          </w:p>
        </w:tc>
        <w:tc>
          <w:tcPr>
            <w:tcW w:w="749" w:type="dxa"/>
            <w:noWrap w:val="0"/>
            <w:vAlign w:val="center"/>
          </w:tcPr>
          <w:p w14:paraId="12A2E0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B7A55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CDD0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D487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C6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680B4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1D064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桥墩混凝土</w:t>
            </w:r>
          </w:p>
        </w:tc>
        <w:tc>
          <w:tcPr>
            <w:tcW w:w="749" w:type="dxa"/>
            <w:noWrap w:val="0"/>
            <w:vAlign w:val="center"/>
          </w:tcPr>
          <w:p w14:paraId="373321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773CC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937D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7B77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8B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9ACA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6040EB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盖梁混凝土</w:t>
            </w:r>
          </w:p>
        </w:tc>
        <w:tc>
          <w:tcPr>
            <w:tcW w:w="749" w:type="dxa"/>
            <w:noWrap w:val="0"/>
            <w:vAlign w:val="center"/>
          </w:tcPr>
          <w:p w14:paraId="059D0C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BFD9F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7F3A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0DE2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3E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EC1A7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6B18AB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台帽混凝土</w:t>
            </w:r>
          </w:p>
        </w:tc>
        <w:tc>
          <w:tcPr>
            <w:tcW w:w="749" w:type="dxa"/>
            <w:noWrap w:val="0"/>
            <w:vAlign w:val="center"/>
          </w:tcPr>
          <w:p w14:paraId="50E570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44A1D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BFE9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401ED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ED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5435D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410-3</w:t>
            </w:r>
          </w:p>
        </w:tc>
        <w:tc>
          <w:tcPr>
            <w:tcW w:w="4732" w:type="dxa"/>
            <w:noWrap w:val="0"/>
            <w:vAlign w:val="center"/>
          </w:tcPr>
          <w:p w14:paraId="523FA138">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现浇混凝土上部结构</w:t>
            </w:r>
          </w:p>
        </w:tc>
        <w:tc>
          <w:tcPr>
            <w:tcW w:w="749" w:type="dxa"/>
            <w:noWrap w:val="0"/>
            <w:vAlign w:val="center"/>
          </w:tcPr>
          <w:p w14:paraId="5FDA797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263B4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8D6A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B5B3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86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7BC4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410-4</w:t>
            </w:r>
          </w:p>
        </w:tc>
        <w:tc>
          <w:tcPr>
            <w:tcW w:w="4732" w:type="dxa"/>
            <w:noWrap w:val="0"/>
            <w:vAlign w:val="center"/>
          </w:tcPr>
          <w:p w14:paraId="026B661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预制混凝土上部结构</w:t>
            </w:r>
          </w:p>
        </w:tc>
        <w:tc>
          <w:tcPr>
            <w:tcW w:w="749" w:type="dxa"/>
            <w:noWrap w:val="0"/>
            <w:vAlign w:val="center"/>
          </w:tcPr>
          <w:p w14:paraId="7DC8EF7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93917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4568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53BF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C2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DFFDD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410-5</w:t>
            </w:r>
          </w:p>
        </w:tc>
        <w:tc>
          <w:tcPr>
            <w:tcW w:w="4732" w:type="dxa"/>
            <w:noWrap w:val="0"/>
            <w:vAlign w:val="center"/>
          </w:tcPr>
          <w:p w14:paraId="2AF1C9F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桥梁上部结构现浇整体化混凝土</w:t>
            </w:r>
          </w:p>
        </w:tc>
        <w:tc>
          <w:tcPr>
            <w:tcW w:w="749" w:type="dxa"/>
            <w:noWrap w:val="0"/>
            <w:vAlign w:val="center"/>
          </w:tcPr>
          <w:p w14:paraId="0C021C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　</w:t>
            </w:r>
          </w:p>
        </w:tc>
        <w:tc>
          <w:tcPr>
            <w:tcW w:w="837" w:type="dxa"/>
            <w:noWrap w:val="0"/>
            <w:vAlign w:val="center"/>
          </w:tcPr>
          <w:p w14:paraId="01C3B2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0601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7F0F8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D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62B4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410-6</w:t>
            </w:r>
          </w:p>
        </w:tc>
        <w:tc>
          <w:tcPr>
            <w:tcW w:w="4732" w:type="dxa"/>
            <w:noWrap w:val="0"/>
            <w:vAlign w:val="center"/>
          </w:tcPr>
          <w:p w14:paraId="15F4B5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现浇混凝土附属结构</w:t>
            </w:r>
          </w:p>
        </w:tc>
        <w:tc>
          <w:tcPr>
            <w:tcW w:w="749" w:type="dxa"/>
            <w:noWrap w:val="0"/>
            <w:vAlign w:val="center"/>
          </w:tcPr>
          <w:p w14:paraId="29BCC0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78016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BAE2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9A58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FE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4BA28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410-7</w:t>
            </w:r>
          </w:p>
        </w:tc>
        <w:tc>
          <w:tcPr>
            <w:tcW w:w="4732" w:type="dxa"/>
            <w:noWrap w:val="0"/>
            <w:vAlign w:val="center"/>
          </w:tcPr>
          <w:p w14:paraId="589A45C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预制混凝土附属结构</w:t>
            </w:r>
          </w:p>
        </w:tc>
        <w:tc>
          <w:tcPr>
            <w:tcW w:w="749" w:type="dxa"/>
            <w:noWrap w:val="0"/>
            <w:vAlign w:val="center"/>
          </w:tcPr>
          <w:p w14:paraId="143CA5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C2F04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F2FC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23F3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45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1C829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411</w:t>
            </w:r>
          </w:p>
        </w:tc>
        <w:tc>
          <w:tcPr>
            <w:tcW w:w="4732" w:type="dxa"/>
            <w:noWrap w:val="0"/>
            <w:vAlign w:val="center"/>
          </w:tcPr>
          <w:p w14:paraId="12AA28DB">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预应力混凝土工程</w:t>
            </w:r>
          </w:p>
        </w:tc>
        <w:tc>
          <w:tcPr>
            <w:tcW w:w="749" w:type="dxa"/>
            <w:noWrap w:val="0"/>
            <w:vAlign w:val="top"/>
          </w:tcPr>
          <w:p w14:paraId="141C532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CC4C1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A3F3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7D127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A2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BABC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411-1</w:t>
            </w:r>
          </w:p>
        </w:tc>
        <w:tc>
          <w:tcPr>
            <w:tcW w:w="4732" w:type="dxa"/>
            <w:noWrap w:val="0"/>
            <w:vAlign w:val="center"/>
          </w:tcPr>
          <w:p w14:paraId="7035183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7CE859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1AD81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FE09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1A94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B8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0D88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411-2</w:t>
            </w:r>
          </w:p>
        </w:tc>
        <w:tc>
          <w:tcPr>
            <w:tcW w:w="4732" w:type="dxa"/>
            <w:noWrap w:val="0"/>
            <w:vAlign w:val="center"/>
          </w:tcPr>
          <w:p w14:paraId="193C48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161A0C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88E1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A22A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43672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88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4839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411-3</w:t>
            </w:r>
          </w:p>
        </w:tc>
        <w:tc>
          <w:tcPr>
            <w:tcW w:w="4732" w:type="dxa"/>
            <w:noWrap w:val="0"/>
            <w:vAlign w:val="center"/>
          </w:tcPr>
          <w:p w14:paraId="395ADBA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2EC5F8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0A9F4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6086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E2A7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E4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D409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411-4</w:t>
            </w:r>
          </w:p>
        </w:tc>
        <w:tc>
          <w:tcPr>
            <w:tcW w:w="4732" w:type="dxa"/>
            <w:noWrap w:val="0"/>
            <w:vAlign w:val="center"/>
          </w:tcPr>
          <w:p w14:paraId="4F33A2B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440F8F0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AFC7F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C848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C5A9D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66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5C04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411-5</w:t>
            </w:r>
          </w:p>
        </w:tc>
        <w:tc>
          <w:tcPr>
            <w:tcW w:w="4732" w:type="dxa"/>
            <w:noWrap w:val="0"/>
            <w:vAlign w:val="center"/>
          </w:tcPr>
          <w:p w14:paraId="1C42516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6611B8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F1ABF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B6D5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FF03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A7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A6E7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411-6</w:t>
            </w:r>
          </w:p>
        </w:tc>
        <w:tc>
          <w:tcPr>
            <w:tcW w:w="4732" w:type="dxa"/>
            <w:noWrap w:val="0"/>
            <w:vAlign w:val="center"/>
          </w:tcPr>
          <w:p w14:paraId="11666EE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288B98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23F4E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3073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3850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30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EE9D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411-7</w:t>
            </w:r>
          </w:p>
        </w:tc>
        <w:tc>
          <w:tcPr>
            <w:tcW w:w="4732" w:type="dxa"/>
            <w:noWrap w:val="0"/>
            <w:vAlign w:val="center"/>
          </w:tcPr>
          <w:p w14:paraId="188529D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现浇预应力混凝土上部结构</w:t>
            </w:r>
          </w:p>
        </w:tc>
        <w:tc>
          <w:tcPr>
            <w:tcW w:w="749" w:type="dxa"/>
            <w:noWrap w:val="0"/>
            <w:vAlign w:val="center"/>
          </w:tcPr>
          <w:p w14:paraId="721A21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A5CB7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E1CD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55E8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09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BDE9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411-8</w:t>
            </w:r>
          </w:p>
        </w:tc>
        <w:tc>
          <w:tcPr>
            <w:tcW w:w="4732" w:type="dxa"/>
            <w:noWrap w:val="0"/>
            <w:vAlign w:val="center"/>
          </w:tcPr>
          <w:p w14:paraId="682DCC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预制预应力混凝土上部结构</w:t>
            </w:r>
          </w:p>
        </w:tc>
        <w:tc>
          <w:tcPr>
            <w:tcW w:w="749" w:type="dxa"/>
            <w:noWrap w:val="0"/>
            <w:vAlign w:val="center"/>
          </w:tcPr>
          <w:p w14:paraId="5C0AD9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36DDD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79A6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D8FD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98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5F832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413</w:t>
            </w:r>
          </w:p>
        </w:tc>
        <w:tc>
          <w:tcPr>
            <w:tcW w:w="4732" w:type="dxa"/>
            <w:noWrap w:val="0"/>
            <w:vAlign w:val="center"/>
          </w:tcPr>
          <w:p w14:paraId="79C93EF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砌石工程</w:t>
            </w:r>
          </w:p>
        </w:tc>
        <w:tc>
          <w:tcPr>
            <w:tcW w:w="749" w:type="dxa"/>
            <w:noWrap w:val="0"/>
            <w:vAlign w:val="top"/>
          </w:tcPr>
          <w:p w14:paraId="76C46C9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3A4AC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5C03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6D91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16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F05C2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413-1</w:t>
            </w:r>
          </w:p>
        </w:tc>
        <w:tc>
          <w:tcPr>
            <w:tcW w:w="4732" w:type="dxa"/>
            <w:noWrap w:val="0"/>
            <w:vAlign w:val="center"/>
          </w:tcPr>
          <w:p w14:paraId="16E1AC5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top"/>
          </w:tcPr>
          <w:p w14:paraId="65F8618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1E023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075B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6DE5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30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D0618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22CE8F4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32C8026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C1478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C320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91634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68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53EB9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413-2</w:t>
            </w:r>
          </w:p>
        </w:tc>
        <w:tc>
          <w:tcPr>
            <w:tcW w:w="4732" w:type="dxa"/>
            <w:noWrap w:val="0"/>
            <w:vAlign w:val="center"/>
          </w:tcPr>
          <w:p w14:paraId="760E09A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浆砌块石</w:t>
            </w:r>
          </w:p>
        </w:tc>
        <w:tc>
          <w:tcPr>
            <w:tcW w:w="749" w:type="dxa"/>
            <w:noWrap w:val="0"/>
            <w:vAlign w:val="top"/>
          </w:tcPr>
          <w:p w14:paraId="76552A2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85770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CECC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2B6D8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0B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A8771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1B37DB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2B3D494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1A34B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0453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78408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9D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4A7AE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413-3</w:t>
            </w:r>
          </w:p>
        </w:tc>
        <w:tc>
          <w:tcPr>
            <w:tcW w:w="4732" w:type="dxa"/>
            <w:noWrap w:val="0"/>
            <w:vAlign w:val="center"/>
          </w:tcPr>
          <w:p w14:paraId="220AB34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浆砌料石</w:t>
            </w:r>
          </w:p>
        </w:tc>
        <w:tc>
          <w:tcPr>
            <w:tcW w:w="749" w:type="dxa"/>
            <w:noWrap w:val="0"/>
            <w:vAlign w:val="top"/>
          </w:tcPr>
          <w:p w14:paraId="35A7136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6374D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6563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5471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F7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4D715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4131124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43AE64F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B4C40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2378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C48E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4B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0524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413-4</w:t>
            </w:r>
          </w:p>
        </w:tc>
        <w:tc>
          <w:tcPr>
            <w:tcW w:w="4732" w:type="dxa"/>
            <w:noWrap w:val="0"/>
            <w:vAlign w:val="center"/>
          </w:tcPr>
          <w:p w14:paraId="064EC3F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浆砌预制混凝土块</w:t>
            </w:r>
          </w:p>
        </w:tc>
        <w:tc>
          <w:tcPr>
            <w:tcW w:w="749" w:type="dxa"/>
            <w:noWrap w:val="0"/>
            <w:vAlign w:val="top"/>
          </w:tcPr>
          <w:p w14:paraId="7651E46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5E7B9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A135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978B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B6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AEEF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4A5E21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6D36FAC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74406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6779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4A3C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1C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92D8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w:t>
            </w:r>
          </w:p>
        </w:tc>
        <w:tc>
          <w:tcPr>
            <w:tcW w:w="4732" w:type="dxa"/>
            <w:noWrap w:val="0"/>
            <w:vAlign w:val="center"/>
          </w:tcPr>
          <w:p w14:paraId="20445F3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桥面铺装</w:t>
            </w:r>
          </w:p>
        </w:tc>
        <w:tc>
          <w:tcPr>
            <w:tcW w:w="749" w:type="dxa"/>
            <w:noWrap w:val="0"/>
            <w:vAlign w:val="top"/>
          </w:tcPr>
          <w:p w14:paraId="3C10E64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B9A14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13E3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1791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A8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07F2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415-1</w:t>
            </w:r>
          </w:p>
        </w:tc>
        <w:tc>
          <w:tcPr>
            <w:tcW w:w="4732" w:type="dxa"/>
            <w:noWrap w:val="0"/>
            <w:vAlign w:val="center"/>
          </w:tcPr>
          <w:p w14:paraId="6618120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沥青混凝土桥面铺装</w:t>
            </w:r>
          </w:p>
        </w:tc>
        <w:tc>
          <w:tcPr>
            <w:tcW w:w="749" w:type="dxa"/>
            <w:noWrap w:val="0"/>
            <w:vAlign w:val="center"/>
          </w:tcPr>
          <w:p w14:paraId="10324D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0C4EF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5968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1E3D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C3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5946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415-2</w:t>
            </w:r>
          </w:p>
        </w:tc>
        <w:tc>
          <w:tcPr>
            <w:tcW w:w="4732" w:type="dxa"/>
            <w:noWrap w:val="0"/>
            <w:vAlign w:val="center"/>
          </w:tcPr>
          <w:p w14:paraId="4A72EA7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水泥混凝土桥面铺装</w:t>
            </w:r>
          </w:p>
        </w:tc>
        <w:tc>
          <w:tcPr>
            <w:tcW w:w="749" w:type="dxa"/>
            <w:noWrap w:val="0"/>
            <w:vAlign w:val="center"/>
          </w:tcPr>
          <w:p w14:paraId="62DE13C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EE907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3702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F6A2F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75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70F0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415-3</w:t>
            </w:r>
          </w:p>
        </w:tc>
        <w:tc>
          <w:tcPr>
            <w:tcW w:w="4732" w:type="dxa"/>
            <w:noWrap w:val="0"/>
            <w:vAlign w:val="center"/>
          </w:tcPr>
          <w:p w14:paraId="664DAEC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749" w:type="dxa"/>
            <w:noWrap w:val="0"/>
            <w:vAlign w:val="center"/>
          </w:tcPr>
          <w:p w14:paraId="3A2695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E3EB5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8F6A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8CBE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61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0A05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ECBC0B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桥面混凝土表面处理</w:t>
            </w:r>
          </w:p>
        </w:tc>
        <w:tc>
          <w:tcPr>
            <w:tcW w:w="749" w:type="dxa"/>
            <w:noWrap w:val="0"/>
            <w:vAlign w:val="center"/>
          </w:tcPr>
          <w:p w14:paraId="74D6DF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690A0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4568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C9C20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E2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7440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09C615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铺设防水层</w:t>
            </w:r>
          </w:p>
        </w:tc>
        <w:tc>
          <w:tcPr>
            <w:tcW w:w="749" w:type="dxa"/>
            <w:noWrap w:val="0"/>
            <w:vAlign w:val="center"/>
          </w:tcPr>
          <w:p w14:paraId="34843D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72D9F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D860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7C3A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97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60EF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415-4</w:t>
            </w:r>
          </w:p>
        </w:tc>
        <w:tc>
          <w:tcPr>
            <w:tcW w:w="4732" w:type="dxa"/>
            <w:noWrap w:val="0"/>
            <w:vAlign w:val="center"/>
          </w:tcPr>
          <w:p w14:paraId="07C88B5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桥面排水</w:t>
            </w:r>
          </w:p>
        </w:tc>
        <w:tc>
          <w:tcPr>
            <w:tcW w:w="749" w:type="dxa"/>
            <w:noWrap w:val="0"/>
            <w:vAlign w:val="center"/>
          </w:tcPr>
          <w:p w14:paraId="14E396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E7EAC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BF71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E341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00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0D72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944AAA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竖、横向集中排水管</w:t>
            </w:r>
          </w:p>
        </w:tc>
        <w:tc>
          <w:tcPr>
            <w:tcW w:w="749" w:type="dxa"/>
            <w:noWrap w:val="0"/>
            <w:vAlign w:val="center"/>
          </w:tcPr>
          <w:p w14:paraId="65639A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8BDB3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9961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B693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62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29DDF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-a-1</w:t>
            </w:r>
          </w:p>
        </w:tc>
        <w:tc>
          <w:tcPr>
            <w:tcW w:w="4732" w:type="dxa"/>
            <w:noWrap w:val="0"/>
            <w:vAlign w:val="center"/>
          </w:tcPr>
          <w:p w14:paraId="09E4F8C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铸铁管</w:t>
            </w:r>
          </w:p>
        </w:tc>
        <w:tc>
          <w:tcPr>
            <w:tcW w:w="749" w:type="dxa"/>
            <w:noWrap w:val="0"/>
            <w:vAlign w:val="top"/>
          </w:tcPr>
          <w:p w14:paraId="040C895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87DF8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3588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9008D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72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4CD2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-a-2</w:t>
            </w:r>
          </w:p>
        </w:tc>
        <w:tc>
          <w:tcPr>
            <w:tcW w:w="4732" w:type="dxa"/>
            <w:noWrap w:val="0"/>
            <w:vAlign w:val="center"/>
          </w:tcPr>
          <w:p w14:paraId="5AD7FA7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w:t>
            </w:r>
          </w:p>
        </w:tc>
        <w:tc>
          <w:tcPr>
            <w:tcW w:w="749" w:type="dxa"/>
            <w:noWrap w:val="0"/>
            <w:vAlign w:val="center"/>
          </w:tcPr>
          <w:p w14:paraId="639CE3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28E8A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63C0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C343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5E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B6D9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7B0E6B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PVC管</w:t>
            </w:r>
          </w:p>
        </w:tc>
        <w:tc>
          <w:tcPr>
            <w:tcW w:w="749" w:type="dxa"/>
            <w:noWrap w:val="0"/>
            <w:vAlign w:val="center"/>
          </w:tcPr>
          <w:p w14:paraId="5BEE8D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75D20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BFB8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5699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7E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7DAD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E7D4A3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桥面边部碎石盲沟</w:t>
            </w:r>
          </w:p>
        </w:tc>
        <w:tc>
          <w:tcPr>
            <w:tcW w:w="749" w:type="dxa"/>
            <w:noWrap w:val="0"/>
            <w:vAlign w:val="center"/>
          </w:tcPr>
          <w:p w14:paraId="27B797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0BFD4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2A1A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2E84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E2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B23D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w:t>
            </w:r>
          </w:p>
        </w:tc>
        <w:tc>
          <w:tcPr>
            <w:tcW w:w="4732" w:type="dxa"/>
            <w:noWrap w:val="0"/>
            <w:vAlign w:val="center"/>
          </w:tcPr>
          <w:p w14:paraId="20BF037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桥梁支座</w:t>
            </w:r>
          </w:p>
        </w:tc>
        <w:tc>
          <w:tcPr>
            <w:tcW w:w="749" w:type="dxa"/>
            <w:noWrap w:val="0"/>
            <w:vAlign w:val="top"/>
          </w:tcPr>
          <w:p w14:paraId="3ED257B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FDA34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8071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D246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C4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C868C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416-1</w:t>
            </w:r>
          </w:p>
        </w:tc>
        <w:tc>
          <w:tcPr>
            <w:tcW w:w="4732" w:type="dxa"/>
            <w:noWrap w:val="0"/>
            <w:vAlign w:val="center"/>
          </w:tcPr>
          <w:p w14:paraId="43432BB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板式橡胶支座</w:t>
            </w:r>
          </w:p>
        </w:tc>
        <w:tc>
          <w:tcPr>
            <w:tcW w:w="749" w:type="dxa"/>
            <w:noWrap w:val="0"/>
            <w:vAlign w:val="center"/>
          </w:tcPr>
          <w:p w14:paraId="0879A5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dm³</w:t>
            </w:r>
          </w:p>
        </w:tc>
        <w:tc>
          <w:tcPr>
            <w:tcW w:w="837" w:type="dxa"/>
            <w:noWrap w:val="0"/>
            <w:vAlign w:val="center"/>
          </w:tcPr>
          <w:p w14:paraId="244C46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77B2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A460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C5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31E3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416-2</w:t>
            </w:r>
          </w:p>
        </w:tc>
        <w:tc>
          <w:tcPr>
            <w:tcW w:w="4732" w:type="dxa"/>
            <w:noWrap w:val="0"/>
            <w:vAlign w:val="center"/>
          </w:tcPr>
          <w:p w14:paraId="6AC641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盆式支座</w:t>
            </w:r>
          </w:p>
        </w:tc>
        <w:tc>
          <w:tcPr>
            <w:tcW w:w="749" w:type="dxa"/>
            <w:noWrap w:val="0"/>
            <w:vAlign w:val="center"/>
          </w:tcPr>
          <w:p w14:paraId="387060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DCEE3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9847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BF59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39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823A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416-3</w:t>
            </w:r>
          </w:p>
        </w:tc>
        <w:tc>
          <w:tcPr>
            <w:tcW w:w="4732" w:type="dxa"/>
            <w:noWrap w:val="0"/>
            <w:vAlign w:val="center"/>
          </w:tcPr>
          <w:p w14:paraId="6848FC4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隔震橡胶支座</w:t>
            </w:r>
          </w:p>
        </w:tc>
        <w:tc>
          <w:tcPr>
            <w:tcW w:w="749" w:type="dxa"/>
            <w:noWrap w:val="0"/>
            <w:vAlign w:val="center"/>
          </w:tcPr>
          <w:p w14:paraId="6F8149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56454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D8D0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EA2A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19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2F49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416-4</w:t>
            </w:r>
          </w:p>
        </w:tc>
        <w:tc>
          <w:tcPr>
            <w:tcW w:w="4732" w:type="dxa"/>
            <w:noWrap w:val="0"/>
            <w:vAlign w:val="center"/>
          </w:tcPr>
          <w:p w14:paraId="02119E6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球形支座</w:t>
            </w:r>
          </w:p>
        </w:tc>
        <w:tc>
          <w:tcPr>
            <w:tcW w:w="749" w:type="dxa"/>
            <w:noWrap w:val="0"/>
            <w:vAlign w:val="center"/>
          </w:tcPr>
          <w:p w14:paraId="307655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7CADF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B82C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E524F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F5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A792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w:t>
            </w:r>
          </w:p>
        </w:tc>
        <w:tc>
          <w:tcPr>
            <w:tcW w:w="4732" w:type="dxa"/>
            <w:noWrap w:val="0"/>
            <w:vAlign w:val="center"/>
          </w:tcPr>
          <w:p w14:paraId="32AE4A4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桥梁接缝和伸缩装置</w:t>
            </w:r>
          </w:p>
        </w:tc>
        <w:tc>
          <w:tcPr>
            <w:tcW w:w="749" w:type="dxa"/>
            <w:noWrap w:val="0"/>
            <w:vAlign w:val="top"/>
          </w:tcPr>
          <w:p w14:paraId="304B52A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61236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4ED8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BE013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2E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B765C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417-1</w:t>
            </w:r>
          </w:p>
        </w:tc>
        <w:tc>
          <w:tcPr>
            <w:tcW w:w="4732" w:type="dxa"/>
            <w:noWrap w:val="0"/>
            <w:vAlign w:val="center"/>
          </w:tcPr>
          <w:p w14:paraId="0960A17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橡胶伸缩装置</w:t>
            </w:r>
          </w:p>
        </w:tc>
        <w:tc>
          <w:tcPr>
            <w:tcW w:w="749" w:type="dxa"/>
            <w:noWrap w:val="0"/>
            <w:vAlign w:val="center"/>
          </w:tcPr>
          <w:p w14:paraId="5723837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CC758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2646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C84D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CF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CE14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417-2</w:t>
            </w:r>
          </w:p>
        </w:tc>
        <w:tc>
          <w:tcPr>
            <w:tcW w:w="4732" w:type="dxa"/>
            <w:noWrap w:val="0"/>
            <w:vAlign w:val="center"/>
          </w:tcPr>
          <w:p w14:paraId="4424EDE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模数式伸缩装置</w:t>
            </w:r>
          </w:p>
        </w:tc>
        <w:tc>
          <w:tcPr>
            <w:tcW w:w="749" w:type="dxa"/>
            <w:noWrap w:val="0"/>
            <w:vAlign w:val="center"/>
          </w:tcPr>
          <w:p w14:paraId="750C20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9D0A8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A179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DB4C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F4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5100D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417-3</w:t>
            </w:r>
          </w:p>
        </w:tc>
        <w:tc>
          <w:tcPr>
            <w:tcW w:w="4732" w:type="dxa"/>
            <w:noWrap w:val="0"/>
            <w:vAlign w:val="center"/>
          </w:tcPr>
          <w:p w14:paraId="2F658A2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梳齿板式伸缩装置</w:t>
            </w:r>
          </w:p>
        </w:tc>
        <w:tc>
          <w:tcPr>
            <w:tcW w:w="749" w:type="dxa"/>
            <w:noWrap w:val="0"/>
            <w:vAlign w:val="center"/>
          </w:tcPr>
          <w:p w14:paraId="4C98AD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6CEF1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1B51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D9C8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5C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6281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417-4</w:t>
            </w:r>
          </w:p>
        </w:tc>
        <w:tc>
          <w:tcPr>
            <w:tcW w:w="4732" w:type="dxa"/>
            <w:noWrap w:val="0"/>
            <w:vAlign w:val="center"/>
          </w:tcPr>
          <w:p w14:paraId="621E736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填充式材料伸缩装置</w:t>
            </w:r>
          </w:p>
        </w:tc>
        <w:tc>
          <w:tcPr>
            <w:tcW w:w="749" w:type="dxa"/>
            <w:noWrap w:val="0"/>
            <w:vAlign w:val="center"/>
          </w:tcPr>
          <w:p w14:paraId="2619F4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CCBF7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4EA3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6471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95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4DE90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w:t>
            </w:r>
          </w:p>
        </w:tc>
        <w:tc>
          <w:tcPr>
            <w:tcW w:w="4732" w:type="dxa"/>
            <w:noWrap w:val="0"/>
            <w:vAlign w:val="center"/>
          </w:tcPr>
          <w:p w14:paraId="0432B27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圆管涵及倒虹吸管涵</w:t>
            </w:r>
          </w:p>
        </w:tc>
        <w:tc>
          <w:tcPr>
            <w:tcW w:w="749" w:type="dxa"/>
            <w:noWrap w:val="0"/>
            <w:vAlign w:val="top"/>
          </w:tcPr>
          <w:p w14:paraId="633FEAD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81A9F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7F6B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595F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1D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3EE30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419-1</w:t>
            </w:r>
          </w:p>
        </w:tc>
        <w:tc>
          <w:tcPr>
            <w:tcW w:w="4732" w:type="dxa"/>
            <w:noWrap w:val="0"/>
            <w:vAlign w:val="center"/>
          </w:tcPr>
          <w:p w14:paraId="3670589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单孔钢筋混凝土圆管涵</w:t>
            </w:r>
          </w:p>
        </w:tc>
        <w:tc>
          <w:tcPr>
            <w:tcW w:w="749" w:type="dxa"/>
            <w:noWrap w:val="0"/>
            <w:vAlign w:val="center"/>
          </w:tcPr>
          <w:p w14:paraId="18AC8D1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1F1756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1B6A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62B8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B4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F46E3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419-2</w:t>
            </w:r>
          </w:p>
        </w:tc>
        <w:tc>
          <w:tcPr>
            <w:tcW w:w="4732" w:type="dxa"/>
            <w:noWrap w:val="0"/>
            <w:vAlign w:val="center"/>
          </w:tcPr>
          <w:p w14:paraId="2B661E7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双孔钢筋混凝土圆管涵</w:t>
            </w:r>
          </w:p>
        </w:tc>
        <w:tc>
          <w:tcPr>
            <w:tcW w:w="749" w:type="dxa"/>
            <w:noWrap w:val="0"/>
            <w:vAlign w:val="center"/>
          </w:tcPr>
          <w:p w14:paraId="1B3C744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81A80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880D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C4C0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81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0315E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419-3</w:t>
            </w:r>
          </w:p>
        </w:tc>
        <w:tc>
          <w:tcPr>
            <w:tcW w:w="4732" w:type="dxa"/>
            <w:noWrap w:val="0"/>
            <w:vAlign w:val="center"/>
          </w:tcPr>
          <w:p w14:paraId="1A97A52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钢筋混凝土圆管倒虹吸管涵</w:t>
            </w:r>
          </w:p>
        </w:tc>
        <w:tc>
          <w:tcPr>
            <w:tcW w:w="749" w:type="dxa"/>
            <w:noWrap w:val="0"/>
            <w:vAlign w:val="center"/>
          </w:tcPr>
          <w:p w14:paraId="70C4FB6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3FA943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003C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5BB8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1D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5A4B7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w:t>
            </w:r>
          </w:p>
        </w:tc>
        <w:tc>
          <w:tcPr>
            <w:tcW w:w="4732" w:type="dxa"/>
            <w:noWrap w:val="0"/>
            <w:vAlign w:val="center"/>
          </w:tcPr>
          <w:p w14:paraId="12B915C4">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盖板涵、箱涵</w:t>
            </w:r>
          </w:p>
        </w:tc>
        <w:tc>
          <w:tcPr>
            <w:tcW w:w="749" w:type="dxa"/>
            <w:noWrap w:val="0"/>
            <w:vAlign w:val="center"/>
          </w:tcPr>
          <w:p w14:paraId="6568D670">
            <w:pPr>
              <w:pageBreakBefore w:val="0"/>
              <w:kinsoku/>
              <w:wordWrap w:val="0"/>
              <w:autoSpaceDE w:val="0"/>
              <w:autoSpaceDN w:val="0"/>
              <w:bidi w:val="0"/>
              <w:spacing w:line="360" w:lineRule="atLeast"/>
              <w:ind w:firstLine="30"/>
              <w:jc w:val="center"/>
              <w:textAlignment w:val="bottom"/>
              <w:rPr>
                <w:rFonts w:hint="default" w:ascii="Times New Roman" w:hAnsi="Times New Roman" w:cs="Times New Roman"/>
                <w:color w:val="auto"/>
                <w:szCs w:val="21"/>
                <w:highlight w:val="none"/>
              </w:rPr>
            </w:pPr>
          </w:p>
        </w:tc>
        <w:tc>
          <w:tcPr>
            <w:tcW w:w="837" w:type="dxa"/>
            <w:noWrap w:val="0"/>
            <w:vAlign w:val="center"/>
          </w:tcPr>
          <w:p w14:paraId="479D10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A728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94A8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E3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B8C01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420-1</w:t>
            </w:r>
          </w:p>
        </w:tc>
        <w:tc>
          <w:tcPr>
            <w:tcW w:w="4732" w:type="dxa"/>
            <w:noWrap w:val="0"/>
            <w:vAlign w:val="center"/>
          </w:tcPr>
          <w:p w14:paraId="09BA29E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钢筋混凝土盖板涵</w:t>
            </w:r>
          </w:p>
        </w:tc>
        <w:tc>
          <w:tcPr>
            <w:tcW w:w="749" w:type="dxa"/>
            <w:noWrap w:val="0"/>
            <w:vAlign w:val="center"/>
          </w:tcPr>
          <w:p w14:paraId="0F34ADD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153AA7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79AD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92E7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99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A55ED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420-2</w:t>
            </w:r>
          </w:p>
        </w:tc>
        <w:tc>
          <w:tcPr>
            <w:tcW w:w="4732" w:type="dxa"/>
            <w:noWrap w:val="0"/>
            <w:vAlign w:val="center"/>
          </w:tcPr>
          <w:p w14:paraId="3505E75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钢筋混凝土箱涵</w:t>
            </w:r>
          </w:p>
        </w:tc>
        <w:tc>
          <w:tcPr>
            <w:tcW w:w="749" w:type="dxa"/>
            <w:noWrap w:val="0"/>
            <w:vAlign w:val="center"/>
          </w:tcPr>
          <w:p w14:paraId="4E670C8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3B0628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689E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A986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C0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77D79C">
            <w:pPr>
              <w:pageBreakBefore w:val="0"/>
              <w:widowControl/>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Cs/>
                <w:color w:val="auto"/>
                <w:kern w:val="0"/>
                <w:szCs w:val="21"/>
                <w:highlight w:val="none"/>
              </w:rPr>
              <w:t>420-3</w:t>
            </w:r>
          </w:p>
        </w:tc>
        <w:tc>
          <w:tcPr>
            <w:tcW w:w="4732" w:type="dxa"/>
            <w:noWrap w:val="0"/>
            <w:vAlign w:val="center"/>
          </w:tcPr>
          <w:p w14:paraId="7D94CD1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钢筋混凝土盖板通道涵</w:t>
            </w:r>
          </w:p>
        </w:tc>
        <w:tc>
          <w:tcPr>
            <w:tcW w:w="749" w:type="dxa"/>
            <w:noWrap w:val="0"/>
            <w:vAlign w:val="center"/>
          </w:tcPr>
          <w:p w14:paraId="0861C50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0B8950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05EF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0B186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54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BED5A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420-4</w:t>
            </w:r>
          </w:p>
        </w:tc>
        <w:tc>
          <w:tcPr>
            <w:tcW w:w="4732" w:type="dxa"/>
            <w:noWrap w:val="0"/>
            <w:vAlign w:val="center"/>
          </w:tcPr>
          <w:p w14:paraId="470FC6D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钢筋混凝土箱形通道涵</w:t>
            </w:r>
          </w:p>
        </w:tc>
        <w:tc>
          <w:tcPr>
            <w:tcW w:w="749" w:type="dxa"/>
            <w:noWrap w:val="0"/>
            <w:vAlign w:val="center"/>
          </w:tcPr>
          <w:p w14:paraId="0C2735A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3B5DE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E143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42C8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67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68813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w:t>
            </w:r>
          </w:p>
        </w:tc>
        <w:tc>
          <w:tcPr>
            <w:tcW w:w="4732" w:type="dxa"/>
            <w:noWrap w:val="0"/>
            <w:vAlign w:val="center"/>
          </w:tcPr>
          <w:p w14:paraId="71C86508">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拱涵</w:t>
            </w:r>
          </w:p>
        </w:tc>
        <w:tc>
          <w:tcPr>
            <w:tcW w:w="749" w:type="dxa"/>
            <w:noWrap w:val="0"/>
            <w:vAlign w:val="top"/>
          </w:tcPr>
          <w:p w14:paraId="713A534F">
            <w:pPr>
              <w:pageBreakBefore w:val="0"/>
              <w:kinsoku/>
              <w:wordWrap w:val="0"/>
              <w:autoSpaceDE w:val="0"/>
              <w:autoSpaceDN w:val="0"/>
              <w:bidi w:val="0"/>
              <w:spacing w:line="360" w:lineRule="atLeast"/>
              <w:ind w:right="57" w:firstLine="23"/>
              <w:jc w:val="center"/>
              <w:textAlignment w:val="bottom"/>
              <w:rPr>
                <w:rFonts w:hint="default" w:ascii="Times New Roman" w:hAnsi="Times New Roman" w:cs="Times New Roman"/>
                <w:color w:val="auto"/>
                <w:szCs w:val="21"/>
                <w:highlight w:val="none"/>
              </w:rPr>
            </w:pPr>
          </w:p>
        </w:tc>
        <w:tc>
          <w:tcPr>
            <w:tcW w:w="837" w:type="dxa"/>
            <w:noWrap w:val="0"/>
            <w:vAlign w:val="center"/>
          </w:tcPr>
          <w:p w14:paraId="5C1847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79EE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5A0A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E9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726DE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421-1</w:t>
            </w:r>
          </w:p>
        </w:tc>
        <w:tc>
          <w:tcPr>
            <w:tcW w:w="4732" w:type="dxa"/>
            <w:noWrap w:val="0"/>
            <w:vAlign w:val="center"/>
          </w:tcPr>
          <w:p w14:paraId="10C59CD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拱涵</w:t>
            </w:r>
          </w:p>
        </w:tc>
        <w:tc>
          <w:tcPr>
            <w:tcW w:w="749" w:type="dxa"/>
            <w:noWrap w:val="0"/>
            <w:vAlign w:val="center"/>
          </w:tcPr>
          <w:p w14:paraId="4192AC6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08B7A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56AB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DF795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B3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27A1A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123D51A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石拱涵</w:t>
            </w:r>
          </w:p>
        </w:tc>
        <w:tc>
          <w:tcPr>
            <w:tcW w:w="749" w:type="dxa"/>
            <w:noWrap w:val="0"/>
            <w:vAlign w:val="center"/>
          </w:tcPr>
          <w:p w14:paraId="490302C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4F8AC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168E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0BE1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C5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C98A5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3050CF5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混凝土拱涵</w:t>
            </w:r>
          </w:p>
        </w:tc>
        <w:tc>
          <w:tcPr>
            <w:tcW w:w="749" w:type="dxa"/>
            <w:noWrap w:val="0"/>
            <w:vAlign w:val="center"/>
          </w:tcPr>
          <w:p w14:paraId="4DA5A9E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CF945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5EEE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65BC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68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68137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421-2</w:t>
            </w:r>
          </w:p>
        </w:tc>
        <w:tc>
          <w:tcPr>
            <w:tcW w:w="4732" w:type="dxa"/>
            <w:noWrap w:val="0"/>
            <w:vAlign w:val="center"/>
          </w:tcPr>
          <w:p w14:paraId="397F437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拱形通道涵</w:t>
            </w:r>
          </w:p>
        </w:tc>
        <w:tc>
          <w:tcPr>
            <w:tcW w:w="749" w:type="dxa"/>
            <w:noWrap w:val="0"/>
            <w:vAlign w:val="center"/>
          </w:tcPr>
          <w:p w14:paraId="6F1F2EA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0D7E3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80E9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DFF3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8D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6DD0A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58B96EC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石拱通道涵</w:t>
            </w:r>
          </w:p>
        </w:tc>
        <w:tc>
          <w:tcPr>
            <w:tcW w:w="749" w:type="dxa"/>
            <w:noWrap w:val="0"/>
            <w:vAlign w:val="center"/>
          </w:tcPr>
          <w:p w14:paraId="6439E22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FA8FD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475D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6F97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37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DFFD1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6E7C6934">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混凝土拱</w:t>
            </w:r>
            <w:r>
              <w:rPr>
                <w:rFonts w:hint="default" w:ascii="Times New Roman" w:hAnsi="Times New Roman" w:cs="Times New Roman"/>
                <w:color w:val="auto"/>
                <w:szCs w:val="21"/>
                <w:highlight w:val="none"/>
              </w:rPr>
              <w:t>通道涵</w:t>
            </w:r>
          </w:p>
        </w:tc>
        <w:tc>
          <w:tcPr>
            <w:tcW w:w="749" w:type="dxa"/>
            <w:noWrap w:val="0"/>
            <w:vAlign w:val="center"/>
          </w:tcPr>
          <w:p w14:paraId="0D8C7C0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00BF3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D085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D42F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B9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D6F93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3F17D42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7BE9C1E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62449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34CE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C53D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9B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029A6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09E5D4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C0B36E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45EF8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AD93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60FB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56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F40D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49DDCD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25F8A0C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7D9E0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33CE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64DE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E8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F4D08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7F9D11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0E855EC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2716A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65B5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86BBF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96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C5F33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4E9C77E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7EF2756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A6016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33D0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D36B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A4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C39C1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140C346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26E5E33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5CA16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FFBC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CF16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D7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E300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1D834C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518BDF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26CE0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D96E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2DEA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E5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8AA37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02B912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3DA2BA6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DDF74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EAED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1F58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B3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307DC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3E47694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013B6C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A1096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B948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718C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C2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4F59F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C23C48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2541A92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71789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77DF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2B26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8B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14FE2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12105E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CA2322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3DD3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B826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0EED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2A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92D0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3451472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22D2BC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59885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36AB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CCEB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F0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AAF5DA8">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清单第400章合计  人民币</w:t>
            </w:r>
            <w:r>
              <w:rPr>
                <w:rFonts w:hint="default" w:ascii="Times New Roman" w:hAnsi="Times New Roman" w:cs="Times New Roman"/>
                <w:bCs/>
                <w:color w:val="auto"/>
                <w:kern w:val="0"/>
                <w:szCs w:val="21"/>
                <w:highlight w:val="none"/>
                <w:u w:val="single"/>
              </w:rPr>
              <w:t xml:space="preserve">                    </w:t>
            </w:r>
          </w:p>
        </w:tc>
      </w:tr>
    </w:tbl>
    <w:p w14:paraId="027FB18F">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5EA8E89D">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60C0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18A44E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44D7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427A224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20CE447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732EE9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7BFE6B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A1BDDB2">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5AA0AF4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B68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618A29A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w:t>
            </w:r>
          </w:p>
        </w:tc>
        <w:tc>
          <w:tcPr>
            <w:tcW w:w="4644" w:type="dxa"/>
            <w:tcBorders>
              <w:top w:val="single" w:color="auto" w:sz="4" w:space="0"/>
              <w:left w:val="single" w:color="auto" w:sz="4" w:space="0"/>
              <w:bottom w:val="single" w:color="auto" w:sz="4" w:space="0"/>
              <w:right w:val="single" w:color="auto" w:sz="4" w:space="0"/>
            </w:tcBorders>
            <w:noWrap w:val="0"/>
            <w:vAlign w:val="center"/>
          </w:tcPr>
          <w:p w14:paraId="09E62E6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洞口与明洞工程</w:t>
            </w:r>
          </w:p>
        </w:tc>
        <w:tc>
          <w:tcPr>
            <w:tcW w:w="837" w:type="dxa"/>
            <w:tcBorders>
              <w:top w:val="single" w:color="auto" w:sz="4" w:space="0"/>
              <w:left w:val="single" w:color="auto" w:sz="4" w:space="0"/>
              <w:bottom w:val="single" w:color="auto" w:sz="4" w:space="0"/>
              <w:right w:val="single" w:color="auto" w:sz="4" w:space="0"/>
            </w:tcBorders>
            <w:noWrap w:val="0"/>
            <w:vAlign w:val="top"/>
          </w:tcPr>
          <w:p w14:paraId="700A606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1303DF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62878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94A0CF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0C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1406B35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502-1</w:t>
            </w:r>
          </w:p>
        </w:tc>
        <w:tc>
          <w:tcPr>
            <w:tcW w:w="4644" w:type="dxa"/>
            <w:tcBorders>
              <w:top w:val="single" w:color="auto" w:sz="4" w:space="0"/>
              <w:left w:val="single" w:color="auto" w:sz="4" w:space="0"/>
              <w:bottom w:val="single" w:color="auto" w:sz="4" w:space="0"/>
              <w:right w:val="single" w:color="auto" w:sz="4" w:space="0"/>
            </w:tcBorders>
            <w:noWrap w:val="0"/>
            <w:vAlign w:val="top"/>
          </w:tcPr>
          <w:p w14:paraId="2D74964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洞口、明洞开挖</w:t>
            </w:r>
          </w:p>
        </w:tc>
        <w:tc>
          <w:tcPr>
            <w:tcW w:w="837" w:type="dxa"/>
            <w:tcBorders>
              <w:top w:val="single" w:color="auto" w:sz="4" w:space="0"/>
              <w:left w:val="single" w:color="auto" w:sz="4" w:space="0"/>
              <w:bottom w:val="single" w:color="auto" w:sz="4" w:space="0"/>
              <w:right w:val="single" w:color="auto" w:sz="4" w:space="0"/>
            </w:tcBorders>
            <w:noWrap w:val="0"/>
            <w:vAlign w:val="top"/>
          </w:tcPr>
          <w:p w14:paraId="5701791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9663B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2531AA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EB776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34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069077F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tcBorders>
              <w:top w:val="single" w:color="auto" w:sz="4" w:space="0"/>
              <w:left w:val="single" w:color="auto" w:sz="4" w:space="0"/>
              <w:right w:val="single" w:color="auto" w:sz="4" w:space="0"/>
            </w:tcBorders>
            <w:noWrap w:val="0"/>
            <w:vAlign w:val="top"/>
          </w:tcPr>
          <w:p w14:paraId="0E61E00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土方</w:t>
            </w:r>
          </w:p>
        </w:tc>
        <w:tc>
          <w:tcPr>
            <w:tcW w:w="837" w:type="dxa"/>
            <w:tcBorders>
              <w:top w:val="single" w:color="auto" w:sz="4" w:space="0"/>
              <w:left w:val="single" w:color="auto" w:sz="4" w:space="0"/>
              <w:right w:val="single" w:color="auto" w:sz="4" w:space="0"/>
            </w:tcBorders>
            <w:noWrap w:val="0"/>
            <w:vAlign w:val="center"/>
          </w:tcPr>
          <w:p w14:paraId="0DF251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tcBorders>
              <w:top w:val="single" w:color="auto" w:sz="4" w:space="0"/>
              <w:left w:val="single" w:color="auto" w:sz="4" w:space="0"/>
              <w:right w:val="single" w:color="auto" w:sz="4" w:space="0"/>
            </w:tcBorders>
            <w:noWrap w:val="0"/>
            <w:vAlign w:val="center"/>
          </w:tcPr>
          <w:p w14:paraId="5B8043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FBA85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266E4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25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E7824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top"/>
          </w:tcPr>
          <w:p w14:paraId="7FE2186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石方</w:t>
            </w:r>
          </w:p>
        </w:tc>
        <w:tc>
          <w:tcPr>
            <w:tcW w:w="837" w:type="dxa"/>
            <w:noWrap w:val="0"/>
            <w:vAlign w:val="center"/>
          </w:tcPr>
          <w:p w14:paraId="2F976B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50532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D4A9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74A67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C5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F1A9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502-2</w:t>
            </w:r>
          </w:p>
        </w:tc>
        <w:tc>
          <w:tcPr>
            <w:tcW w:w="4644" w:type="dxa"/>
            <w:noWrap w:val="0"/>
            <w:vAlign w:val="center"/>
          </w:tcPr>
          <w:p w14:paraId="0253E31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5F44C1C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A4B77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122F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29B4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70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2F90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E142E0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石砌截水沟、排水沟</w:t>
            </w:r>
          </w:p>
        </w:tc>
        <w:tc>
          <w:tcPr>
            <w:tcW w:w="837" w:type="dxa"/>
            <w:noWrap w:val="0"/>
            <w:vAlign w:val="center"/>
          </w:tcPr>
          <w:p w14:paraId="74E413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B186F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B2AD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203E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A3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8320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3F84D8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5306E6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E9781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DE79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CEF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B4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2DB65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68C234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3FB222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E6EFE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8D16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8ED4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3A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6190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4610315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18D981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01353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E3E2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BB48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EB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0A8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710DEF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noWrap w:val="0"/>
            <w:vAlign w:val="center"/>
          </w:tcPr>
          <w:p w14:paraId="106F69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53868A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F5F7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7B42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7F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1A7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75CE435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837" w:type="dxa"/>
            <w:noWrap w:val="0"/>
            <w:vAlign w:val="center"/>
          </w:tcPr>
          <w:p w14:paraId="599B5B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FFA72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FECC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DB49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33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82B7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483A188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4D65EAA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1FA5B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2C5B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E2DD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79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2C11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502-3</w:t>
            </w:r>
          </w:p>
        </w:tc>
        <w:tc>
          <w:tcPr>
            <w:tcW w:w="4644" w:type="dxa"/>
            <w:noWrap w:val="0"/>
            <w:vAlign w:val="center"/>
          </w:tcPr>
          <w:p w14:paraId="0EECB5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洞口坡面防护</w:t>
            </w:r>
          </w:p>
        </w:tc>
        <w:tc>
          <w:tcPr>
            <w:tcW w:w="837" w:type="dxa"/>
            <w:noWrap w:val="0"/>
            <w:vAlign w:val="center"/>
          </w:tcPr>
          <w:p w14:paraId="3EB4FF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1F8CC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2CF5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E84C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2F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BB28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2478A3B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837" w:type="dxa"/>
            <w:noWrap w:val="0"/>
            <w:vAlign w:val="center"/>
          </w:tcPr>
          <w:p w14:paraId="69C28B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7E327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557B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921F2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47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33FA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D42DD1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现浇混凝土护坡</w:t>
            </w:r>
          </w:p>
        </w:tc>
        <w:tc>
          <w:tcPr>
            <w:tcW w:w="837" w:type="dxa"/>
            <w:noWrap w:val="0"/>
            <w:vAlign w:val="center"/>
          </w:tcPr>
          <w:p w14:paraId="61ECF9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178CB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A115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3C9FB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17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C716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BCF2B7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预制安装混凝土护坡</w:t>
            </w:r>
          </w:p>
        </w:tc>
        <w:tc>
          <w:tcPr>
            <w:tcW w:w="837" w:type="dxa"/>
            <w:noWrap w:val="0"/>
            <w:vAlign w:val="center"/>
          </w:tcPr>
          <w:p w14:paraId="1061D2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0830F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EFBA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EF18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DA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4613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437127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喷射混凝土护坡</w:t>
            </w:r>
          </w:p>
        </w:tc>
        <w:tc>
          <w:tcPr>
            <w:tcW w:w="837" w:type="dxa"/>
            <w:noWrap w:val="0"/>
            <w:vAlign w:val="center"/>
          </w:tcPr>
          <w:p w14:paraId="0147014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34C3A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2F08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C51F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AD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B842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028503F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浆砌护面墙</w:t>
            </w:r>
          </w:p>
        </w:tc>
        <w:tc>
          <w:tcPr>
            <w:tcW w:w="837" w:type="dxa"/>
            <w:noWrap w:val="0"/>
            <w:vAlign w:val="center"/>
          </w:tcPr>
          <w:p w14:paraId="1D6F9F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4B1B4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AC94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8BD6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35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08A3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1EE3219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837" w:type="dxa"/>
            <w:noWrap w:val="0"/>
            <w:vAlign w:val="center"/>
          </w:tcPr>
          <w:p w14:paraId="369F767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00CA0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EE56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6A5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42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D1E6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035E5C7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837" w:type="dxa"/>
            <w:noWrap w:val="0"/>
            <w:vAlign w:val="center"/>
          </w:tcPr>
          <w:p w14:paraId="6502E6E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DDF9D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157E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2405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5A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45FB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644" w:type="dxa"/>
            <w:noWrap w:val="0"/>
            <w:vAlign w:val="center"/>
          </w:tcPr>
          <w:p w14:paraId="258B53A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地表注浆</w:t>
            </w:r>
          </w:p>
        </w:tc>
        <w:tc>
          <w:tcPr>
            <w:tcW w:w="837" w:type="dxa"/>
            <w:noWrap w:val="0"/>
            <w:vAlign w:val="center"/>
          </w:tcPr>
          <w:p w14:paraId="07F448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9AB59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0DF7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01D1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0B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C541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644" w:type="dxa"/>
            <w:noWrap w:val="0"/>
            <w:vAlign w:val="center"/>
          </w:tcPr>
          <w:p w14:paraId="6D9F5FC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411F8F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4618A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E094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D3F3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2F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4DFD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644" w:type="dxa"/>
            <w:noWrap w:val="0"/>
            <w:vAlign w:val="center"/>
          </w:tcPr>
          <w:p w14:paraId="3A18C87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837" w:type="dxa"/>
            <w:noWrap w:val="0"/>
            <w:vAlign w:val="center"/>
          </w:tcPr>
          <w:p w14:paraId="6B995FB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876EA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B606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4B9A7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A8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1914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644" w:type="dxa"/>
            <w:noWrap w:val="0"/>
            <w:vAlign w:val="center"/>
          </w:tcPr>
          <w:p w14:paraId="30E175C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837" w:type="dxa"/>
            <w:noWrap w:val="0"/>
            <w:vAlign w:val="center"/>
          </w:tcPr>
          <w:p w14:paraId="0CED49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A921C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8DA8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D831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20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5A20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644" w:type="dxa"/>
            <w:noWrap w:val="0"/>
            <w:vAlign w:val="center"/>
          </w:tcPr>
          <w:p w14:paraId="5E659066">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837" w:type="dxa"/>
            <w:noWrap w:val="0"/>
            <w:vAlign w:val="center"/>
          </w:tcPr>
          <w:p w14:paraId="1A0563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A696A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80B0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F173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40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0C37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502-4</w:t>
            </w:r>
          </w:p>
        </w:tc>
        <w:tc>
          <w:tcPr>
            <w:tcW w:w="4644" w:type="dxa"/>
            <w:noWrap w:val="0"/>
            <w:vAlign w:val="center"/>
          </w:tcPr>
          <w:p w14:paraId="4E51C96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洞门建筑</w:t>
            </w:r>
          </w:p>
        </w:tc>
        <w:tc>
          <w:tcPr>
            <w:tcW w:w="837" w:type="dxa"/>
            <w:noWrap w:val="0"/>
            <w:vAlign w:val="center"/>
          </w:tcPr>
          <w:p w14:paraId="442D11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E6078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FA38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01A3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80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4A82E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CE5DC7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558A21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EDF0B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D6D8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232D6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16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BA1E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3CF6B76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预制安装混凝土块</w:t>
            </w:r>
          </w:p>
        </w:tc>
        <w:tc>
          <w:tcPr>
            <w:tcW w:w="837" w:type="dxa"/>
            <w:noWrap w:val="0"/>
            <w:vAlign w:val="center"/>
          </w:tcPr>
          <w:p w14:paraId="33F138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A239F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7C8E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0E49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60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1226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4CE6B27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浆砌片粗料石（块石）</w:t>
            </w:r>
          </w:p>
        </w:tc>
        <w:tc>
          <w:tcPr>
            <w:tcW w:w="837" w:type="dxa"/>
            <w:noWrap w:val="0"/>
            <w:vAlign w:val="center"/>
          </w:tcPr>
          <w:p w14:paraId="4968D3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507A0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063A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71C1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1C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8E0F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41A6769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洞门墙装修</w:t>
            </w:r>
          </w:p>
        </w:tc>
        <w:tc>
          <w:tcPr>
            <w:tcW w:w="837" w:type="dxa"/>
            <w:noWrap w:val="0"/>
            <w:vAlign w:val="center"/>
          </w:tcPr>
          <w:p w14:paraId="75B4CA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76B65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8FFB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762F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B4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7ECD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7F03EAF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39A250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3BE77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4EB9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5F5D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E3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EEC3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1C46CFC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隧道铭牌</w:t>
            </w:r>
          </w:p>
        </w:tc>
        <w:tc>
          <w:tcPr>
            <w:tcW w:w="837" w:type="dxa"/>
            <w:noWrap w:val="0"/>
            <w:vAlign w:val="center"/>
          </w:tcPr>
          <w:p w14:paraId="46C8A9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6CCD50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4846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761F4D">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15CE12EC">
      <w:pPr>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57C0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53A5AA7F">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30DB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13AE79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27C4D62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377C43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3F2E2E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A862C9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DBFEDE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DAE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B31477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502-5</w:t>
            </w:r>
          </w:p>
        </w:tc>
        <w:tc>
          <w:tcPr>
            <w:tcW w:w="4644" w:type="dxa"/>
            <w:tcBorders>
              <w:top w:val="single" w:color="auto" w:sz="4" w:space="0"/>
              <w:left w:val="single" w:color="auto" w:sz="4" w:space="0"/>
              <w:right w:val="single" w:color="auto" w:sz="4" w:space="0"/>
            </w:tcBorders>
            <w:noWrap w:val="0"/>
            <w:vAlign w:val="center"/>
          </w:tcPr>
          <w:p w14:paraId="7C6C86B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明洞衬砌</w:t>
            </w:r>
          </w:p>
        </w:tc>
        <w:tc>
          <w:tcPr>
            <w:tcW w:w="837" w:type="dxa"/>
            <w:tcBorders>
              <w:top w:val="single" w:color="auto" w:sz="4" w:space="0"/>
              <w:left w:val="single" w:color="auto" w:sz="4" w:space="0"/>
              <w:right w:val="single" w:color="auto" w:sz="4" w:space="0"/>
            </w:tcBorders>
            <w:noWrap w:val="0"/>
            <w:vAlign w:val="center"/>
          </w:tcPr>
          <w:p w14:paraId="719B80A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1B53D88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7C6416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A7DD81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AAA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87619F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05AAD40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tcBorders>
              <w:top w:val="single" w:color="auto" w:sz="4" w:space="0"/>
              <w:left w:val="single" w:color="auto" w:sz="4" w:space="0"/>
              <w:right w:val="single" w:color="auto" w:sz="4" w:space="0"/>
            </w:tcBorders>
            <w:noWrap w:val="0"/>
            <w:vAlign w:val="center"/>
          </w:tcPr>
          <w:p w14:paraId="4796F5F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4F6BB54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4248F9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A322A9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FBC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4D43A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125B432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tcBorders>
              <w:top w:val="single" w:color="auto" w:sz="4" w:space="0"/>
              <w:left w:val="single" w:color="auto" w:sz="4" w:space="0"/>
              <w:right w:val="single" w:color="auto" w:sz="4" w:space="0"/>
            </w:tcBorders>
            <w:noWrap w:val="0"/>
            <w:vAlign w:val="center"/>
          </w:tcPr>
          <w:p w14:paraId="795A3A9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tcBorders>
              <w:top w:val="single" w:color="auto" w:sz="4" w:space="0"/>
              <w:left w:val="single" w:color="auto" w:sz="4" w:space="0"/>
              <w:right w:val="single" w:color="auto" w:sz="4" w:space="0"/>
            </w:tcBorders>
            <w:noWrap w:val="0"/>
            <w:vAlign w:val="center"/>
          </w:tcPr>
          <w:p w14:paraId="61185A6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06C526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AD40B2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D8F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1B3B7D6">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502-6</w:t>
            </w:r>
          </w:p>
        </w:tc>
        <w:tc>
          <w:tcPr>
            <w:tcW w:w="4644" w:type="dxa"/>
            <w:tcBorders>
              <w:top w:val="single" w:color="auto" w:sz="4" w:space="0"/>
              <w:left w:val="single" w:color="auto" w:sz="4" w:space="0"/>
              <w:right w:val="single" w:color="auto" w:sz="4" w:space="0"/>
            </w:tcBorders>
            <w:noWrap w:val="0"/>
            <w:vAlign w:val="center"/>
          </w:tcPr>
          <w:p w14:paraId="3411AEEA">
            <w:pPr>
              <w:pageBreakBefore w:val="0"/>
              <w:widowControl/>
              <w:kinsoku/>
              <w:wordWrap w:val="0"/>
              <w:bidi w:val="0"/>
              <w:spacing w:line="34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遮光棚（板）</w:t>
            </w:r>
          </w:p>
        </w:tc>
        <w:tc>
          <w:tcPr>
            <w:tcW w:w="837" w:type="dxa"/>
            <w:tcBorders>
              <w:top w:val="single" w:color="auto" w:sz="4" w:space="0"/>
              <w:left w:val="single" w:color="auto" w:sz="4" w:space="0"/>
              <w:right w:val="single" w:color="auto" w:sz="4" w:space="0"/>
            </w:tcBorders>
            <w:noWrap w:val="0"/>
            <w:vAlign w:val="center"/>
          </w:tcPr>
          <w:p w14:paraId="260C08A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7FEAA97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06EF0F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3B4563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5EC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F499F2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502-7</w:t>
            </w:r>
          </w:p>
        </w:tc>
        <w:tc>
          <w:tcPr>
            <w:tcW w:w="4644" w:type="dxa"/>
            <w:tcBorders>
              <w:top w:val="single" w:color="auto" w:sz="4" w:space="0"/>
              <w:left w:val="single" w:color="auto" w:sz="4" w:space="0"/>
              <w:right w:val="single" w:color="auto" w:sz="4" w:space="0"/>
            </w:tcBorders>
            <w:noWrap w:val="0"/>
            <w:vAlign w:val="center"/>
          </w:tcPr>
          <w:p w14:paraId="389DA85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洞顶回填</w:t>
            </w:r>
          </w:p>
        </w:tc>
        <w:tc>
          <w:tcPr>
            <w:tcW w:w="837" w:type="dxa"/>
            <w:tcBorders>
              <w:top w:val="single" w:color="auto" w:sz="4" w:space="0"/>
              <w:left w:val="single" w:color="auto" w:sz="4" w:space="0"/>
              <w:right w:val="single" w:color="auto" w:sz="4" w:space="0"/>
            </w:tcBorders>
            <w:noWrap w:val="0"/>
            <w:vAlign w:val="center"/>
          </w:tcPr>
          <w:p w14:paraId="4E046E2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tcBorders>
              <w:top w:val="single" w:color="auto" w:sz="4" w:space="0"/>
              <w:left w:val="single" w:color="auto" w:sz="4" w:space="0"/>
              <w:right w:val="single" w:color="auto" w:sz="4" w:space="0"/>
            </w:tcBorders>
            <w:noWrap w:val="0"/>
            <w:vAlign w:val="center"/>
          </w:tcPr>
          <w:p w14:paraId="29AFA8D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AC0764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18AADB0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D4B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2B5D93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3B57993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837" w:type="dxa"/>
            <w:tcBorders>
              <w:top w:val="single" w:color="auto" w:sz="4" w:space="0"/>
              <w:left w:val="single" w:color="auto" w:sz="4" w:space="0"/>
              <w:right w:val="single" w:color="auto" w:sz="4" w:space="0"/>
            </w:tcBorders>
            <w:noWrap w:val="0"/>
            <w:vAlign w:val="center"/>
          </w:tcPr>
          <w:p w14:paraId="5F44F7B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7AEDE34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27D5D3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B48811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CA8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9C9038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tcBorders>
              <w:top w:val="single" w:color="auto" w:sz="4" w:space="0"/>
              <w:left w:val="single" w:color="auto" w:sz="4" w:space="0"/>
              <w:right w:val="single" w:color="auto" w:sz="4" w:space="0"/>
            </w:tcBorders>
            <w:noWrap w:val="0"/>
            <w:vAlign w:val="center"/>
          </w:tcPr>
          <w:p w14:paraId="26C4C49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黏土防水层</w:t>
            </w:r>
          </w:p>
        </w:tc>
        <w:tc>
          <w:tcPr>
            <w:tcW w:w="837" w:type="dxa"/>
            <w:tcBorders>
              <w:top w:val="single" w:color="auto" w:sz="4" w:space="0"/>
              <w:left w:val="single" w:color="auto" w:sz="4" w:space="0"/>
              <w:right w:val="single" w:color="auto" w:sz="4" w:space="0"/>
            </w:tcBorders>
            <w:noWrap w:val="0"/>
            <w:vAlign w:val="center"/>
          </w:tcPr>
          <w:p w14:paraId="23B8CDB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54239B4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D29F7D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8E5405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708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8D7543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tcBorders>
              <w:top w:val="single" w:color="auto" w:sz="4" w:space="0"/>
              <w:left w:val="single" w:color="auto" w:sz="4" w:space="0"/>
              <w:right w:val="single" w:color="auto" w:sz="4" w:space="0"/>
            </w:tcBorders>
            <w:noWrap w:val="0"/>
            <w:vAlign w:val="center"/>
          </w:tcPr>
          <w:p w14:paraId="35252AB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tcBorders>
              <w:top w:val="single" w:color="auto" w:sz="4" w:space="0"/>
              <w:left w:val="single" w:color="auto" w:sz="4" w:space="0"/>
              <w:right w:val="single" w:color="auto" w:sz="4" w:space="0"/>
            </w:tcBorders>
            <w:noWrap w:val="0"/>
            <w:vAlign w:val="center"/>
          </w:tcPr>
          <w:p w14:paraId="0052E99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408F69A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11552B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D35456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9B9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0EBD76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02655F5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回填</w:t>
            </w:r>
          </w:p>
        </w:tc>
        <w:tc>
          <w:tcPr>
            <w:tcW w:w="837" w:type="dxa"/>
            <w:tcBorders>
              <w:top w:val="single" w:color="auto" w:sz="4" w:space="0"/>
              <w:left w:val="single" w:color="auto" w:sz="4" w:space="0"/>
              <w:right w:val="single" w:color="auto" w:sz="4" w:space="0"/>
            </w:tcBorders>
            <w:noWrap w:val="0"/>
            <w:vAlign w:val="center"/>
          </w:tcPr>
          <w:p w14:paraId="3A29A2A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5E4E73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7B5629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9A303D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68C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D201B0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w:t>
            </w:r>
          </w:p>
        </w:tc>
        <w:tc>
          <w:tcPr>
            <w:tcW w:w="4644" w:type="dxa"/>
            <w:tcBorders>
              <w:top w:val="single" w:color="auto" w:sz="4" w:space="0"/>
              <w:left w:val="single" w:color="auto" w:sz="4" w:space="0"/>
              <w:right w:val="single" w:color="auto" w:sz="4" w:space="0"/>
            </w:tcBorders>
            <w:noWrap w:val="0"/>
            <w:vAlign w:val="center"/>
          </w:tcPr>
          <w:p w14:paraId="76D7037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w:t>
            </w:r>
          </w:p>
        </w:tc>
        <w:tc>
          <w:tcPr>
            <w:tcW w:w="837" w:type="dxa"/>
            <w:tcBorders>
              <w:top w:val="single" w:color="auto" w:sz="4" w:space="0"/>
              <w:left w:val="single" w:color="auto" w:sz="4" w:space="0"/>
              <w:right w:val="single" w:color="auto" w:sz="4" w:space="0"/>
            </w:tcBorders>
            <w:noWrap w:val="0"/>
            <w:vAlign w:val="center"/>
          </w:tcPr>
          <w:p w14:paraId="1C10AD39">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8B9C2B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4166D63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6CEE045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18B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7830C4">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503-1</w:t>
            </w:r>
          </w:p>
        </w:tc>
        <w:tc>
          <w:tcPr>
            <w:tcW w:w="4644" w:type="dxa"/>
            <w:noWrap w:val="0"/>
            <w:vAlign w:val="center"/>
          </w:tcPr>
          <w:p w14:paraId="1651D246">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洞身开挖</w:t>
            </w:r>
          </w:p>
        </w:tc>
        <w:tc>
          <w:tcPr>
            <w:tcW w:w="837" w:type="dxa"/>
            <w:noWrap w:val="0"/>
            <w:vAlign w:val="center"/>
          </w:tcPr>
          <w:p w14:paraId="4A149EEC">
            <w:pPr>
              <w:pageBreakBefore w:val="0"/>
              <w:kinsoku/>
              <w:wordWrap w:val="0"/>
              <w:bidi w:val="0"/>
              <w:spacing w:line="340" w:lineRule="atLeast"/>
              <w:rPr>
                <w:rFonts w:hint="default" w:ascii="Times New Roman" w:hAnsi="Times New Roman" w:cs="Times New Roman"/>
                <w:color w:val="auto"/>
                <w:szCs w:val="21"/>
                <w:highlight w:val="none"/>
              </w:rPr>
            </w:pPr>
          </w:p>
        </w:tc>
        <w:tc>
          <w:tcPr>
            <w:tcW w:w="837" w:type="dxa"/>
            <w:noWrap w:val="0"/>
            <w:vAlign w:val="center"/>
          </w:tcPr>
          <w:p w14:paraId="1C7661A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9EB2FA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2851F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C57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8B3C2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8B0737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洞身开挖（不含竖井、斜井）</w:t>
            </w:r>
          </w:p>
        </w:tc>
        <w:tc>
          <w:tcPr>
            <w:tcW w:w="837" w:type="dxa"/>
            <w:noWrap w:val="0"/>
            <w:vAlign w:val="center"/>
          </w:tcPr>
          <w:p w14:paraId="79F888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4D5FD5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C7AE29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D947D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D80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1CEE3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25ED6DD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竖井洞身开挖</w:t>
            </w:r>
          </w:p>
        </w:tc>
        <w:tc>
          <w:tcPr>
            <w:tcW w:w="837" w:type="dxa"/>
            <w:noWrap w:val="0"/>
            <w:vAlign w:val="center"/>
          </w:tcPr>
          <w:p w14:paraId="24D373B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E5E7C4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BD49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CDD1D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3E1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A0E4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50C6E0D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斜井洞身开挖</w:t>
            </w:r>
          </w:p>
        </w:tc>
        <w:tc>
          <w:tcPr>
            <w:tcW w:w="837" w:type="dxa"/>
            <w:noWrap w:val="0"/>
            <w:vAlign w:val="center"/>
          </w:tcPr>
          <w:p w14:paraId="27755D4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010677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F33C92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81509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420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DC892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503-2</w:t>
            </w:r>
          </w:p>
        </w:tc>
        <w:tc>
          <w:tcPr>
            <w:tcW w:w="4644" w:type="dxa"/>
            <w:noWrap w:val="0"/>
            <w:vAlign w:val="center"/>
          </w:tcPr>
          <w:p w14:paraId="7F3586D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洞身支护</w:t>
            </w:r>
          </w:p>
        </w:tc>
        <w:tc>
          <w:tcPr>
            <w:tcW w:w="837" w:type="dxa"/>
            <w:noWrap w:val="0"/>
            <w:vAlign w:val="center"/>
          </w:tcPr>
          <w:p w14:paraId="2A46859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A13FA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55FF1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09FC9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727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FB9A0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A48897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管棚支护</w:t>
            </w:r>
          </w:p>
        </w:tc>
        <w:tc>
          <w:tcPr>
            <w:tcW w:w="837" w:type="dxa"/>
            <w:noWrap w:val="0"/>
            <w:vAlign w:val="center"/>
          </w:tcPr>
          <w:p w14:paraId="52E4895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15AFC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D640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CEFFA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026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75D43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noWrap w:val="0"/>
            <w:vAlign w:val="center"/>
          </w:tcPr>
          <w:p w14:paraId="08BE30D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基础钢管桩</w:t>
            </w:r>
          </w:p>
        </w:tc>
        <w:tc>
          <w:tcPr>
            <w:tcW w:w="837" w:type="dxa"/>
            <w:noWrap w:val="0"/>
            <w:vAlign w:val="center"/>
          </w:tcPr>
          <w:p w14:paraId="2B3B58C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F46CA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859000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863BB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778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C8D0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noWrap w:val="0"/>
            <w:vAlign w:val="center"/>
          </w:tcPr>
          <w:p w14:paraId="66AE0A0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套拱混凝土</w:t>
            </w:r>
          </w:p>
        </w:tc>
        <w:tc>
          <w:tcPr>
            <w:tcW w:w="837" w:type="dxa"/>
            <w:noWrap w:val="0"/>
            <w:vAlign w:val="center"/>
          </w:tcPr>
          <w:p w14:paraId="6B8FC6C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5996A4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BB1659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7223B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7D5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9EAC6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644" w:type="dxa"/>
            <w:noWrap w:val="0"/>
            <w:vAlign w:val="center"/>
          </w:tcPr>
          <w:p w14:paraId="0CFF41E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孔口管</w:t>
            </w:r>
          </w:p>
        </w:tc>
        <w:tc>
          <w:tcPr>
            <w:tcW w:w="837" w:type="dxa"/>
            <w:noWrap w:val="0"/>
            <w:vAlign w:val="center"/>
          </w:tcPr>
          <w:p w14:paraId="7B926AC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D41A72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87A1B0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8802E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03F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B581C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-a-4</w:t>
            </w:r>
          </w:p>
        </w:tc>
        <w:tc>
          <w:tcPr>
            <w:tcW w:w="4644" w:type="dxa"/>
            <w:noWrap w:val="0"/>
            <w:vAlign w:val="center"/>
          </w:tcPr>
          <w:p w14:paraId="725C567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套拱钢架</w:t>
            </w:r>
          </w:p>
        </w:tc>
        <w:tc>
          <w:tcPr>
            <w:tcW w:w="837" w:type="dxa"/>
            <w:noWrap w:val="0"/>
            <w:vAlign w:val="center"/>
          </w:tcPr>
          <w:p w14:paraId="743A503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A7CA02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A40DB9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6F7D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7A9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7A755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-a-5</w:t>
            </w:r>
          </w:p>
        </w:tc>
        <w:tc>
          <w:tcPr>
            <w:tcW w:w="4644" w:type="dxa"/>
            <w:noWrap w:val="0"/>
            <w:vAlign w:val="center"/>
          </w:tcPr>
          <w:p w14:paraId="4CC6A26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13F955A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2E9C22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04A868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DBC59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90B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45753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-a-6</w:t>
            </w:r>
          </w:p>
        </w:tc>
        <w:tc>
          <w:tcPr>
            <w:tcW w:w="4644" w:type="dxa"/>
            <w:noWrap w:val="0"/>
            <w:vAlign w:val="center"/>
          </w:tcPr>
          <w:p w14:paraId="59316F4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w:t>
            </w:r>
          </w:p>
        </w:tc>
        <w:tc>
          <w:tcPr>
            <w:tcW w:w="837" w:type="dxa"/>
            <w:noWrap w:val="0"/>
            <w:vAlign w:val="center"/>
          </w:tcPr>
          <w:p w14:paraId="5027EEE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CBB324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C47021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3FAC5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801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8CCAA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DB1F4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注浆小导管</w:t>
            </w:r>
          </w:p>
        </w:tc>
        <w:tc>
          <w:tcPr>
            <w:tcW w:w="837" w:type="dxa"/>
            <w:noWrap w:val="0"/>
            <w:vAlign w:val="center"/>
          </w:tcPr>
          <w:p w14:paraId="6ECA0DD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3C893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0597BB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61B23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497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42189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9163E5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锚杆支护</w:t>
            </w:r>
          </w:p>
        </w:tc>
        <w:tc>
          <w:tcPr>
            <w:tcW w:w="837" w:type="dxa"/>
            <w:noWrap w:val="0"/>
            <w:vAlign w:val="center"/>
          </w:tcPr>
          <w:p w14:paraId="52167CE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184870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D09AA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47F07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F19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1210696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644" w:type="dxa"/>
            <w:noWrap w:val="0"/>
            <w:vAlign w:val="center"/>
          </w:tcPr>
          <w:p w14:paraId="2254556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砂浆锚杆</w:t>
            </w:r>
          </w:p>
        </w:tc>
        <w:tc>
          <w:tcPr>
            <w:tcW w:w="837" w:type="dxa"/>
            <w:noWrap w:val="0"/>
            <w:vAlign w:val="center"/>
          </w:tcPr>
          <w:p w14:paraId="6434170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C8885E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7410F4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1F0E4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5EB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168B3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644" w:type="dxa"/>
            <w:noWrap w:val="0"/>
            <w:vAlign w:val="center"/>
          </w:tcPr>
          <w:p w14:paraId="57B2201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药包锚杆</w:t>
            </w:r>
          </w:p>
        </w:tc>
        <w:tc>
          <w:tcPr>
            <w:tcW w:w="837" w:type="dxa"/>
            <w:noWrap w:val="0"/>
            <w:vAlign w:val="center"/>
          </w:tcPr>
          <w:p w14:paraId="4F7C69E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5892AA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3419E5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02995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BA7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C4562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644" w:type="dxa"/>
            <w:noWrap w:val="0"/>
            <w:vAlign w:val="center"/>
          </w:tcPr>
          <w:p w14:paraId="7749B15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中空注浆锚杆</w:t>
            </w:r>
          </w:p>
        </w:tc>
        <w:tc>
          <w:tcPr>
            <w:tcW w:w="837" w:type="dxa"/>
            <w:noWrap w:val="0"/>
            <w:vAlign w:val="center"/>
          </w:tcPr>
          <w:p w14:paraId="13E2C1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CF2B00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1F385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1BB8D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F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4AFB5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644" w:type="dxa"/>
            <w:noWrap w:val="0"/>
            <w:vAlign w:val="center"/>
          </w:tcPr>
          <w:p w14:paraId="33DF465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自进式锚杆</w:t>
            </w:r>
          </w:p>
        </w:tc>
        <w:tc>
          <w:tcPr>
            <w:tcW w:w="837" w:type="dxa"/>
            <w:noWrap w:val="0"/>
            <w:vAlign w:val="center"/>
          </w:tcPr>
          <w:p w14:paraId="0942230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9A0011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BE5977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E4E7B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2D9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613FC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644" w:type="dxa"/>
            <w:noWrap w:val="0"/>
            <w:vAlign w:val="center"/>
          </w:tcPr>
          <w:p w14:paraId="37A881A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预应力锚杆</w:t>
            </w:r>
          </w:p>
        </w:tc>
        <w:tc>
          <w:tcPr>
            <w:tcW w:w="837" w:type="dxa"/>
            <w:noWrap w:val="0"/>
            <w:vAlign w:val="center"/>
          </w:tcPr>
          <w:p w14:paraId="0929157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DEB5EA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5AB53C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2EBC9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AC4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EC99D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5B39B8A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喷射混凝土支护</w:t>
            </w:r>
          </w:p>
        </w:tc>
        <w:tc>
          <w:tcPr>
            <w:tcW w:w="837" w:type="dxa"/>
            <w:noWrap w:val="0"/>
            <w:vAlign w:val="center"/>
          </w:tcPr>
          <w:p w14:paraId="0CDBF7D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E67193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DE47E2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D5F93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8A4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15766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644" w:type="dxa"/>
            <w:noWrap w:val="0"/>
            <w:vAlign w:val="center"/>
          </w:tcPr>
          <w:p w14:paraId="5658174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837" w:type="dxa"/>
            <w:noWrap w:val="0"/>
            <w:vAlign w:val="center"/>
          </w:tcPr>
          <w:p w14:paraId="366B04B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4D62B6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C7062A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B645C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210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46ADC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644" w:type="dxa"/>
            <w:noWrap w:val="0"/>
            <w:vAlign w:val="center"/>
          </w:tcPr>
          <w:p w14:paraId="2910487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837" w:type="dxa"/>
            <w:noWrap w:val="0"/>
            <w:vAlign w:val="center"/>
          </w:tcPr>
          <w:p w14:paraId="6A3C0FE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FC63D4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79E611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A475E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DB2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D327D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5D77F32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钢支架支护</w:t>
            </w:r>
          </w:p>
        </w:tc>
        <w:tc>
          <w:tcPr>
            <w:tcW w:w="837" w:type="dxa"/>
            <w:noWrap w:val="0"/>
            <w:vAlign w:val="center"/>
          </w:tcPr>
          <w:p w14:paraId="15C51BE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A3AA7F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EC8082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A1AB4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085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29CEA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644" w:type="dxa"/>
            <w:noWrap w:val="0"/>
            <w:vAlign w:val="center"/>
          </w:tcPr>
          <w:p w14:paraId="2AEEFDE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型钢支架</w:t>
            </w:r>
          </w:p>
        </w:tc>
        <w:tc>
          <w:tcPr>
            <w:tcW w:w="837" w:type="dxa"/>
            <w:noWrap w:val="0"/>
            <w:vAlign w:val="center"/>
          </w:tcPr>
          <w:p w14:paraId="5E916FA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1E6623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129F2B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623A9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ED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B7C6D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644" w:type="dxa"/>
            <w:noWrap w:val="0"/>
            <w:vAlign w:val="center"/>
          </w:tcPr>
          <w:p w14:paraId="751DD18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钢筋格栅</w:t>
            </w:r>
          </w:p>
        </w:tc>
        <w:tc>
          <w:tcPr>
            <w:tcW w:w="837" w:type="dxa"/>
            <w:noWrap w:val="0"/>
            <w:vAlign w:val="center"/>
          </w:tcPr>
          <w:p w14:paraId="2275665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5D759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F4EE8D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A3D40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73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E2D0E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w:t>
            </w:r>
          </w:p>
        </w:tc>
        <w:tc>
          <w:tcPr>
            <w:tcW w:w="4644" w:type="dxa"/>
            <w:noWrap w:val="0"/>
            <w:vAlign w:val="center"/>
          </w:tcPr>
          <w:p w14:paraId="430E6AD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2684CF1C">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5239A0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7A954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C03CD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615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DFEC0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504-1</w:t>
            </w:r>
          </w:p>
        </w:tc>
        <w:tc>
          <w:tcPr>
            <w:tcW w:w="4644" w:type="dxa"/>
            <w:noWrap w:val="0"/>
            <w:vAlign w:val="center"/>
          </w:tcPr>
          <w:p w14:paraId="0A10B7E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1667840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ED793E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D4906E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40385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E03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3BF0D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3788DF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2DE0BE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12195E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2069A4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8AE4F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C70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F4B4F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89057D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1BA631D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32B90A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A4CF05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ADF6C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A59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83EFC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504-2</w:t>
            </w:r>
          </w:p>
        </w:tc>
        <w:tc>
          <w:tcPr>
            <w:tcW w:w="4644" w:type="dxa"/>
            <w:noWrap w:val="0"/>
            <w:vAlign w:val="center"/>
          </w:tcPr>
          <w:p w14:paraId="280A5F1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仰拱、铺底混凝土</w:t>
            </w:r>
          </w:p>
        </w:tc>
        <w:tc>
          <w:tcPr>
            <w:tcW w:w="837" w:type="dxa"/>
            <w:noWrap w:val="0"/>
            <w:vAlign w:val="center"/>
          </w:tcPr>
          <w:p w14:paraId="113D77BC">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123F946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D820C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2CDFA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6CD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D5382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30ADA5A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w:t>
            </w:r>
          </w:p>
        </w:tc>
        <w:tc>
          <w:tcPr>
            <w:tcW w:w="837" w:type="dxa"/>
            <w:noWrap w:val="0"/>
            <w:vAlign w:val="center"/>
          </w:tcPr>
          <w:p w14:paraId="32C221E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EFF2F0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87A82A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EB72E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FE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84E5D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426DDBE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现浇混凝土仰拱回填</w:t>
            </w:r>
          </w:p>
        </w:tc>
        <w:tc>
          <w:tcPr>
            <w:tcW w:w="837" w:type="dxa"/>
            <w:noWrap w:val="0"/>
            <w:vAlign w:val="center"/>
          </w:tcPr>
          <w:p w14:paraId="4C40F37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31C967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392E21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7BEBB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EDC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E5879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504-3</w:t>
            </w:r>
          </w:p>
        </w:tc>
        <w:tc>
          <w:tcPr>
            <w:tcW w:w="4644" w:type="dxa"/>
            <w:noWrap w:val="0"/>
            <w:vAlign w:val="center"/>
          </w:tcPr>
          <w:p w14:paraId="5D0E08D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边沟、电缆沟混凝土</w:t>
            </w:r>
          </w:p>
        </w:tc>
        <w:tc>
          <w:tcPr>
            <w:tcW w:w="837" w:type="dxa"/>
            <w:noWrap w:val="0"/>
            <w:vAlign w:val="center"/>
          </w:tcPr>
          <w:p w14:paraId="7D0D396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9BD6FB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F6211D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77121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6AF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0B332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3E0CB9F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2C33A3E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0B9533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F11577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664C0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3F5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100006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147F028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2A6E410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EF7192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722D49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24ACD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0C4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083A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4BEFA5E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6C288BE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DB8DAA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AA7316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BAD57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60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C0EE7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51ACBCC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584BF40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538BFC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EA8F46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EF454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D9E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B1EEC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7D1F8A9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铸铁盖板</w:t>
            </w:r>
          </w:p>
        </w:tc>
        <w:tc>
          <w:tcPr>
            <w:tcW w:w="837" w:type="dxa"/>
            <w:noWrap w:val="0"/>
            <w:vAlign w:val="center"/>
          </w:tcPr>
          <w:p w14:paraId="4E6A07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DD05EE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4E87B0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9E15B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31A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CF1A8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504-4</w:t>
            </w:r>
          </w:p>
        </w:tc>
        <w:tc>
          <w:tcPr>
            <w:tcW w:w="4644" w:type="dxa"/>
            <w:noWrap w:val="0"/>
            <w:vAlign w:val="center"/>
          </w:tcPr>
          <w:p w14:paraId="631617B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洞室门</w:t>
            </w:r>
          </w:p>
        </w:tc>
        <w:tc>
          <w:tcPr>
            <w:tcW w:w="837" w:type="dxa"/>
            <w:noWrap w:val="0"/>
            <w:vAlign w:val="center"/>
          </w:tcPr>
          <w:p w14:paraId="5BA54C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54E7AA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EC1E9E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9BD2A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F82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2D44D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504-5</w:t>
            </w:r>
          </w:p>
        </w:tc>
        <w:tc>
          <w:tcPr>
            <w:tcW w:w="4644" w:type="dxa"/>
            <w:noWrap w:val="0"/>
            <w:vAlign w:val="center"/>
          </w:tcPr>
          <w:p w14:paraId="5AEDB88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洞内路面</w:t>
            </w:r>
          </w:p>
        </w:tc>
        <w:tc>
          <w:tcPr>
            <w:tcW w:w="837" w:type="dxa"/>
            <w:noWrap w:val="0"/>
            <w:vAlign w:val="center"/>
          </w:tcPr>
          <w:p w14:paraId="3CC96C4C">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60BA4E5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1A8FBF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8856F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1C9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1167E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C44B4E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1CEB27B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EE434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2F4E49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C6416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FEA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74F0D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6076A8A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519C079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FDA251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E6D013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790C8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B8B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98ED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w:t>
            </w:r>
          </w:p>
        </w:tc>
        <w:tc>
          <w:tcPr>
            <w:tcW w:w="4644" w:type="dxa"/>
            <w:noWrap w:val="0"/>
            <w:vAlign w:val="center"/>
          </w:tcPr>
          <w:p w14:paraId="3A12303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3DF6F1AA">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6A2D19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3D84D1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9BDA4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EDD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32D49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505-1</w:t>
            </w:r>
          </w:p>
        </w:tc>
        <w:tc>
          <w:tcPr>
            <w:tcW w:w="4644" w:type="dxa"/>
            <w:noWrap w:val="0"/>
            <w:vAlign w:val="center"/>
          </w:tcPr>
          <w:p w14:paraId="195A858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49D02A0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81DBF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4F0E8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11B4D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49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6E934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87DB02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金属材料</w:t>
            </w:r>
          </w:p>
        </w:tc>
        <w:tc>
          <w:tcPr>
            <w:tcW w:w="837" w:type="dxa"/>
            <w:noWrap w:val="0"/>
            <w:vAlign w:val="center"/>
          </w:tcPr>
          <w:p w14:paraId="71AFCFB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7F9B9B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5DC154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D8187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E32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69817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6616759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837" w:type="dxa"/>
            <w:noWrap w:val="0"/>
            <w:vAlign w:val="center"/>
          </w:tcPr>
          <w:p w14:paraId="3BAA5DE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D971DA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07ED4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C2CF7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5D0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93CC8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0ABF52A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钢筋混凝土排水管</w:t>
            </w:r>
          </w:p>
        </w:tc>
        <w:tc>
          <w:tcPr>
            <w:tcW w:w="837" w:type="dxa"/>
            <w:noWrap w:val="0"/>
            <w:vAlign w:val="center"/>
          </w:tcPr>
          <w:p w14:paraId="4CC4A70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BF4F2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BEBB2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BAA45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E7A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4ADC7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0E33F55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PVC排水管</w:t>
            </w:r>
          </w:p>
        </w:tc>
        <w:tc>
          <w:tcPr>
            <w:tcW w:w="837" w:type="dxa"/>
            <w:noWrap w:val="0"/>
            <w:vAlign w:val="center"/>
          </w:tcPr>
          <w:p w14:paraId="4F32723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A92E4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CE4E8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0E520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FCF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AA5E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6661B99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U形排水管</w:t>
            </w:r>
          </w:p>
        </w:tc>
        <w:tc>
          <w:tcPr>
            <w:tcW w:w="837" w:type="dxa"/>
            <w:noWrap w:val="0"/>
            <w:vAlign w:val="center"/>
          </w:tcPr>
          <w:p w14:paraId="70B7FCE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F86326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89EF3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D9BFE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1A9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2147A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-b-4</w:t>
            </w:r>
          </w:p>
        </w:tc>
        <w:tc>
          <w:tcPr>
            <w:tcW w:w="4644" w:type="dxa"/>
            <w:noWrap w:val="0"/>
            <w:vAlign w:val="center"/>
          </w:tcPr>
          <w:p w14:paraId="2741884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Ω形排水管</w:t>
            </w:r>
          </w:p>
        </w:tc>
        <w:tc>
          <w:tcPr>
            <w:tcW w:w="837" w:type="dxa"/>
            <w:noWrap w:val="0"/>
            <w:vAlign w:val="center"/>
          </w:tcPr>
          <w:p w14:paraId="5F529A7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6E18A8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5DC51F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207D1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257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862C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15E5C4C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防水板</w:t>
            </w:r>
          </w:p>
        </w:tc>
        <w:tc>
          <w:tcPr>
            <w:tcW w:w="837" w:type="dxa"/>
            <w:noWrap w:val="0"/>
            <w:vAlign w:val="center"/>
          </w:tcPr>
          <w:p w14:paraId="3AE6D6B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53389FF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672328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FA3EE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A91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1A5EA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A71367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止水带</w:t>
            </w:r>
          </w:p>
        </w:tc>
        <w:tc>
          <w:tcPr>
            <w:tcW w:w="837" w:type="dxa"/>
            <w:noWrap w:val="0"/>
            <w:vAlign w:val="center"/>
          </w:tcPr>
          <w:p w14:paraId="7F1BEBC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A2E215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D1FA4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CC1EE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3DF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2F1FC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25AA1C4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止水条</w:t>
            </w:r>
          </w:p>
        </w:tc>
        <w:tc>
          <w:tcPr>
            <w:tcW w:w="837" w:type="dxa"/>
            <w:noWrap w:val="0"/>
            <w:vAlign w:val="center"/>
          </w:tcPr>
          <w:p w14:paraId="5FC156F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07C70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B385A6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706AE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6B4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7C68C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67F5AE0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涂料防水层</w:t>
            </w:r>
          </w:p>
        </w:tc>
        <w:tc>
          <w:tcPr>
            <w:tcW w:w="837" w:type="dxa"/>
            <w:noWrap w:val="0"/>
            <w:vAlign w:val="center"/>
          </w:tcPr>
          <w:p w14:paraId="3E3E70B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0C12F9B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15D58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1E434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C24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089F9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4726C81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w:t>
            </w:r>
          </w:p>
        </w:tc>
        <w:tc>
          <w:tcPr>
            <w:tcW w:w="837" w:type="dxa"/>
            <w:noWrap w:val="0"/>
            <w:vAlign w:val="center"/>
          </w:tcPr>
          <w:p w14:paraId="305AD43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AF881C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865606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17950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DFB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3EE42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-g-1</w:t>
            </w:r>
          </w:p>
        </w:tc>
        <w:tc>
          <w:tcPr>
            <w:tcW w:w="4644" w:type="dxa"/>
            <w:noWrap w:val="0"/>
            <w:vAlign w:val="center"/>
          </w:tcPr>
          <w:p w14:paraId="45E8224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w:t>
            </w:r>
          </w:p>
        </w:tc>
        <w:tc>
          <w:tcPr>
            <w:tcW w:w="837" w:type="dxa"/>
            <w:noWrap w:val="0"/>
            <w:vAlign w:val="center"/>
          </w:tcPr>
          <w:p w14:paraId="13ABCDF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w:t>
            </w:r>
          </w:p>
        </w:tc>
        <w:tc>
          <w:tcPr>
            <w:tcW w:w="837" w:type="dxa"/>
            <w:noWrap w:val="0"/>
            <w:vAlign w:val="center"/>
          </w:tcPr>
          <w:p w14:paraId="06C3C05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A2F55B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85241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B52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5FACC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-g-2</w:t>
            </w:r>
          </w:p>
        </w:tc>
        <w:tc>
          <w:tcPr>
            <w:tcW w:w="4644" w:type="dxa"/>
            <w:noWrap w:val="0"/>
            <w:vAlign w:val="center"/>
          </w:tcPr>
          <w:p w14:paraId="77D07F9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水玻璃原液</w:t>
            </w:r>
          </w:p>
        </w:tc>
        <w:tc>
          <w:tcPr>
            <w:tcW w:w="837" w:type="dxa"/>
            <w:noWrap w:val="0"/>
            <w:vAlign w:val="center"/>
          </w:tcPr>
          <w:p w14:paraId="326CEDC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63AB37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E185A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39AD6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ECA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F8CE6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505-2</w:t>
            </w:r>
          </w:p>
        </w:tc>
        <w:tc>
          <w:tcPr>
            <w:tcW w:w="4644" w:type="dxa"/>
            <w:noWrap w:val="0"/>
            <w:vAlign w:val="center"/>
          </w:tcPr>
          <w:p w14:paraId="1F81901B">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w:t>
            </w:r>
          </w:p>
        </w:tc>
        <w:tc>
          <w:tcPr>
            <w:tcW w:w="837" w:type="dxa"/>
            <w:noWrap w:val="0"/>
            <w:vAlign w:val="center"/>
          </w:tcPr>
          <w:p w14:paraId="065340FB">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7E7841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A42E1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A9AA3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297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F977D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613E6ADD">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保温层</w:t>
            </w:r>
          </w:p>
        </w:tc>
        <w:tc>
          <w:tcPr>
            <w:tcW w:w="837" w:type="dxa"/>
            <w:noWrap w:val="0"/>
            <w:vAlign w:val="center"/>
          </w:tcPr>
          <w:p w14:paraId="746F1F4B">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6688BD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580DC5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81330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312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EB36F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1800644E">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洞口排水保温</w:t>
            </w:r>
          </w:p>
        </w:tc>
        <w:tc>
          <w:tcPr>
            <w:tcW w:w="837" w:type="dxa"/>
            <w:noWrap w:val="0"/>
            <w:vAlign w:val="center"/>
          </w:tcPr>
          <w:p w14:paraId="68BDE4F4">
            <w:pPr>
              <w:pageBreakBefore w:val="0"/>
              <w:widowControl/>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65E9D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C7B5D8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B3D90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F7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D8959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41FA2F67">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洞口排水沟保温层</w:t>
            </w:r>
          </w:p>
        </w:tc>
        <w:tc>
          <w:tcPr>
            <w:tcW w:w="837" w:type="dxa"/>
            <w:noWrap w:val="0"/>
            <w:vAlign w:val="center"/>
          </w:tcPr>
          <w:p w14:paraId="30E226BA">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3282A1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9DFBD2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6A9E0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F5A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DFB7E5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52ADC2C9">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保温出水口暗管</w:t>
            </w:r>
          </w:p>
        </w:tc>
        <w:tc>
          <w:tcPr>
            <w:tcW w:w="837" w:type="dxa"/>
            <w:noWrap w:val="0"/>
            <w:vAlign w:val="center"/>
          </w:tcPr>
          <w:p w14:paraId="04EE6F0B">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m </w:t>
            </w:r>
          </w:p>
        </w:tc>
        <w:tc>
          <w:tcPr>
            <w:tcW w:w="837" w:type="dxa"/>
            <w:noWrap w:val="0"/>
            <w:vAlign w:val="center"/>
          </w:tcPr>
          <w:p w14:paraId="7D5E70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26727D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6FDDD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125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736E821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3D32A8E3">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w:t>
            </w:r>
          </w:p>
        </w:tc>
        <w:tc>
          <w:tcPr>
            <w:tcW w:w="837" w:type="dxa"/>
            <w:noWrap w:val="0"/>
            <w:vAlign w:val="center"/>
          </w:tcPr>
          <w:p w14:paraId="39D10824">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w:t>
            </w:r>
          </w:p>
        </w:tc>
        <w:tc>
          <w:tcPr>
            <w:tcW w:w="837" w:type="dxa"/>
            <w:noWrap w:val="0"/>
            <w:vAlign w:val="center"/>
          </w:tcPr>
          <w:p w14:paraId="2BAADBA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300CBD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94450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F1D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9944F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w:t>
            </w:r>
          </w:p>
        </w:tc>
        <w:tc>
          <w:tcPr>
            <w:tcW w:w="4644" w:type="dxa"/>
            <w:noWrap w:val="0"/>
            <w:vAlign w:val="center"/>
          </w:tcPr>
          <w:p w14:paraId="41D2306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洞内防火涂料和装饰工程</w:t>
            </w:r>
          </w:p>
        </w:tc>
        <w:tc>
          <w:tcPr>
            <w:tcW w:w="837" w:type="dxa"/>
            <w:noWrap w:val="0"/>
            <w:vAlign w:val="center"/>
          </w:tcPr>
          <w:p w14:paraId="752BBC55">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8F0A9B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3E4C25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57072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C1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3D7E4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506-1</w:t>
            </w:r>
          </w:p>
        </w:tc>
        <w:tc>
          <w:tcPr>
            <w:tcW w:w="4644" w:type="dxa"/>
            <w:noWrap w:val="0"/>
            <w:vAlign w:val="center"/>
          </w:tcPr>
          <w:p w14:paraId="20F4228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w:t>
            </w:r>
          </w:p>
        </w:tc>
        <w:tc>
          <w:tcPr>
            <w:tcW w:w="837" w:type="dxa"/>
            <w:noWrap w:val="0"/>
            <w:vAlign w:val="center"/>
          </w:tcPr>
          <w:p w14:paraId="431E82C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730DFBF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398C19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262E1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DAA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FC8C7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506-2</w:t>
            </w:r>
          </w:p>
        </w:tc>
        <w:tc>
          <w:tcPr>
            <w:tcW w:w="4644" w:type="dxa"/>
            <w:noWrap w:val="0"/>
            <w:vAlign w:val="center"/>
          </w:tcPr>
          <w:p w14:paraId="2B2A222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洞内装饰工程</w:t>
            </w:r>
          </w:p>
        </w:tc>
        <w:tc>
          <w:tcPr>
            <w:tcW w:w="837" w:type="dxa"/>
            <w:noWrap w:val="0"/>
            <w:vAlign w:val="center"/>
          </w:tcPr>
          <w:p w14:paraId="5A648AA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3F534D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03D8FD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5A72D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E90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E24CD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C2A078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墙面装饰</w:t>
            </w:r>
          </w:p>
        </w:tc>
        <w:tc>
          <w:tcPr>
            <w:tcW w:w="837" w:type="dxa"/>
            <w:noWrap w:val="0"/>
            <w:vAlign w:val="center"/>
          </w:tcPr>
          <w:p w14:paraId="44EBDDA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C82C52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1DE801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812C9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359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C5E44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1848E44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喷涂混凝土专用漆</w:t>
            </w:r>
          </w:p>
        </w:tc>
        <w:tc>
          <w:tcPr>
            <w:tcW w:w="837" w:type="dxa"/>
            <w:noWrap w:val="0"/>
            <w:vAlign w:val="center"/>
          </w:tcPr>
          <w:p w14:paraId="449B0DB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085017C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615725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DA653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94D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C1E72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6D6D9AA4">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吊顶</w:t>
            </w:r>
          </w:p>
        </w:tc>
        <w:tc>
          <w:tcPr>
            <w:tcW w:w="837" w:type="dxa"/>
            <w:noWrap w:val="0"/>
            <w:vAlign w:val="center"/>
          </w:tcPr>
          <w:p w14:paraId="038EF640">
            <w:pPr>
              <w:pageBreakBefore w:val="0"/>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37F121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68F47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92ABF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76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78972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w:t>
            </w:r>
          </w:p>
        </w:tc>
        <w:tc>
          <w:tcPr>
            <w:tcW w:w="4644" w:type="dxa"/>
            <w:noWrap w:val="0"/>
            <w:vAlign w:val="center"/>
          </w:tcPr>
          <w:p w14:paraId="0B7C8AB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469AD516">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BA1044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05DE37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12CD0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A5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3B847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508-1</w:t>
            </w:r>
          </w:p>
        </w:tc>
        <w:tc>
          <w:tcPr>
            <w:tcW w:w="4644" w:type="dxa"/>
            <w:noWrap w:val="0"/>
            <w:vAlign w:val="center"/>
          </w:tcPr>
          <w:p w14:paraId="1AF709A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564BED3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AA8143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FBD5C4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34691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560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9EB60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C23158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必测项目</w:t>
            </w:r>
          </w:p>
        </w:tc>
        <w:tc>
          <w:tcPr>
            <w:tcW w:w="837" w:type="dxa"/>
            <w:noWrap w:val="0"/>
            <w:vAlign w:val="center"/>
          </w:tcPr>
          <w:p w14:paraId="692FBBC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3151501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6EBB02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B02D0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1FE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B67501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5422B3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选测项目</w:t>
            </w:r>
          </w:p>
        </w:tc>
        <w:tc>
          <w:tcPr>
            <w:tcW w:w="837" w:type="dxa"/>
            <w:noWrap w:val="0"/>
            <w:vAlign w:val="center"/>
          </w:tcPr>
          <w:p w14:paraId="1236516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2046AAF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357200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D3921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49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B5493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w:t>
            </w:r>
          </w:p>
        </w:tc>
        <w:tc>
          <w:tcPr>
            <w:tcW w:w="4644" w:type="dxa"/>
            <w:noWrap w:val="0"/>
            <w:vAlign w:val="center"/>
          </w:tcPr>
          <w:p w14:paraId="23FD3D02">
            <w:pPr>
              <w:pageBreakBefore w:val="0"/>
              <w:widowControl/>
              <w:kinsoku/>
              <w:wordWrap w:val="0"/>
              <w:bidi w:val="0"/>
              <w:spacing w:line="34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特殊地质地段的施工与地质预报</w:t>
            </w:r>
          </w:p>
        </w:tc>
        <w:tc>
          <w:tcPr>
            <w:tcW w:w="837" w:type="dxa"/>
            <w:noWrap w:val="0"/>
            <w:vAlign w:val="center"/>
          </w:tcPr>
          <w:p w14:paraId="5A7F178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21E7AE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16E101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2CBFE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84A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24816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509-1</w:t>
            </w:r>
          </w:p>
        </w:tc>
        <w:tc>
          <w:tcPr>
            <w:tcW w:w="4644" w:type="dxa"/>
            <w:noWrap w:val="0"/>
            <w:vAlign w:val="center"/>
          </w:tcPr>
          <w:p w14:paraId="5CE9942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地质预报</w:t>
            </w:r>
          </w:p>
        </w:tc>
        <w:tc>
          <w:tcPr>
            <w:tcW w:w="837" w:type="dxa"/>
            <w:noWrap w:val="0"/>
            <w:vAlign w:val="center"/>
          </w:tcPr>
          <w:p w14:paraId="31957AC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3F6FFCD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9E56B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E99F2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36E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57D2B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w:t>
            </w:r>
          </w:p>
        </w:tc>
        <w:tc>
          <w:tcPr>
            <w:tcW w:w="4644" w:type="dxa"/>
            <w:noWrap w:val="0"/>
            <w:vAlign w:val="center"/>
          </w:tcPr>
          <w:p w14:paraId="538D63C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洞内机电设施预埋件和消防设施</w:t>
            </w:r>
          </w:p>
        </w:tc>
        <w:tc>
          <w:tcPr>
            <w:tcW w:w="837" w:type="dxa"/>
            <w:noWrap w:val="0"/>
            <w:vAlign w:val="center"/>
          </w:tcPr>
          <w:p w14:paraId="54FB9F0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8C678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8853F7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44978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4AF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68BFA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510-1</w:t>
            </w:r>
          </w:p>
        </w:tc>
        <w:tc>
          <w:tcPr>
            <w:tcW w:w="4644" w:type="dxa"/>
            <w:noWrap w:val="0"/>
            <w:vAlign w:val="center"/>
          </w:tcPr>
          <w:p w14:paraId="60AFB1A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预埋件</w:t>
            </w:r>
          </w:p>
        </w:tc>
        <w:tc>
          <w:tcPr>
            <w:tcW w:w="837" w:type="dxa"/>
            <w:noWrap w:val="0"/>
            <w:vAlign w:val="center"/>
          </w:tcPr>
          <w:p w14:paraId="38CDF80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82371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EF7AB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57864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275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3EFC9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3E7188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通风设施预埋件</w:t>
            </w:r>
          </w:p>
        </w:tc>
        <w:tc>
          <w:tcPr>
            <w:tcW w:w="837" w:type="dxa"/>
            <w:noWrap w:val="0"/>
            <w:vAlign w:val="top"/>
          </w:tcPr>
          <w:p w14:paraId="398C528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A8C6EB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B7C44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3BE18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39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7A854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3B884DB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通信设施预埋件</w:t>
            </w:r>
          </w:p>
        </w:tc>
        <w:tc>
          <w:tcPr>
            <w:tcW w:w="837" w:type="dxa"/>
            <w:noWrap w:val="0"/>
            <w:vAlign w:val="top"/>
          </w:tcPr>
          <w:p w14:paraId="794EEE4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845C8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C7FBA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BA7D0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DE7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C5FE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88DC11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照明设施预埋件</w:t>
            </w:r>
          </w:p>
        </w:tc>
        <w:tc>
          <w:tcPr>
            <w:tcW w:w="837" w:type="dxa"/>
            <w:noWrap w:val="0"/>
            <w:vAlign w:val="top"/>
          </w:tcPr>
          <w:p w14:paraId="6026C7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8EB73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CF771E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F170C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CA4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C4F2C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3F6DA4F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监控设施预埋件</w:t>
            </w:r>
          </w:p>
        </w:tc>
        <w:tc>
          <w:tcPr>
            <w:tcW w:w="837" w:type="dxa"/>
            <w:noWrap w:val="0"/>
            <w:vAlign w:val="top"/>
          </w:tcPr>
          <w:p w14:paraId="16EE0F6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5B00C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ED02BE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64D6C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356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8C226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416428D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供配电设施预埋件</w:t>
            </w:r>
          </w:p>
        </w:tc>
        <w:tc>
          <w:tcPr>
            <w:tcW w:w="837" w:type="dxa"/>
            <w:noWrap w:val="0"/>
            <w:vAlign w:val="top"/>
          </w:tcPr>
          <w:p w14:paraId="601E938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4814B3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85DBF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4F5D2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2AE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C314F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644" w:type="dxa"/>
            <w:noWrap w:val="0"/>
            <w:vAlign w:val="center"/>
          </w:tcPr>
          <w:p w14:paraId="322AF764">
            <w:pPr>
              <w:pageBreakBefore w:val="0"/>
              <w:kinsoku/>
              <w:wordWrap w:val="0"/>
              <w:bidi w:val="0"/>
              <w:snapToGrid w:val="0"/>
              <w:spacing w:line="340" w:lineRule="atLeast"/>
              <w:ind w:left="-50" w:right="-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37" w:type="dxa"/>
            <w:noWrap w:val="0"/>
            <w:vAlign w:val="top"/>
          </w:tcPr>
          <w:p w14:paraId="6E5AA374">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376C4D9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811DE0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2E681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FDC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7A241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510-2</w:t>
            </w:r>
          </w:p>
        </w:tc>
        <w:tc>
          <w:tcPr>
            <w:tcW w:w="4644" w:type="dxa"/>
            <w:noWrap w:val="0"/>
            <w:vAlign w:val="center"/>
          </w:tcPr>
          <w:p w14:paraId="028A907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消防设施</w:t>
            </w:r>
          </w:p>
        </w:tc>
        <w:tc>
          <w:tcPr>
            <w:tcW w:w="837" w:type="dxa"/>
            <w:noWrap w:val="0"/>
            <w:vAlign w:val="center"/>
          </w:tcPr>
          <w:p w14:paraId="3462D41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1933F6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0AF0E6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A16C3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EF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366E21">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noWrap w:val="0"/>
            <w:vAlign w:val="center"/>
          </w:tcPr>
          <w:p w14:paraId="0498AC6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供水钢管（</w:t>
            </w:r>
            <w:r>
              <w:rPr>
                <w:rFonts w:hint="default" w:ascii="Times New Roman" w:hAnsi="Times New Roman" w:cs="Times New Roman"/>
                <w:color w:val="auto"/>
                <w:szCs w:val="21"/>
                <w:highlight w:val="none"/>
              </w:rPr>
              <w:t>Ф…mm</w:t>
            </w:r>
            <w:r>
              <w:rPr>
                <w:rFonts w:hint="default" w:ascii="Times New Roman" w:hAnsi="Times New Roman" w:cs="Times New Roman"/>
                <w:color w:val="auto"/>
                <w:kern w:val="0"/>
                <w:szCs w:val="21"/>
                <w:highlight w:val="none"/>
              </w:rPr>
              <w:t>）</w:t>
            </w:r>
          </w:p>
        </w:tc>
        <w:tc>
          <w:tcPr>
            <w:tcW w:w="837" w:type="dxa"/>
            <w:noWrap w:val="0"/>
            <w:vAlign w:val="center"/>
          </w:tcPr>
          <w:p w14:paraId="3AE2A757">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540493E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8E4305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621F0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E9A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D69117">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center"/>
          </w:tcPr>
          <w:p w14:paraId="3C7E5C8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消防洞室防火门</w:t>
            </w:r>
          </w:p>
        </w:tc>
        <w:tc>
          <w:tcPr>
            <w:tcW w:w="837" w:type="dxa"/>
            <w:noWrap w:val="0"/>
            <w:vAlign w:val="center"/>
          </w:tcPr>
          <w:p w14:paraId="2F281DF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w:t>
            </w:r>
          </w:p>
        </w:tc>
        <w:tc>
          <w:tcPr>
            <w:tcW w:w="837" w:type="dxa"/>
            <w:noWrap w:val="0"/>
            <w:vAlign w:val="center"/>
          </w:tcPr>
          <w:p w14:paraId="3A47B90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0CC36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DDC84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F8C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0A070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644" w:type="dxa"/>
            <w:noWrap w:val="0"/>
            <w:vAlign w:val="center"/>
          </w:tcPr>
          <w:p w14:paraId="75C3659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集水池</w:t>
            </w:r>
          </w:p>
        </w:tc>
        <w:tc>
          <w:tcPr>
            <w:tcW w:w="837" w:type="dxa"/>
            <w:noWrap w:val="0"/>
            <w:vAlign w:val="center"/>
          </w:tcPr>
          <w:p w14:paraId="70D4F354">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5E1EE5E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64F72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870EC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C4F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CDD205">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644" w:type="dxa"/>
            <w:noWrap w:val="0"/>
            <w:vAlign w:val="center"/>
          </w:tcPr>
          <w:p w14:paraId="1C69127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蓄水池</w:t>
            </w:r>
          </w:p>
        </w:tc>
        <w:tc>
          <w:tcPr>
            <w:tcW w:w="837" w:type="dxa"/>
            <w:noWrap w:val="0"/>
            <w:vAlign w:val="center"/>
          </w:tcPr>
          <w:p w14:paraId="390A7B9F">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25D890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DC9B48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AE561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BB9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1CD336">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w:t>
            </w:r>
          </w:p>
        </w:tc>
        <w:tc>
          <w:tcPr>
            <w:tcW w:w="4644" w:type="dxa"/>
            <w:noWrap w:val="0"/>
            <w:vAlign w:val="center"/>
          </w:tcPr>
          <w:p w14:paraId="522CE9A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泵房</w:t>
            </w:r>
          </w:p>
        </w:tc>
        <w:tc>
          <w:tcPr>
            <w:tcW w:w="837" w:type="dxa"/>
            <w:noWrap w:val="0"/>
            <w:vAlign w:val="center"/>
          </w:tcPr>
          <w:p w14:paraId="20A23CCC">
            <w:pPr>
              <w:pageBreakBefore w:val="0"/>
              <w:kinsoku/>
              <w:wordWrap w:val="0"/>
              <w:bidi w:val="0"/>
              <w:snapToGrid w:val="0"/>
              <w:spacing w:line="340" w:lineRule="atLeast"/>
              <w:ind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41E2A80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CF9B0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067ED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276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3433E4">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0F3BF4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837" w:type="dxa"/>
            <w:noWrap w:val="0"/>
            <w:vAlign w:val="top"/>
          </w:tcPr>
          <w:p w14:paraId="6C15B878">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655FB33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11A137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814D1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9DF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2BEA9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2ACBBFD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312C65E">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2FC532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082AA6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2A119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9C2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B66FAE">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312579A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5EA361F">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1B552F5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E4645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2754A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495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B58D99">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52B540B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68A1957">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586C8D6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92E9E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E4C13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16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3AA301D">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清单第500章合计  人民币</w:t>
            </w:r>
            <w:r>
              <w:rPr>
                <w:rFonts w:hint="default" w:ascii="Times New Roman" w:hAnsi="Times New Roman" w:cs="Times New Roman"/>
                <w:color w:val="auto"/>
                <w:szCs w:val="21"/>
                <w:highlight w:val="none"/>
                <w:u w:val="single"/>
              </w:rPr>
              <w:t xml:space="preserve">                    </w:t>
            </w:r>
          </w:p>
        </w:tc>
      </w:tr>
    </w:tbl>
    <w:p w14:paraId="6518F576">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06DA0DD1">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40F1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7CF11502">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1BD6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66C5E14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493F1AD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4B65327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706576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EACB6F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2855DD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8A1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325B331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AE0EF4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护栏</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5BE38C5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7ADD69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08E31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ED2FC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B7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BDDEE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602-1</w:t>
            </w:r>
          </w:p>
        </w:tc>
        <w:tc>
          <w:tcPr>
            <w:tcW w:w="4732" w:type="dxa"/>
            <w:tcBorders>
              <w:top w:val="single" w:color="auto" w:sz="4" w:space="0"/>
              <w:left w:val="single" w:color="auto" w:sz="4" w:space="0"/>
              <w:right w:val="single" w:color="auto" w:sz="4" w:space="0"/>
            </w:tcBorders>
            <w:noWrap w:val="0"/>
            <w:vAlign w:val="center"/>
          </w:tcPr>
          <w:p w14:paraId="24AE0F8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混凝土护栏（护墙、立柱）</w:t>
            </w:r>
          </w:p>
        </w:tc>
        <w:tc>
          <w:tcPr>
            <w:tcW w:w="749" w:type="dxa"/>
            <w:tcBorders>
              <w:top w:val="single" w:color="auto" w:sz="4" w:space="0"/>
              <w:left w:val="single" w:color="auto" w:sz="4" w:space="0"/>
              <w:right w:val="single" w:color="auto" w:sz="4" w:space="0"/>
            </w:tcBorders>
            <w:noWrap w:val="0"/>
            <w:vAlign w:val="center"/>
          </w:tcPr>
          <w:p w14:paraId="129819A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353A64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A8B3B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1EB8D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9B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838E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7FBFA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现浇混凝土护栏</w:t>
            </w:r>
          </w:p>
        </w:tc>
        <w:tc>
          <w:tcPr>
            <w:tcW w:w="749" w:type="dxa"/>
            <w:noWrap w:val="0"/>
            <w:vAlign w:val="center"/>
          </w:tcPr>
          <w:p w14:paraId="1BDF3F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1CFD7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2FD4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B4D0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B72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FA7E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6689CF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预制安装混凝土护栏</w:t>
            </w:r>
          </w:p>
        </w:tc>
        <w:tc>
          <w:tcPr>
            <w:tcW w:w="749" w:type="dxa"/>
            <w:noWrap w:val="0"/>
            <w:vAlign w:val="center"/>
          </w:tcPr>
          <w:p w14:paraId="1B577C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0C115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135B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6357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AC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FAB7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57270C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现浇混凝土基础</w:t>
            </w:r>
          </w:p>
        </w:tc>
        <w:tc>
          <w:tcPr>
            <w:tcW w:w="749" w:type="dxa"/>
            <w:noWrap w:val="0"/>
            <w:vAlign w:val="center"/>
          </w:tcPr>
          <w:p w14:paraId="21C274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680B3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F548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6F444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2C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0EDF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6B55BB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6D3779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C011A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A742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4E79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6F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BCAD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602-2</w:t>
            </w:r>
          </w:p>
        </w:tc>
        <w:tc>
          <w:tcPr>
            <w:tcW w:w="4732" w:type="dxa"/>
            <w:noWrap w:val="0"/>
            <w:vAlign w:val="center"/>
          </w:tcPr>
          <w:p w14:paraId="60F4DA4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石砌护墙</w:t>
            </w:r>
          </w:p>
        </w:tc>
        <w:tc>
          <w:tcPr>
            <w:tcW w:w="749" w:type="dxa"/>
            <w:noWrap w:val="0"/>
            <w:vAlign w:val="center"/>
          </w:tcPr>
          <w:p w14:paraId="736B12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7BD7E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536F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EB91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51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05E9B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602-3</w:t>
            </w:r>
          </w:p>
        </w:tc>
        <w:tc>
          <w:tcPr>
            <w:tcW w:w="4732" w:type="dxa"/>
            <w:noWrap w:val="0"/>
            <w:vAlign w:val="center"/>
          </w:tcPr>
          <w:p w14:paraId="61A965E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w:t>
            </w:r>
          </w:p>
        </w:tc>
        <w:tc>
          <w:tcPr>
            <w:tcW w:w="749" w:type="dxa"/>
            <w:noWrap w:val="0"/>
            <w:vAlign w:val="center"/>
          </w:tcPr>
          <w:p w14:paraId="01E75B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CDBEC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0E7E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E308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B4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586D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77557B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路侧波形梁钢护栏</w:t>
            </w:r>
          </w:p>
        </w:tc>
        <w:tc>
          <w:tcPr>
            <w:tcW w:w="749" w:type="dxa"/>
            <w:noWrap w:val="0"/>
            <w:vAlign w:val="center"/>
          </w:tcPr>
          <w:p w14:paraId="146E6B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　</w:t>
            </w:r>
          </w:p>
        </w:tc>
        <w:tc>
          <w:tcPr>
            <w:tcW w:w="837" w:type="dxa"/>
            <w:noWrap w:val="0"/>
            <w:vAlign w:val="center"/>
          </w:tcPr>
          <w:p w14:paraId="6B32A3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1549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8D69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11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34A1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CAA5B1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中央分隔带波形梁钢护栏</w:t>
            </w:r>
          </w:p>
        </w:tc>
        <w:tc>
          <w:tcPr>
            <w:tcW w:w="749" w:type="dxa"/>
            <w:noWrap w:val="0"/>
            <w:vAlign w:val="center"/>
          </w:tcPr>
          <w:p w14:paraId="41F08A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DEADC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E845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7C5E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08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7DA1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307717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波形梁钢护栏端头</w:t>
            </w:r>
          </w:p>
        </w:tc>
        <w:tc>
          <w:tcPr>
            <w:tcW w:w="749" w:type="dxa"/>
            <w:noWrap w:val="0"/>
            <w:vAlign w:val="center"/>
          </w:tcPr>
          <w:p w14:paraId="0A3B760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D89B3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F6CB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4A6A2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A3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5251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602-4</w:t>
            </w:r>
          </w:p>
        </w:tc>
        <w:tc>
          <w:tcPr>
            <w:tcW w:w="4732" w:type="dxa"/>
            <w:noWrap w:val="0"/>
            <w:vAlign w:val="center"/>
          </w:tcPr>
          <w:p w14:paraId="006C2D7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缆索护栏</w:t>
            </w:r>
          </w:p>
        </w:tc>
        <w:tc>
          <w:tcPr>
            <w:tcW w:w="749" w:type="dxa"/>
            <w:noWrap w:val="0"/>
            <w:vAlign w:val="center"/>
          </w:tcPr>
          <w:p w14:paraId="12F1D9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36E17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27E8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0642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05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E51F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9E8E2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路侧缆索护栏</w:t>
            </w:r>
          </w:p>
        </w:tc>
        <w:tc>
          <w:tcPr>
            <w:tcW w:w="749" w:type="dxa"/>
            <w:noWrap w:val="0"/>
            <w:vAlign w:val="center"/>
          </w:tcPr>
          <w:p w14:paraId="147736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81DB1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5AAD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DED9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9F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C68AD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C45CD0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中央分隔带缆索护栏</w:t>
            </w:r>
          </w:p>
        </w:tc>
        <w:tc>
          <w:tcPr>
            <w:tcW w:w="749" w:type="dxa"/>
            <w:noWrap w:val="0"/>
            <w:vAlign w:val="center"/>
          </w:tcPr>
          <w:p w14:paraId="725470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DB239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3700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3026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9C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1A30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602-5</w:t>
            </w:r>
          </w:p>
        </w:tc>
        <w:tc>
          <w:tcPr>
            <w:tcW w:w="4732" w:type="dxa"/>
            <w:noWrap w:val="0"/>
            <w:vAlign w:val="center"/>
          </w:tcPr>
          <w:p w14:paraId="7708C93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中央分隔带活动护栏</w:t>
            </w:r>
          </w:p>
        </w:tc>
        <w:tc>
          <w:tcPr>
            <w:tcW w:w="749" w:type="dxa"/>
            <w:noWrap w:val="0"/>
            <w:vAlign w:val="center"/>
          </w:tcPr>
          <w:p w14:paraId="746519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4AB6C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58D7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985A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E3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968F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4BE576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钢质插拔式</w:t>
            </w:r>
          </w:p>
        </w:tc>
        <w:tc>
          <w:tcPr>
            <w:tcW w:w="749" w:type="dxa"/>
            <w:noWrap w:val="0"/>
            <w:vAlign w:val="center"/>
          </w:tcPr>
          <w:p w14:paraId="21E7737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4B91B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9B5C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06474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B2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C2B9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841A3F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钢质伸缩式</w:t>
            </w:r>
          </w:p>
        </w:tc>
        <w:tc>
          <w:tcPr>
            <w:tcW w:w="749" w:type="dxa"/>
            <w:noWrap w:val="0"/>
            <w:vAlign w:val="center"/>
          </w:tcPr>
          <w:p w14:paraId="1C7A6D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BB9CA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FC66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5908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1A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8B72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A46512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钢管预应力索防撞活动护栏</w:t>
            </w:r>
          </w:p>
        </w:tc>
        <w:tc>
          <w:tcPr>
            <w:tcW w:w="749" w:type="dxa"/>
            <w:noWrap w:val="0"/>
            <w:vAlign w:val="center"/>
          </w:tcPr>
          <w:p w14:paraId="6780F26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88540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949B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1C85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E2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973D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w:t>
            </w:r>
          </w:p>
        </w:tc>
        <w:tc>
          <w:tcPr>
            <w:tcW w:w="4732" w:type="dxa"/>
            <w:noWrap w:val="0"/>
            <w:vAlign w:val="center"/>
          </w:tcPr>
          <w:p w14:paraId="7BDC610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隔离栅和防落物网</w:t>
            </w:r>
          </w:p>
        </w:tc>
        <w:tc>
          <w:tcPr>
            <w:tcW w:w="749" w:type="dxa"/>
            <w:noWrap w:val="0"/>
            <w:vAlign w:val="center"/>
          </w:tcPr>
          <w:p w14:paraId="67BC28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48200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30CB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B252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30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33E7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603-1</w:t>
            </w:r>
          </w:p>
        </w:tc>
        <w:tc>
          <w:tcPr>
            <w:tcW w:w="4732" w:type="dxa"/>
            <w:noWrap w:val="0"/>
            <w:vAlign w:val="center"/>
          </w:tcPr>
          <w:p w14:paraId="2222BAC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钢板网隔离栅</w:t>
            </w:r>
          </w:p>
        </w:tc>
        <w:tc>
          <w:tcPr>
            <w:tcW w:w="749" w:type="dxa"/>
            <w:noWrap w:val="0"/>
            <w:vAlign w:val="center"/>
          </w:tcPr>
          <w:p w14:paraId="2CD447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4C14E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A5AD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3990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4A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4954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603-2</w:t>
            </w:r>
          </w:p>
        </w:tc>
        <w:tc>
          <w:tcPr>
            <w:tcW w:w="4732" w:type="dxa"/>
            <w:noWrap w:val="0"/>
            <w:vAlign w:val="center"/>
          </w:tcPr>
          <w:p w14:paraId="55D9D9C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编织网隔离栅</w:t>
            </w:r>
          </w:p>
        </w:tc>
        <w:tc>
          <w:tcPr>
            <w:tcW w:w="749" w:type="dxa"/>
            <w:noWrap w:val="0"/>
            <w:vAlign w:val="center"/>
          </w:tcPr>
          <w:p w14:paraId="152529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C7F9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F0B0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C3E9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4D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E1F8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603-3</w:t>
            </w:r>
          </w:p>
        </w:tc>
        <w:tc>
          <w:tcPr>
            <w:tcW w:w="4732" w:type="dxa"/>
            <w:noWrap w:val="0"/>
            <w:vAlign w:val="center"/>
          </w:tcPr>
          <w:p w14:paraId="0E6845A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焊接网隔离栅</w:t>
            </w:r>
          </w:p>
        </w:tc>
        <w:tc>
          <w:tcPr>
            <w:tcW w:w="749" w:type="dxa"/>
            <w:noWrap w:val="0"/>
            <w:vAlign w:val="center"/>
          </w:tcPr>
          <w:p w14:paraId="3AC755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FF4F7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5F84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9038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E2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2035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603-4</w:t>
            </w:r>
          </w:p>
        </w:tc>
        <w:tc>
          <w:tcPr>
            <w:tcW w:w="4732" w:type="dxa"/>
            <w:noWrap w:val="0"/>
            <w:vAlign w:val="center"/>
          </w:tcPr>
          <w:p w14:paraId="27395FE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刺钢丝网隔离栅</w:t>
            </w:r>
          </w:p>
        </w:tc>
        <w:tc>
          <w:tcPr>
            <w:tcW w:w="749" w:type="dxa"/>
            <w:noWrap w:val="0"/>
            <w:vAlign w:val="center"/>
          </w:tcPr>
          <w:p w14:paraId="519354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A5E44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0CCB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9AFFB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0D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EF80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603-5</w:t>
            </w:r>
          </w:p>
        </w:tc>
        <w:tc>
          <w:tcPr>
            <w:tcW w:w="4732" w:type="dxa"/>
            <w:noWrap w:val="0"/>
            <w:vAlign w:val="center"/>
          </w:tcPr>
          <w:p w14:paraId="6BE8AB9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防落物网</w:t>
            </w:r>
          </w:p>
        </w:tc>
        <w:tc>
          <w:tcPr>
            <w:tcW w:w="749" w:type="dxa"/>
            <w:noWrap w:val="0"/>
            <w:vAlign w:val="center"/>
          </w:tcPr>
          <w:p w14:paraId="4457C5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FED96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89BD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2BC4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1C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7BB5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w:t>
            </w:r>
          </w:p>
        </w:tc>
        <w:tc>
          <w:tcPr>
            <w:tcW w:w="4732" w:type="dxa"/>
            <w:noWrap w:val="0"/>
            <w:vAlign w:val="center"/>
          </w:tcPr>
          <w:p w14:paraId="27DE47A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道路交通标志</w:t>
            </w:r>
          </w:p>
        </w:tc>
        <w:tc>
          <w:tcPr>
            <w:tcW w:w="749" w:type="dxa"/>
            <w:noWrap w:val="0"/>
            <w:vAlign w:val="center"/>
          </w:tcPr>
          <w:p w14:paraId="5649B9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CD4FE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0487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3ADA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8C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9386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w:t>
            </w:r>
          </w:p>
        </w:tc>
        <w:tc>
          <w:tcPr>
            <w:tcW w:w="4732" w:type="dxa"/>
            <w:noWrap w:val="0"/>
            <w:vAlign w:val="center"/>
          </w:tcPr>
          <w:p w14:paraId="562BF83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单柱式交通标志</w:t>
            </w:r>
          </w:p>
        </w:tc>
        <w:tc>
          <w:tcPr>
            <w:tcW w:w="749" w:type="dxa"/>
            <w:noWrap w:val="0"/>
            <w:vAlign w:val="center"/>
          </w:tcPr>
          <w:p w14:paraId="20B2AB0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AC086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06D7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987E5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F9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7B87C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604-2</w:t>
            </w:r>
          </w:p>
        </w:tc>
        <w:tc>
          <w:tcPr>
            <w:tcW w:w="4732" w:type="dxa"/>
            <w:noWrap w:val="0"/>
            <w:vAlign w:val="center"/>
          </w:tcPr>
          <w:p w14:paraId="5017D46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双柱式交通标志</w:t>
            </w:r>
          </w:p>
        </w:tc>
        <w:tc>
          <w:tcPr>
            <w:tcW w:w="749" w:type="dxa"/>
            <w:noWrap w:val="0"/>
            <w:vAlign w:val="center"/>
          </w:tcPr>
          <w:p w14:paraId="7866B7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39AF7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3FA8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2A3A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67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875891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604-3</w:t>
            </w:r>
          </w:p>
        </w:tc>
        <w:tc>
          <w:tcPr>
            <w:tcW w:w="4732" w:type="dxa"/>
            <w:noWrap w:val="0"/>
            <w:vAlign w:val="center"/>
          </w:tcPr>
          <w:p w14:paraId="49B9C39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三柱式交通标志</w:t>
            </w:r>
          </w:p>
        </w:tc>
        <w:tc>
          <w:tcPr>
            <w:tcW w:w="749" w:type="dxa"/>
            <w:noWrap w:val="0"/>
            <w:vAlign w:val="center"/>
          </w:tcPr>
          <w:p w14:paraId="59045AC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5ED11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5AF5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3114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3C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C27E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604-4</w:t>
            </w:r>
          </w:p>
        </w:tc>
        <w:tc>
          <w:tcPr>
            <w:tcW w:w="4732" w:type="dxa"/>
            <w:noWrap w:val="0"/>
            <w:vAlign w:val="center"/>
          </w:tcPr>
          <w:p w14:paraId="5772002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门架式交通标志</w:t>
            </w:r>
          </w:p>
        </w:tc>
        <w:tc>
          <w:tcPr>
            <w:tcW w:w="749" w:type="dxa"/>
            <w:noWrap w:val="0"/>
            <w:vAlign w:val="center"/>
          </w:tcPr>
          <w:p w14:paraId="38B656F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65726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1954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ADC0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AE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B0401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604-5</w:t>
            </w:r>
          </w:p>
        </w:tc>
        <w:tc>
          <w:tcPr>
            <w:tcW w:w="4732" w:type="dxa"/>
            <w:noWrap w:val="0"/>
            <w:vAlign w:val="center"/>
          </w:tcPr>
          <w:p w14:paraId="373A53B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单悬臂式交通标志</w:t>
            </w:r>
          </w:p>
        </w:tc>
        <w:tc>
          <w:tcPr>
            <w:tcW w:w="749" w:type="dxa"/>
            <w:noWrap w:val="0"/>
            <w:vAlign w:val="center"/>
          </w:tcPr>
          <w:p w14:paraId="76B078F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A3D37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066E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FBCCB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66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16A1D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604-6</w:t>
            </w:r>
          </w:p>
        </w:tc>
        <w:tc>
          <w:tcPr>
            <w:tcW w:w="4732" w:type="dxa"/>
            <w:noWrap w:val="0"/>
            <w:vAlign w:val="center"/>
          </w:tcPr>
          <w:p w14:paraId="79F11A0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双悬臂式交通标志</w:t>
            </w:r>
          </w:p>
        </w:tc>
        <w:tc>
          <w:tcPr>
            <w:tcW w:w="749" w:type="dxa"/>
            <w:noWrap w:val="0"/>
            <w:vAlign w:val="center"/>
          </w:tcPr>
          <w:p w14:paraId="463A283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7CA567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83C4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DACB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44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B0EA3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604-7</w:t>
            </w:r>
          </w:p>
        </w:tc>
        <w:tc>
          <w:tcPr>
            <w:tcW w:w="4732" w:type="dxa"/>
            <w:noWrap w:val="0"/>
            <w:vAlign w:val="center"/>
          </w:tcPr>
          <w:p w14:paraId="5023795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附着式交通标志</w:t>
            </w:r>
          </w:p>
        </w:tc>
        <w:tc>
          <w:tcPr>
            <w:tcW w:w="749" w:type="dxa"/>
            <w:noWrap w:val="0"/>
            <w:vAlign w:val="center"/>
          </w:tcPr>
          <w:p w14:paraId="363FECC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2A0D8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0644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E992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39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7596BADF">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43D8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AA591A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09D0CC3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105E16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26C5ED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6AF7D16">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79C221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415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FF67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604-8</w:t>
            </w:r>
          </w:p>
        </w:tc>
        <w:tc>
          <w:tcPr>
            <w:tcW w:w="4732" w:type="dxa"/>
            <w:noWrap w:val="0"/>
            <w:vAlign w:val="center"/>
          </w:tcPr>
          <w:p w14:paraId="38AD408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里程碑</w:t>
            </w:r>
          </w:p>
        </w:tc>
        <w:tc>
          <w:tcPr>
            <w:tcW w:w="749" w:type="dxa"/>
            <w:noWrap w:val="0"/>
            <w:vAlign w:val="center"/>
          </w:tcPr>
          <w:p w14:paraId="23C90C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679FE4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9275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B3E7B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59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30032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604-9</w:t>
            </w:r>
          </w:p>
        </w:tc>
        <w:tc>
          <w:tcPr>
            <w:tcW w:w="4732" w:type="dxa"/>
            <w:noWrap w:val="0"/>
            <w:vAlign w:val="center"/>
          </w:tcPr>
          <w:p w14:paraId="589E0D1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公路界碑</w:t>
            </w:r>
          </w:p>
        </w:tc>
        <w:tc>
          <w:tcPr>
            <w:tcW w:w="749" w:type="dxa"/>
            <w:noWrap w:val="0"/>
            <w:vAlign w:val="center"/>
          </w:tcPr>
          <w:p w14:paraId="3450875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7EDFED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D072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68AA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90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DDAF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604-10</w:t>
            </w:r>
          </w:p>
        </w:tc>
        <w:tc>
          <w:tcPr>
            <w:tcW w:w="4732" w:type="dxa"/>
            <w:noWrap w:val="0"/>
            <w:vAlign w:val="center"/>
          </w:tcPr>
          <w:p w14:paraId="0D79060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百米桩</w:t>
            </w:r>
          </w:p>
        </w:tc>
        <w:tc>
          <w:tcPr>
            <w:tcW w:w="749" w:type="dxa"/>
            <w:noWrap w:val="0"/>
            <w:vAlign w:val="center"/>
          </w:tcPr>
          <w:p w14:paraId="4D1A49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600270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00BC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1FF8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19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9C532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604-11</w:t>
            </w:r>
          </w:p>
        </w:tc>
        <w:tc>
          <w:tcPr>
            <w:tcW w:w="4732" w:type="dxa"/>
            <w:noWrap w:val="0"/>
            <w:vAlign w:val="center"/>
          </w:tcPr>
          <w:p w14:paraId="727DA74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防撞桶</w:t>
            </w:r>
          </w:p>
        </w:tc>
        <w:tc>
          <w:tcPr>
            <w:tcW w:w="749" w:type="dxa"/>
            <w:noWrap w:val="0"/>
            <w:vAlign w:val="center"/>
          </w:tcPr>
          <w:p w14:paraId="0F1CA3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AA870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77AB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6075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D9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2D21D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604-12</w:t>
            </w:r>
          </w:p>
        </w:tc>
        <w:tc>
          <w:tcPr>
            <w:tcW w:w="4732" w:type="dxa"/>
            <w:noWrap w:val="0"/>
            <w:vAlign w:val="center"/>
          </w:tcPr>
          <w:p w14:paraId="1825BC8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锥形桶</w:t>
            </w:r>
          </w:p>
        </w:tc>
        <w:tc>
          <w:tcPr>
            <w:tcW w:w="749" w:type="dxa"/>
            <w:noWrap w:val="0"/>
            <w:vAlign w:val="center"/>
          </w:tcPr>
          <w:p w14:paraId="75C02E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75010F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4B55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305A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D8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9A64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604-13</w:t>
            </w:r>
          </w:p>
        </w:tc>
        <w:tc>
          <w:tcPr>
            <w:tcW w:w="4732" w:type="dxa"/>
            <w:noWrap w:val="0"/>
            <w:vAlign w:val="center"/>
          </w:tcPr>
          <w:p w14:paraId="146105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道路反光镜</w:t>
            </w:r>
          </w:p>
        </w:tc>
        <w:tc>
          <w:tcPr>
            <w:tcW w:w="749" w:type="dxa"/>
            <w:noWrap w:val="0"/>
            <w:vAlign w:val="center"/>
          </w:tcPr>
          <w:p w14:paraId="1430D9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6F863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5917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8450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40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550B5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w:t>
            </w:r>
          </w:p>
        </w:tc>
        <w:tc>
          <w:tcPr>
            <w:tcW w:w="4732" w:type="dxa"/>
            <w:noWrap w:val="0"/>
            <w:vAlign w:val="center"/>
          </w:tcPr>
          <w:p w14:paraId="10406504">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道路交通标线</w:t>
            </w:r>
          </w:p>
        </w:tc>
        <w:tc>
          <w:tcPr>
            <w:tcW w:w="749" w:type="dxa"/>
            <w:noWrap w:val="0"/>
            <w:vAlign w:val="top"/>
          </w:tcPr>
          <w:p w14:paraId="0DE0A4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C276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100C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63F24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C6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30201B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5-1</w:t>
            </w:r>
          </w:p>
        </w:tc>
        <w:tc>
          <w:tcPr>
            <w:tcW w:w="4732" w:type="dxa"/>
            <w:noWrap w:val="0"/>
            <w:vAlign w:val="top"/>
          </w:tcPr>
          <w:p w14:paraId="272C042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热熔型涂料路面标线</w:t>
            </w:r>
          </w:p>
        </w:tc>
        <w:tc>
          <w:tcPr>
            <w:tcW w:w="749" w:type="dxa"/>
            <w:noWrap w:val="0"/>
            <w:vAlign w:val="top"/>
          </w:tcPr>
          <w:p w14:paraId="72F77A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17D3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182E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B855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71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32CB1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7EC4F8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5109E1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0FCDD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D8FA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9AAA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A6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C144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605-2</w:t>
            </w:r>
          </w:p>
        </w:tc>
        <w:tc>
          <w:tcPr>
            <w:tcW w:w="4732" w:type="dxa"/>
            <w:noWrap w:val="0"/>
            <w:vAlign w:val="center"/>
          </w:tcPr>
          <w:p w14:paraId="0083E93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溶剂型涂料路面标线</w:t>
            </w:r>
          </w:p>
        </w:tc>
        <w:tc>
          <w:tcPr>
            <w:tcW w:w="749" w:type="dxa"/>
            <w:noWrap w:val="0"/>
            <w:vAlign w:val="top"/>
          </w:tcPr>
          <w:p w14:paraId="338B6F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0AA7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4163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E441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D5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5D50D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6BAD6B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642C01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21475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C77B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AC48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B2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318C2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605-3</w:t>
            </w:r>
          </w:p>
        </w:tc>
        <w:tc>
          <w:tcPr>
            <w:tcW w:w="4732" w:type="dxa"/>
            <w:noWrap w:val="0"/>
            <w:vAlign w:val="center"/>
          </w:tcPr>
          <w:p w14:paraId="4587F4B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预成型标线带</w:t>
            </w:r>
          </w:p>
        </w:tc>
        <w:tc>
          <w:tcPr>
            <w:tcW w:w="749" w:type="dxa"/>
            <w:noWrap w:val="0"/>
            <w:vAlign w:val="top"/>
          </w:tcPr>
          <w:p w14:paraId="6A0108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4346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D696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FE65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79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3E2EA2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26C9D2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272C28D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2024D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B11D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264C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BF9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CA337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5-4</w:t>
            </w:r>
          </w:p>
        </w:tc>
        <w:tc>
          <w:tcPr>
            <w:tcW w:w="4732" w:type="dxa"/>
            <w:noWrap w:val="0"/>
            <w:vAlign w:val="top"/>
          </w:tcPr>
          <w:p w14:paraId="4992514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突起路标</w:t>
            </w:r>
          </w:p>
        </w:tc>
        <w:tc>
          <w:tcPr>
            <w:tcW w:w="749" w:type="dxa"/>
            <w:noWrap w:val="0"/>
            <w:vAlign w:val="top"/>
          </w:tcPr>
          <w:p w14:paraId="6957B38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4F0F6E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FE4B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C892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67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9FA0F9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5-5</w:t>
            </w:r>
          </w:p>
        </w:tc>
        <w:tc>
          <w:tcPr>
            <w:tcW w:w="4732" w:type="dxa"/>
            <w:noWrap w:val="0"/>
            <w:vAlign w:val="top"/>
          </w:tcPr>
          <w:p w14:paraId="0058E5B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轮廓标</w:t>
            </w:r>
          </w:p>
        </w:tc>
        <w:tc>
          <w:tcPr>
            <w:tcW w:w="749" w:type="dxa"/>
            <w:noWrap w:val="0"/>
            <w:vAlign w:val="top"/>
          </w:tcPr>
          <w:p w14:paraId="6EFBCA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981D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C02F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7EC1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3D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64" w:type="dxa"/>
            <w:tcBorders>
              <w:left w:val="single" w:color="auto" w:sz="12" w:space="0"/>
            </w:tcBorders>
            <w:noWrap w:val="0"/>
            <w:vAlign w:val="top"/>
          </w:tcPr>
          <w:p w14:paraId="4B589EA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F80802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柱式轮廓标</w:t>
            </w:r>
          </w:p>
        </w:tc>
        <w:tc>
          <w:tcPr>
            <w:tcW w:w="749" w:type="dxa"/>
            <w:noWrap w:val="0"/>
            <w:vAlign w:val="top"/>
          </w:tcPr>
          <w:p w14:paraId="463074A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29D594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3D5F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F3D6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52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B98893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0F8C37B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附着式轮廓标</w:t>
            </w:r>
          </w:p>
        </w:tc>
        <w:tc>
          <w:tcPr>
            <w:tcW w:w="749" w:type="dxa"/>
            <w:noWrap w:val="0"/>
            <w:vAlign w:val="top"/>
          </w:tcPr>
          <w:p w14:paraId="54B865D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22BB9A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2AC1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55D6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83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7C8F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605-6</w:t>
            </w:r>
          </w:p>
        </w:tc>
        <w:tc>
          <w:tcPr>
            <w:tcW w:w="4732" w:type="dxa"/>
            <w:noWrap w:val="0"/>
            <w:vAlign w:val="center"/>
          </w:tcPr>
          <w:p w14:paraId="7D9281E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立面标记</w:t>
            </w:r>
          </w:p>
        </w:tc>
        <w:tc>
          <w:tcPr>
            <w:tcW w:w="749" w:type="dxa"/>
            <w:noWrap w:val="0"/>
            <w:vAlign w:val="center"/>
          </w:tcPr>
          <w:p w14:paraId="00EE12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3C54D9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8AD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174D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9A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E386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605-7</w:t>
            </w:r>
          </w:p>
        </w:tc>
        <w:tc>
          <w:tcPr>
            <w:tcW w:w="4732" w:type="dxa"/>
            <w:noWrap w:val="0"/>
            <w:vAlign w:val="center"/>
          </w:tcPr>
          <w:p w14:paraId="4EE71F1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锥形路标</w:t>
            </w:r>
          </w:p>
        </w:tc>
        <w:tc>
          <w:tcPr>
            <w:tcW w:w="749" w:type="dxa"/>
            <w:noWrap w:val="0"/>
            <w:vAlign w:val="center"/>
          </w:tcPr>
          <w:p w14:paraId="7F773F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9679F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7379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F2C4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C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22C3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605-8</w:t>
            </w:r>
          </w:p>
        </w:tc>
        <w:tc>
          <w:tcPr>
            <w:tcW w:w="4732" w:type="dxa"/>
            <w:noWrap w:val="0"/>
            <w:vAlign w:val="center"/>
          </w:tcPr>
          <w:p w14:paraId="4AF8EE5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减速带</w:t>
            </w:r>
          </w:p>
        </w:tc>
        <w:tc>
          <w:tcPr>
            <w:tcW w:w="749" w:type="dxa"/>
            <w:noWrap w:val="0"/>
            <w:vAlign w:val="center"/>
          </w:tcPr>
          <w:p w14:paraId="334D3D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32450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46E0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5865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C09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D57A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605-9</w:t>
            </w:r>
          </w:p>
        </w:tc>
        <w:tc>
          <w:tcPr>
            <w:tcW w:w="4732" w:type="dxa"/>
            <w:noWrap w:val="0"/>
            <w:vAlign w:val="center"/>
          </w:tcPr>
          <w:p w14:paraId="2F842CB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铲除原有路面标线</w:t>
            </w:r>
          </w:p>
        </w:tc>
        <w:tc>
          <w:tcPr>
            <w:tcW w:w="749" w:type="dxa"/>
            <w:noWrap w:val="0"/>
            <w:vAlign w:val="center"/>
          </w:tcPr>
          <w:p w14:paraId="3F39BC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DF60C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EB69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77BC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B5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902AF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w:t>
            </w:r>
          </w:p>
        </w:tc>
        <w:tc>
          <w:tcPr>
            <w:tcW w:w="4732" w:type="dxa"/>
            <w:noWrap w:val="0"/>
            <w:vAlign w:val="center"/>
          </w:tcPr>
          <w:p w14:paraId="5A09574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防眩设施</w:t>
            </w:r>
          </w:p>
        </w:tc>
        <w:tc>
          <w:tcPr>
            <w:tcW w:w="749" w:type="dxa"/>
            <w:noWrap w:val="0"/>
            <w:vAlign w:val="center"/>
          </w:tcPr>
          <w:p w14:paraId="58B3D2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DE779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36D7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279C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1F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A98D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606-1</w:t>
            </w:r>
          </w:p>
        </w:tc>
        <w:tc>
          <w:tcPr>
            <w:tcW w:w="4732" w:type="dxa"/>
            <w:noWrap w:val="0"/>
            <w:vAlign w:val="center"/>
          </w:tcPr>
          <w:p w14:paraId="3C37E13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防眩板</w:t>
            </w:r>
          </w:p>
        </w:tc>
        <w:tc>
          <w:tcPr>
            <w:tcW w:w="749" w:type="dxa"/>
            <w:noWrap w:val="0"/>
            <w:vAlign w:val="center"/>
          </w:tcPr>
          <w:p w14:paraId="3D443A3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块</w:t>
            </w:r>
          </w:p>
        </w:tc>
        <w:tc>
          <w:tcPr>
            <w:tcW w:w="837" w:type="dxa"/>
            <w:noWrap w:val="0"/>
            <w:vAlign w:val="center"/>
          </w:tcPr>
          <w:p w14:paraId="763502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8924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551D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A5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5818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606-2</w:t>
            </w:r>
          </w:p>
        </w:tc>
        <w:tc>
          <w:tcPr>
            <w:tcW w:w="4732" w:type="dxa"/>
            <w:noWrap w:val="0"/>
            <w:vAlign w:val="center"/>
          </w:tcPr>
          <w:p w14:paraId="57FF8D5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防眩网</w:t>
            </w:r>
          </w:p>
        </w:tc>
        <w:tc>
          <w:tcPr>
            <w:tcW w:w="749" w:type="dxa"/>
            <w:noWrap w:val="0"/>
            <w:vAlign w:val="center"/>
          </w:tcPr>
          <w:p w14:paraId="286D69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E86D4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64BD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4598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CB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4A58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607</w:t>
            </w:r>
          </w:p>
        </w:tc>
        <w:tc>
          <w:tcPr>
            <w:tcW w:w="4732" w:type="dxa"/>
            <w:noWrap w:val="0"/>
            <w:vAlign w:val="center"/>
          </w:tcPr>
          <w:p w14:paraId="535AF48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通信和电力管道与预埋（预留）基础</w:t>
            </w:r>
          </w:p>
        </w:tc>
        <w:tc>
          <w:tcPr>
            <w:tcW w:w="749" w:type="dxa"/>
            <w:noWrap w:val="0"/>
            <w:vAlign w:val="top"/>
          </w:tcPr>
          <w:p w14:paraId="1A4C04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BFBC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AECC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3106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28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83E78D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7-1</w:t>
            </w:r>
          </w:p>
        </w:tc>
        <w:tc>
          <w:tcPr>
            <w:tcW w:w="4732" w:type="dxa"/>
            <w:noWrap w:val="0"/>
            <w:vAlign w:val="top"/>
          </w:tcPr>
          <w:p w14:paraId="6C00EDB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人（手）孔</w:t>
            </w:r>
          </w:p>
        </w:tc>
        <w:tc>
          <w:tcPr>
            <w:tcW w:w="749" w:type="dxa"/>
            <w:noWrap w:val="0"/>
            <w:vAlign w:val="top"/>
          </w:tcPr>
          <w:p w14:paraId="1CC2E5D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12D971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DCB3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5019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EF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99CBB2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7-2</w:t>
            </w:r>
          </w:p>
        </w:tc>
        <w:tc>
          <w:tcPr>
            <w:tcW w:w="4732" w:type="dxa"/>
            <w:noWrap w:val="0"/>
            <w:vAlign w:val="top"/>
          </w:tcPr>
          <w:p w14:paraId="7006EAB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紧急电话平台</w:t>
            </w:r>
          </w:p>
        </w:tc>
        <w:tc>
          <w:tcPr>
            <w:tcW w:w="749" w:type="dxa"/>
            <w:noWrap w:val="0"/>
            <w:vAlign w:val="top"/>
          </w:tcPr>
          <w:p w14:paraId="54CF361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6FFCF4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968E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6409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F0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F35305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7-3</w:t>
            </w:r>
          </w:p>
        </w:tc>
        <w:tc>
          <w:tcPr>
            <w:tcW w:w="4732" w:type="dxa"/>
            <w:noWrap w:val="0"/>
            <w:vAlign w:val="top"/>
          </w:tcPr>
          <w:p w14:paraId="1786CB3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管道工程</w:t>
            </w:r>
          </w:p>
        </w:tc>
        <w:tc>
          <w:tcPr>
            <w:tcW w:w="749" w:type="dxa"/>
            <w:noWrap w:val="0"/>
            <w:vAlign w:val="top"/>
          </w:tcPr>
          <w:p w14:paraId="3B5A26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1192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0327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10A63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01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DB9AD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w:t>
            </w:r>
          </w:p>
        </w:tc>
        <w:tc>
          <w:tcPr>
            <w:tcW w:w="4732" w:type="dxa"/>
            <w:noWrap w:val="0"/>
            <w:vAlign w:val="center"/>
          </w:tcPr>
          <w:p w14:paraId="2C1D997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收费设施及地下管道</w:t>
            </w:r>
          </w:p>
        </w:tc>
        <w:tc>
          <w:tcPr>
            <w:tcW w:w="749" w:type="dxa"/>
            <w:noWrap w:val="0"/>
            <w:vAlign w:val="top"/>
          </w:tcPr>
          <w:p w14:paraId="3165BB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5445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1779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15AAC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9D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A9997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608-1</w:t>
            </w:r>
          </w:p>
        </w:tc>
        <w:tc>
          <w:tcPr>
            <w:tcW w:w="4732" w:type="dxa"/>
            <w:noWrap w:val="0"/>
            <w:vAlign w:val="top"/>
          </w:tcPr>
          <w:p w14:paraId="2C088FA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收费亭</w:t>
            </w:r>
          </w:p>
        </w:tc>
        <w:tc>
          <w:tcPr>
            <w:tcW w:w="749" w:type="dxa"/>
            <w:noWrap w:val="0"/>
            <w:vAlign w:val="top"/>
          </w:tcPr>
          <w:p w14:paraId="399BCF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63A7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A499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2FDB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7A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E35AAA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0A7AA2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单人收费亭</w:t>
            </w:r>
          </w:p>
        </w:tc>
        <w:tc>
          <w:tcPr>
            <w:tcW w:w="749" w:type="dxa"/>
            <w:noWrap w:val="0"/>
            <w:vAlign w:val="top"/>
          </w:tcPr>
          <w:p w14:paraId="6351E23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8D029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A18E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A1E1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24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3A9EA2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E91493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双人收费亭</w:t>
            </w:r>
          </w:p>
        </w:tc>
        <w:tc>
          <w:tcPr>
            <w:tcW w:w="749" w:type="dxa"/>
            <w:noWrap w:val="0"/>
            <w:vAlign w:val="top"/>
          </w:tcPr>
          <w:p w14:paraId="5000F08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81085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A9AD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48B4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94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43C79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608-2</w:t>
            </w:r>
          </w:p>
        </w:tc>
        <w:tc>
          <w:tcPr>
            <w:tcW w:w="4732" w:type="dxa"/>
            <w:noWrap w:val="0"/>
            <w:vAlign w:val="top"/>
          </w:tcPr>
          <w:p w14:paraId="0B50073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收费天棚</w:t>
            </w:r>
          </w:p>
        </w:tc>
        <w:tc>
          <w:tcPr>
            <w:tcW w:w="749" w:type="dxa"/>
            <w:noWrap w:val="0"/>
            <w:vAlign w:val="top"/>
          </w:tcPr>
          <w:p w14:paraId="0217834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9EB57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1816C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AF991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6D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C9637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608-3</w:t>
            </w:r>
          </w:p>
        </w:tc>
        <w:tc>
          <w:tcPr>
            <w:tcW w:w="4732" w:type="dxa"/>
            <w:noWrap w:val="0"/>
            <w:vAlign w:val="top"/>
          </w:tcPr>
          <w:p w14:paraId="2309BF9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收费岛</w:t>
            </w:r>
          </w:p>
        </w:tc>
        <w:tc>
          <w:tcPr>
            <w:tcW w:w="749" w:type="dxa"/>
            <w:noWrap w:val="0"/>
            <w:vAlign w:val="top"/>
          </w:tcPr>
          <w:p w14:paraId="782FFD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EE84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440F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8EDEF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A0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7A8F8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C63A4C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单向收费岛</w:t>
            </w:r>
          </w:p>
        </w:tc>
        <w:tc>
          <w:tcPr>
            <w:tcW w:w="749" w:type="dxa"/>
            <w:noWrap w:val="0"/>
            <w:vAlign w:val="top"/>
          </w:tcPr>
          <w:p w14:paraId="49A27E4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140A16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FA6A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06047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8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34787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26B4E0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双向收费岛</w:t>
            </w:r>
          </w:p>
        </w:tc>
        <w:tc>
          <w:tcPr>
            <w:tcW w:w="749" w:type="dxa"/>
            <w:noWrap w:val="0"/>
            <w:vAlign w:val="top"/>
          </w:tcPr>
          <w:p w14:paraId="5EDCDB4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4425CE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C4FB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BCCE6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29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1E219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608-4</w:t>
            </w:r>
          </w:p>
        </w:tc>
        <w:tc>
          <w:tcPr>
            <w:tcW w:w="4732" w:type="dxa"/>
            <w:noWrap w:val="0"/>
            <w:vAlign w:val="top"/>
          </w:tcPr>
          <w:p w14:paraId="672FDB5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地下通道</w:t>
            </w:r>
          </w:p>
        </w:tc>
        <w:tc>
          <w:tcPr>
            <w:tcW w:w="749" w:type="dxa"/>
            <w:noWrap w:val="0"/>
            <w:vAlign w:val="top"/>
          </w:tcPr>
          <w:p w14:paraId="4E75977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F9D5D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F23A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4AF3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D5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2BD90B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608-5</w:t>
            </w:r>
          </w:p>
        </w:tc>
        <w:tc>
          <w:tcPr>
            <w:tcW w:w="4732" w:type="dxa"/>
            <w:noWrap w:val="0"/>
            <w:vAlign w:val="top"/>
          </w:tcPr>
          <w:p w14:paraId="5F7557B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预埋管线</w:t>
            </w:r>
          </w:p>
        </w:tc>
        <w:tc>
          <w:tcPr>
            <w:tcW w:w="749" w:type="dxa"/>
            <w:noWrap w:val="0"/>
            <w:vAlign w:val="top"/>
          </w:tcPr>
          <w:p w14:paraId="60BF5A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DB4F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6CC2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71AC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EC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602A76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21C092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42AD3FE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7491FE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C65F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5E3CB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0C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A786A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27FFCF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3A83FE5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21F79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D256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85D4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F1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911CE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608-6</w:t>
            </w:r>
          </w:p>
        </w:tc>
        <w:tc>
          <w:tcPr>
            <w:tcW w:w="4732" w:type="dxa"/>
            <w:noWrap w:val="0"/>
            <w:vAlign w:val="top"/>
          </w:tcPr>
          <w:p w14:paraId="280AA6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架设管线</w:t>
            </w:r>
          </w:p>
        </w:tc>
        <w:tc>
          <w:tcPr>
            <w:tcW w:w="749" w:type="dxa"/>
            <w:noWrap w:val="0"/>
            <w:vAlign w:val="top"/>
          </w:tcPr>
          <w:p w14:paraId="1AB3C9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5CAB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6F54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22BD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03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C4B1A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384E3F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4E8AFCA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14018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3E83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6A15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F1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D46F4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F390E0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2BB4F7F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54A216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A6B0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1C8C8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B4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027C5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2F6650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2C0ED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898C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77E2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F9FC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EF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6D26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9902531">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CAAB7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C9DD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F32A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61F05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73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7B02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2283C01">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BFCFE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93C6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E315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1E694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CD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F632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39A910E2">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92DF5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B71B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4E0B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625C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15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3662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B6C5A24">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1EC2F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696D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688F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04AF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EE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0A66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F57C78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BBDB0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9CE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5B02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290F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D7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BD39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199F64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65E7F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B7CB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ABE0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BAEB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D3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B9510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FB5B4EE">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7D56F3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30D8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7C24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4668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2B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FC3F9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0B9EEA2">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7E453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5D47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03C6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0FB84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D7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8926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AC676B0">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AFAA3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ACDC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30FB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438A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72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6992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F9D5F6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769DB3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A549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C40C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0791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26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CD3E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23863BD">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A7630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3B8D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105B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3D8B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6A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6CC0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927C6F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82FB0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4B68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4BE5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7F84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A6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37C60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33FDFE11">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89091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B707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E8DA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F26F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66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EDE2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9B360BE">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80374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0C57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5344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A3F3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03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932E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508DD76">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028D6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A0BA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A5B8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EEB9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CB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B053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459708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6C997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F143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7E38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960B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3D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E8BD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8A54292">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A8010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611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B33F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E8DBF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D9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4CA8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3BA3924">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A5D2A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5EBF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9517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754F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58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77F26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F0BD231">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D25BC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9557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5CE3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1444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18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C562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F803483">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EC3F0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9D13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5DD7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01AE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3E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065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9FB36C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02E745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C209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8326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EE43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33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291D41BA">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清单第600章合计  人民币</w:t>
            </w:r>
            <w:r>
              <w:rPr>
                <w:rFonts w:hint="default" w:ascii="Times New Roman" w:hAnsi="Times New Roman" w:cs="Times New Roman"/>
                <w:color w:val="auto"/>
                <w:szCs w:val="21"/>
                <w:highlight w:val="none"/>
                <w:u w:val="single"/>
              </w:rPr>
              <w:t xml:space="preserve">                    </w:t>
            </w:r>
          </w:p>
        </w:tc>
      </w:tr>
    </w:tbl>
    <w:p w14:paraId="1F25B896">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5F580CE6">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4E2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EB3BFA3">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第700章   绿化及环境保护设施</w:t>
            </w:r>
          </w:p>
        </w:tc>
      </w:tr>
      <w:tr w14:paraId="68B0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002765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5A674B1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1B26BAD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53A60E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20214C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50BCDDC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CBC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A0BBC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702</w:t>
            </w:r>
          </w:p>
        </w:tc>
        <w:tc>
          <w:tcPr>
            <w:tcW w:w="4732" w:type="dxa"/>
            <w:noWrap w:val="0"/>
            <w:vAlign w:val="center"/>
          </w:tcPr>
          <w:p w14:paraId="7D2BDE6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铺设表土</w:t>
            </w:r>
          </w:p>
        </w:tc>
        <w:tc>
          <w:tcPr>
            <w:tcW w:w="749" w:type="dxa"/>
            <w:noWrap w:val="0"/>
            <w:vAlign w:val="top"/>
          </w:tcPr>
          <w:p w14:paraId="6D02947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F20091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A6505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3DBED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F7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70169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702-1</w:t>
            </w:r>
          </w:p>
        </w:tc>
        <w:tc>
          <w:tcPr>
            <w:tcW w:w="4732" w:type="dxa"/>
            <w:noWrap w:val="0"/>
            <w:vAlign w:val="top"/>
          </w:tcPr>
          <w:p w14:paraId="620229AE">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开挖并铺设表土</w:t>
            </w:r>
          </w:p>
        </w:tc>
        <w:tc>
          <w:tcPr>
            <w:tcW w:w="749" w:type="dxa"/>
            <w:noWrap w:val="0"/>
            <w:vAlign w:val="top"/>
          </w:tcPr>
          <w:p w14:paraId="6D6D591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612C50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8D0A8A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E1F4A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140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07BDF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702-2</w:t>
            </w:r>
          </w:p>
        </w:tc>
        <w:tc>
          <w:tcPr>
            <w:tcW w:w="4732" w:type="dxa"/>
            <w:noWrap w:val="0"/>
            <w:vAlign w:val="top"/>
          </w:tcPr>
          <w:p w14:paraId="71E223CD">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铺设利用的表土</w:t>
            </w:r>
          </w:p>
        </w:tc>
        <w:tc>
          <w:tcPr>
            <w:tcW w:w="749" w:type="dxa"/>
            <w:noWrap w:val="0"/>
            <w:vAlign w:val="top"/>
          </w:tcPr>
          <w:p w14:paraId="5F2ECA8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5FE044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F7D6AB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9D0EA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0C9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5D934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w:t>
            </w:r>
          </w:p>
        </w:tc>
        <w:tc>
          <w:tcPr>
            <w:tcW w:w="4732" w:type="dxa"/>
            <w:noWrap w:val="0"/>
            <w:vAlign w:val="center"/>
          </w:tcPr>
          <w:p w14:paraId="731DE96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撒播草种和铺植草皮</w:t>
            </w:r>
          </w:p>
        </w:tc>
        <w:tc>
          <w:tcPr>
            <w:tcW w:w="749" w:type="dxa"/>
            <w:noWrap w:val="0"/>
            <w:vAlign w:val="top"/>
          </w:tcPr>
          <w:p w14:paraId="41849D3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31E873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F9D6C0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13E16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612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468FB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703-1</w:t>
            </w:r>
          </w:p>
        </w:tc>
        <w:tc>
          <w:tcPr>
            <w:tcW w:w="4732" w:type="dxa"/>
            <w:noWrap w:val="0"/>
            <w:vAlign w:val="top"/>
          </w:tcPr>
          <w:p w14:paraId="1250182F">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撒播草种</w:t>
            </w:r>
            <w:r>
              <w:rPr>
                <w:rFonts w:hint="default" w:ascii="Times New Roman" w:hAnsi="Times New Roman" w:cs="Times New Roman"/>
                <w:color w:val="auto"/>
                <w:kern w:val="0"/>
                <w:szCs w:val="21"/>
                <w:highlight w:val="none"/>
              </w:rPr>
              <w:t>（含喷播）</w:t>
            </w:r>
          </w:p>
        </w:tc>
        <w:tc>
          <w:tcPr>
            <w:tcW w:w="749" w:type="dxa"/>
            <w:noWrap w:val="0"/>
            <w:vAlign w:val="top"/>
          </w:tcPr>
          <w:p w14:paraId="5D992A6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0DB33A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2D44F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01957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6F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000F1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703-2</w:t>
            </w:r>
          </w:p>
        </w:tc>
        <w:tc>
          <w:tcPr>
            <w:tcW w:w="4732" w:type="dxa"/>
            <w:noWrap w:val="0"/>
            <w:vAlign w:val="center"/>
          </w:tcPr>
          <w:p w14:paraId="4D99ECA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撒播草种及花卉、灌木籽（含喷播）</w:t>
            </w:r>
          </w:p>
        </w:tc>
        <w:tc>
          <w:tcPr>
            <w:tcW w:w="749" w:type="dxa"/>
            <w:noWrap w:val="0"/>
            <w:vAlign w:val="center"/>
          </w:tcPr>
          <w:p w14:paraId="3E83678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DEE49C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3D06B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5E067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40B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39B44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703-3</w:t>
            </w:r>
          </w:p>
        </w:tc>
        <w:tc>
          <w:tcPr>
            <w:tcW w:w="4732" w:type="dxa"/>
            <w:noWrap w:val="0"/>
            <w:vAlign w:val="center"/>
          </w:tcPr>
          <w:p w14:paraId="1A228BD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先点播灌木后喷播草种</w:t>
            </w:r>
          </w:p>
        </w:tc>
        <w:tc>
          <w:tcPr>
            <w:tcW w:w="749" w:type="dxa"/>
            <w:noWrap w:val="0"/>
            <w:vAlign w:val="center"/>
          </w:tcPr>
          <w:p w14:paraId="0B87A4F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C6DDC9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F050AF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C73AB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B2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038FBB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703-4</w:t>
            </w:r>
          </w:p>
        </w:tc>
        <w:tc>
          <w:tcPr>
            <w:tcW w:w="4732" w:type="dxa"/>
            <w:noWrap w:val="0"/>
            <w:vAlign w:val="top"/>
          </w:tcPr>
          <w:p w14:paraId="507D0A7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铺植草皮</w:t>
            </w:r>
          </w:p>
        </w:tc>
        <w:tc>
          <w:tcPr>
            <w:tcW w:w="749" w:type="dxa"/>
            <w:noWrap w:val="0"/>
            <w:vAlign w:val="top"/>
          </w:tcPr>
          <w:p w14:paraId="5403695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8905B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893D8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E833F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4D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9EF5A9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D4EE72F">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马尼拉草皮</w:t>
            </w:r>
          </w:p>
        </w:tc>
        <w:tc>
          <w:tcPr>
            <w:tcW w:w="749" w:type="dxa"/>
            <w:noWrap w:val="0"/>
            <w:vAlign w:val="top"/>
          </w:tcPr>
          <w:p w14:paraId="49AC43C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19D5C0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6C3619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B8304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6E1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941E5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C42DF6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美国二号草皮</w:t>
            </w:r>
          </w:p>
        </w:tc>
        <w:tc>
          <w:tcPr>
            <w:tcW w:w="749" w:type="dxa"/>
            <w:noWrap w:val="0"/>
            <w:vAlign w:val="top"/>
          </w:tcPr>
          <w:p w14:paraId="7355D71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77FF16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14441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D3748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9F9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C4A20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2BB52F0C">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1BFCC38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E04F88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A193C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2BA19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3B6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1A318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703-5</w:t>
            </w:r>
          </w:p>
        </w:tc>
        <w:tc>
          <w:tcPr>
            <w:tcW w:w="4732" w:type="dxa"/>
            <w:noWrap w:val="0"/>
            <w:vAlign w:val="center"/>
          </w:tcPr>
          <w:p w14:paraId="46432B3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三维土工网植草</w:t>
            </w:r>
          </w:p>
        </w:tc>
        <w:tc>
          <w:tcPr>
            <w:tcW w:w="749" w:type="dxa"/>
            <w:noWrap w:val="0"/>
            <w:vAlign w:val="center"/>
          </w:tcPr>
          <w:p w14:paraId="356BF86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C41A4E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064032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CB335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70D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DAD3E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703-6</w:t>
            </w:r>
          </w:p>
        </w:tc>
        <w:tc>
          <w:tcPr>
            <w:tcW w:w="4732" w:type="dxa"/>
            <w:noWrap w:val="0"/>
            <w:vAlign w:val="center"/>
          </w:tcPr>
          <w:p w14:paraId="6F5EE8A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客土喷播</w:t>
            </w:r>
          </w:p>
        </w:tc>
        <w:tc>
          <w:tcPr>
            <w:tcW w:w="749" w:type="dxa"/>
            <w:noWrap w:val="0"/>
            <w:vAlign w:val="center"/>
          </w:tcPr>
          <w:p w14:paraId="2EAE4E1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9F3898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2405D9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89A97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938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E66A2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703-7</w:t>
            </w:r>
          </w:p>
        </w:tc>
        <w:tc>
          <w:tcPr>
            <w:tcW w:w="4732" w:type="dxa"/>
            <w:noWrap w:val="0"/>
            <w:vAlign w:val="center"/>
          </w:tcPr>
          <w:p w14:paraId="5278EE3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植生袋</w:t>
            </w:r>
          </w:p>
        </w:tc>
        <w:tc>
          <w:tcPr>
            <w:tcW w:w="749" w:type="dxa"/>
            <w:noWrap w:val="0"/>
            <w:vAlign w:val="center"/>
          </w:tcPr>
          <w:p w14:paraId="6EC6A1F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35F3DD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1108A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0F94C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62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3D64F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703-8</w:t>
            </w:r>
          </w:p>
        </w:tc>
        <w:tc>
          <w:tcPr>
            <w:tcW w:w="4732" w:type="dxa"/>
            <w:noWrap w:val="0"/>
            <w:vAlign w:val="center"/>
          </w:tcPr>
          <w:p w14:paraId="62B12F5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绿地喷灌管道</w:t>
            </w:r>
          </w:p>
        </w:tc>
        <w:tc>
          <w:tcPr>
            <w:tcW w:w="749" w:type="dxa"/>
            <w:noWrap w:val="0"/>
            <w:vAlign w:val="center"/>
          </w:tcPr>
          <w:p w14:paraId="7C5046E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567B1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2D20C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594C0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2A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76948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w:t>
            </w:r>
          </w:p>
        </w:tc>
        <w:tc>
          <w:tcPr>
            <w:tcW w:w="4732" w:type="dxa"/>
            <w:noWrap w:val="0"/>
            <w:vAlign w:val="center"/>
          </w:tcPr>
          <w:p w14:paraId="66C5B79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种植乔木、灌木和攀缘植物</w:t>
            </w:r>
          </w:p>
        </w:tc>
        <w:tc>
          <w:tcPr>
            <w:tcW w:w="749" w:type="dxa"/>
            <w:noWrap w:val="0"/>
            <w:vAlign w:val="top"/>
          </w:tcPr>
          <w:p w14:paraId="0F32EF0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FD7E87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ACE909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7ADB2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B9D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41185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704-1</w:t>
            </w:r>
          </w:p>
        </w:tc>
        <w:tc>
          <w:tcPr>
            <w:tcW w:w="4732" w:type="dxa"/>
            <w:noWrap w:val="0"/>
            <w:vAlign w:val="top"/>
          </w:tcPr>
          <w:p w14:paraId="221C4ABC">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人工种植乔木</w:t>
            </w:r>
          </w:p>
        </w:tc>
        <w:tc>
          <w:tcPr>
            <w:tcW w:w="749" w:type="dxa"/>
            <w:noWrap w:val="0"/>
            <w:vAlign w:val="top"/>
          </w:tcPr>
          <w:p w14:paraId="38802A6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E019E0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AC64E4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F6973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EF4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A787E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612AA7D">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香樟</w:t>
            </w:r>
          </w:p>
        </w:tc>
        <w:tc>
          <w:tcPr>
            <w:tcW w:w="749" w:type="dxa"/>
            <w:noWrap w:val="0"/>
            <w:vAlign w:val="top"/>
          </w:tcPr>
          <w:p w14:paraId="40B9555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7F04583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6F4DA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277A1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61E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B9753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19A9BC0">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大叶樟</w:t>
            </w:r>
          </w:p>
        </w:tc>
        <w:tc>
          <w:tcPr>
            <w:tcW w:w="749" w:type="dxa"/>
            <w:noWrap w:val="0"/>
            <w:vAlign w:val="top"/>
          </w:tcPr>
          <w:p w14:paraId="54DE25A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780DEE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C0767F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BFFEC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48A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26102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3EB0BB0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杜英</w:t>
            </w:r>
          </w:p>
        </w:tc>
        <w:tc>
          <w:tcPr>
            <w:tcW w:w="749" w:type="dxa"/>
            <w:noWrap w:val="0"/>
            <w:vAlign w:val="top"/>
          </w:tcPr>
          <w:p w14:paraId="0DFC9A9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5E14FD3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4DDEF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737D6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7C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09943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4A9536D0">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5C57683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2FB5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C1AE84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DB618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AD4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A3511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704-2</w:t>
            </w:r>
          </w:p>
        </w:tc>
        <w:tc>
          <w:tcPr>
            <w:tcW w:w="4732" w:type="dxa"/>
            <w:noWrap w:val="0"/>
            <w:vAlign w:val="top"/>
          </w:tcPr>
          <w:p w14:paraId="5084260D">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人工种植灌木</w:t>
            </w:r>
          </w:p>
        </w:tc>
        <w:tc>
          <w:tcPr>
            <w:tcW w:w="749" w:type="dxa"/>
            <w:noWrap w:val="0"/>
            <w:vAlign w:val="top"/>
          </w:tcPr>
          <w:p w14:paraId="34EA5F2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5C566E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1ACA3E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EC9A9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831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CE926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D0FEAE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夹竹桃</w:t>
            </w:r>
          </w:p>
        </w:tc>
        <w:tc>
          <w:tcPr>
            <w:tcW w:w="749" w:type="dxa"/>
            <w:noWrap w:val="0"/>
            <w:vAlign w:val="top"/>
          </w:tcPr>
          <w:p w14:paraId="12E2202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B8A4A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210D5E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785CA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1F9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FE8545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F78E328">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木芙蓉</w:t>
            </w:r>
          </w:p>
        </w:tc>
        <w:tc>
          <w:tcPr>
            <w:tcW w:w="749" w:type="dxa"/>
            <w:noWrap w:val="0"/>
            <w:vAlign w:val="top"/>
          </w:tcPr>
          <w:p w14:paraId="2D4BB62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62B193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0F765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00AA3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5F4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95DB1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0C7FD9D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春杜鹃</w:t>
            </w:r>
          </w:p>
        </w:tc>
        <w:tc>
          <w:tcPr>
            <w:tcW w:w="749" w:type="dxa"/>
            <w:noWrap w:val="0"/>
            <w:vAlign w:val="top"/>
          </w:tcPr>
          <w:p w14:paraId="2332D1A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E99216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205AFE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DF9F0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550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BEA8087">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77D5B5E5">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7573E23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C0A01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33CC1B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BDA5F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55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C047E4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704-3</w:t>
            </w:r>
          </w:p>
        </w:tc>
        <w:tc>
          <w:tcPr>
            <w:tcW w:w="4732" w:type="dxa"/>
            <w:noWrap w:val="0"/>
            <w:vAlign w:val="top"/>
          </w:tcPr>
          <w:p w14:paraId="22A2C908">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人工种植攀缘植物</w:t>
            </w:r>
          </w:p>
        </w:tc>
        <w:tc>
          <w:tcPr>
            <w:tcW w:w="749" w:type="dxa"/>
            <w:noWrap w:val="0"/>
            <w:vAlign w:val="top"/>
          </w:tcPr>
          <w:p w14:paraId="0CEC312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593FE4C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16F79B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3B5F1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48D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5B130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704-4</w:t>
            </w:r>
          </w:p>
        </w:tc>
        <w:tc>
          <w:tcPr>
            <w:tcW w:w="4732" w:type="dxa"/>
            <w:noWrap w:val="0"/>
            <w:vAlign w:val="center"/>
          </w:tcPr>
          <w:p w14:paraId="27E7A3A6">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人工种植竹类</w:t>
            </w:r>
          </w:p>
        </w:tc>
        <w:tc>
          <w:tcPr>
            <w:tcW w:w="749" w:type="dxa"/>
            <w:noWrap w:val="0"/>
            <w:vAlign w:val="center"/>
          </w:tcPr>
          <w:p w14:paraId="141B6DB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棵</w:t>
            </w:r>
          </w:p>
        </w:tc>
        <w:tc>
          <w:tcPr>
            <w:tcW w:w="837" w:type="dxa"/>
            <w:noWrap w:val="0"/>
            <w:vAlign w:val="center"/>
          </w:tcPr>
          <w:p w14:paraId="4D5A90C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0D3EE1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5390C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48A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C3A46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w:t>
            </w:r>
          </w:p>
        </w:tc>
        <w:tc>
          <w:tcPr>
            <w:tcW w:w="4732" w:type="dxa"/>
            <w:noWrap w:val="0"/>
            <w:vAlign w:val="center"/>
          </w:tcPr>
          <w:p w14:paraId="2D170EC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声屏障</w:t>
            </w:r>
          </w:p>
        </w:tc>
        <w:tc>
          <w:tcPr>
            <w:tcW w:w="749" w:type="dxa"/>
            <w:noWrap w:val="0"/>
            <w:vAlign w:val="center"/>
          </w:tcPr>
          <w:p w14:paraId="4B521DF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558168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85B9A2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57E2D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735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82724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706-1</w:t>
            </w:r>
          </w:p>
        </w:tc>
        <w:tc>
          <w:tcPr>
            <w:tcW w:w="4732" w:type="dxa"/>
            <w:noWrap w:val="0"/>
            <w:vAlign w:val="center"/>
          </w:tcPr>
          <w:p w14:paraId="099B39FC">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吸、隔声板声屏障</w:t>
            </w:r>
          </w:p>
        </w:tc>
        <w:tc>
          <w:tcPr>
            <w:tcW w:w="749" w:type="dxa"/>
            <w:noWrap w:val="0"/>
            <w:vAlign w:val="center"/>
          </w:tcPr>
          <w:p w14:paraId="15B816A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0B5F8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E8AF41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A554F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8C9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93D30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706-2</w:t>
            </w:r>
          </w:p>
        </w:tc>
        <w:tc>
          <w:tcPr>
            <w:tcW w:w="4732" w:type="dxa"/>
            <w:noWrap w:val="0"/>
            <w:vAlign w:val="center"/>
          </w:tcPr>
          <w:p w14:paraId="41CFEFA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吸声砖声屏障</w:t>
            </w:r>
          </w:p>
        </w:tc>
        <w:tc>
          <w:tcPr>
            <w:tcW w:w="749" w:type="dxa"/>
            <w:noWrap w:val="0"/>
            <w:vAlign w:val="center"/>
          </w:tcPr>
          <w:p w14:paraId="1115250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709AE9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9D7F38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20AC3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69A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E68DE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706-3</w:t>
            </w:r>
          </w:p>
        </w:tc>
        <w:tc>
          <w:tcPr>
            <w:tcW w:w="4732" w:type="dxa"/>
            <w:noWrap w:val="0"/>
            <w:vAlign w:val="center"/>
          </w:tcPr>
          <w:p w14:paraId="4AFEC233">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砖墙声屏障</w:t>
            </w:r>
          </w:p>
        </w:tc>
        <w:tc>
          <w:tcPr>
            <w:tcW w:w="749" w:type="dxa"/>
            <w:noWrap w:val="0"/>
            <w:vAlign w:val="center"/>
          </w:tcPr>
          <w:p w14:paraId="0DE4501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114567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59955F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513FE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A88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67ADB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732" w:type="dxa"/>
            <w:noWrap w:val="0"/>
            <w:vAlign w:val="center"/>
          </w:tcPr>
          <w:p w14:paraId="5B753939">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21AAE37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5A0E2A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DD29E1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C9717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F7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6"/>
            <w:tcBorders>
              <w:left w:val="single" w:color="auto" w:sz="12" w:space="0"/>
              <w:right w:val="single" w:color="auto" w:sz="12" w:space="0"/>
            </w:tcBorders>
            <w:noWrap w:val="0"/>
            <w:vAlign w:val="center"/>
          </w:tcPr>
          <w:p w14:paraId="6BDEE928">
            <w:pPr>
              <w:pageBreakBefore w:val="0"/>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清单第700章合计  人民币</w:t>
            </w:r>
            <w:r>
              <w:rPr>
                <w:rFonts w:hint="default" w:ascii="Times New Roman" w:hAnsi="Times New Roman" w:cs="Times New Roman"/>
                <w:color w:val="auto"/>
                <w:szCs w:val="21"/>
                <w:highlight w:val="none"/>
                <w:u w:val="single"/>
              </w:rPr>
              <w:t xml:space="preserve">                    </w:t>
            </w:r>
          </w:p>
        </w:tc>
      </w:tr>
    </w:tbl>
    <w:p w14:paraId="7F7955BA">
      <w:pPr>
        <w:pageBreakBefore w:val="0"/>
        <w:kinsoku/>
        <w:wordWrap w:val="0"/>
        <w:bidi w:val="0"/>
        <w:spacing w:before="0" w:after="480" w:afterLines="200" w:line="380" w:lineRule="atLeast"/>
        <w:ind w:firstLine="1680" w:firstLineChars="300"/>
        <w:jc w:val="center"/>
        <w:outlineLvl w:val="0"/>
        <w:rPr>
          <w:rFonts w:hint="default" w:eastAsia="黑体" w:cs="Times New Roman"/>
          <w:color w:val="auto"/>
          <w:sz w:val="56"/>
          <w:szCs w:val="56"/>
          <w:highlight w:val="none"/>
          <w:lang w:eastAsia="zh-CN"/>
        </w:rPr>
        <w:sectPr>
          <w:headerReference r:id="rId37" w:type="default"/>
          <w:footerReference r:id="rId38"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bookmarkEnd w:id="1827"/>
    <w:p w14:paraId="4BEB173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B95ECC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8560DC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B6275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E88779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376116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3C54C7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7C3A85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64D064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468545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17A56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2F10AC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0E3565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BDCCBC1">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858" w:name="_Toc7411"/>
      <w:bookmarkStart w:id="1859" w:name="_Toc30494"/>
      <w:bookmarkStart w:id="1860" w:name="_Toc234833247"/>
      <w:bookmarkStart w:id="1861" w:name="_Toc2859"/>
      <w:r>
        <w:rPr>
          <w:rFonts w:hint="default" w:ascii="Times New Roman" w:hAnsi="Times New Roman" w:eastAsia="黑体" w:cs="Times New Roman"/>
          <w:color w:val="auto"/>
          <w:sz w:val="76"/>
          <w:szCs w:val="76"/>
          <w:highlight w:val="none"/>
        </w:rPr>
        <w:t>第  二  卷</w:t>
      </w:r>
      <w:bookmarkEnd w:id="1858"/>
      <w:bookmarkEnd w:id="1859"/>
      <w:bookmarkEnd w:id="1860"/>
      <w:bookmarkEnd w:id="1861"/>
    </w:p>
    <w:p w14:paraId="081EEB27">
      <w:pPr>
        <w:pageBreakBefore w:val="0"/>
        <w:kinsoku/>
        <w:wordWrap w:val="0"/>
        <w:bidi w:val="0"/>
        <w:jc w:val="center"/>
        <w:rPr>
          <w:rFonts w:hint="default" w:ascii="Times New Roman" w:hAnsi="Times New Roman" w:eastAsia="黑体" w:cs="Times New Roman"/>
          <w:color w:val="auto"/>
          <w:sz w:val="76"/>
          <w:szCs w:val="76"/>
          <w:highlight w:val="none"/>
        </w:rPr>
      </w:pPr>
    </w:p>
    <w:p w14:paraId="73270D13">
      <w:pPr>
        <w:pageBreakBefore w:val="0"/>
        <w:kinsoku/>
        <w:wordWrap w:val="0"/>
        <w:bidi w:val="0"/>
        <w:jc w:val="center"/>
        <w:rPr>
          <w:rFonts w:hint="default" w:ascii="Times New Roman" w:hAnsi="Times New Roman" w:eastAsia="黑体" w:cs="Times New Roman"/>
          <w:color w:val="auto"/>
          <w:sz w:val="76"/>
          <w:szCs w:val="76"/>
          <w:highlight w:val="none"/>
        </w:rPr>
        <w:sectPr>
          <w:headerReference r:id="rId39" w:type="default"/>
          <w:footerReference r:id="rId41" w:type="default"/>
          <w:headerReference r:id="rId40" w:type="even"/>
          <w:footerReference r:id="rId42"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DA5D92F">
      <w:pPr>
        <w:pageBreakBefore w:val="0"/>
        <w:kinsoku/>
        <w:wordWrap w:val="0"/>
        <w:bidi w:val="0"/>
        <w:jc w:val="center"/>
        <w:rPr>
          <w:rFonts w:hint="default" w:ascii="Times New Roman" w:hAnsi="Times New Roman" w:eastAsia="黑体" w:cs="Times New Roman"/>
          <w:color w:val="auto"/>
          <w:sz w:val="76"/>
          <w:szCs w:val="76"/>
          <w:highlight w:val="none"/>
        </w:rPr>
      </w:pPr>
    </w:p>
    <w:p w14:paraId="2FDB667E">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73071619">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993FA31">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74773640">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8A76A1A">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AC30757">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422860D7">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8495B12">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EA94B5F">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07A1670">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62" w:name="_Toc16740"/>
      <w:bookmarkStart w:id="1863" w:name="_Toc16666"/>
      <w:bookmarkStart w:id="1864" w:name="_Toc15063"/>
      <w:bookmarkStart w:id="1865" w:name="_Toc234833248"/>
      <w:r>
        <w:rPr>
          <w:rFonts w:hint="default" w:ascii="Times New Roman" w:hAnsi="Times New Roman" w:eastAsia="黑体" w:cs="Times New Roman"/>
          <w:b w:val="0"/>
          <w:color w:val="auto"/>
          <w:sz w:val="56"/>
          <w:szCs w:val="56"/>
          <w:highlight w:val="none"/>
        </w:rPr>
        <w:t>第六章  图纸（另册）</w:t>
      </w:r>
      <w:bookmarkEnd w:id="1862"/>
      <w:bookmarkEnd w:id="1863"/>
      <w:bookmarkEnd w:id="1864"/>
      <w:bookmarkEnd w:id="1865"/>
    </w:p>
    <w:p w14:paraId="1F1B6477">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07EE2185">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316FFAA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8863D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E5F9EB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3D6C0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C1C238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D54FAF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0B6449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6B6BAF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05CE24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BB1B97B">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866" w:name="_Toc234833249"/>
      <w:bookmarkStart w:id="1867" w:name="_Toc27800"/>
      <w:bookmarkStart w:id="1868" w:name="_Toc26586"/>
      <w:bookmarkStart w:id="1869" w:name="_Toc5182"/>
      <w:r>
        <w:rPr>
          <w:rFonts w:hint="default" w:ascii="Times New Roman" w:hAnsi="Times New Roman" w:eastAsia="黑体" w:cs="Times New Roman"/>
          <w:color w:val="auto"/>
          <w:sz w:val="76"/>
          <w:szCs w:val="76"/>
          <w:highlight w:val="none"/>
        </w:rPr>
        <w:t>第  三  卷</w:t>
      </w:r>
      <w:bookmarkEnd w:id="1866"/>
      <w:r>
        <w:rPr>
          <w:rFonts w:hint="default" w:ascii="Times New Roman" w:hAnsi="Times New Roman" w:eastAsia="黑体" w:cs="Times New Roman"/>
          <w:color w:val="auto"/>
          <w:sz w:val="76"/>
          <w:szCs w:val="76"/>
          <w:highlight w:val="none"/>
        </w:rPr>
        <w:br w:type="page"/>
      </w:r>
      <w:bookmarkEnd w:id="1867"/>
      <w:bookmarkEnd w:id="1868"/>
      <w:bookmarkEnd w:id="1869"/>
    </w:p>
    <w:p w14:paraId="0843394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163AD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1B6499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F54B8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38DB58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C5814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7CBBBB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B14C1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7961D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C59922A">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70" w:name="_Toc234833250"/>
      <w:bookmarkStart w:id="1871" w:name="_Toc15033"/>
      <w:bookmarkStart w:id="1872" w:name="_Toc15579"/>
      <w:bookmarkStart w:id="1873" w:name="_Toc18862"/>
      <w:r>
        <w:rPr>
          <w:rFonts w:hint="default" w:ascii="Times New Roman" w:hAnsi="Times New Roman" w:eastAsia="黑体" w:cs="Times New Roman"/>
          <w:b w:val="0"/>
          <w:color w:val="auto"/>
          <w:sz w:val="56"/>
          <w:szCs w:val="56"/>
          <w:highlight w:val="none"/>
        </w:rPr>
        <w:t>第七章  技术规范（另册）</w:t>
      </w:r>
      <w:bookmarkEnd w:id="1870"/>
      <w:bookmarkEnd w:id="1871"/>
      <w:bookmarkEnd w:id="1872"/>
      <w:r>
        <w:rPr>
          <w:rFonts w:hint="default" w:ascii="Times New Roman" w:hAnsi="Times New Roman" w:eastAsia="黑体" w:cs="Times New Roman"/>
          <w:b w:val="0"/>
          <w:bCs w:val="0"/>
          <w:color w:val="auto"/>
          <w:sz w:val="28"/>
          <w:szCs w:val="36"/>
          <w:highlight w:val="none"/>
          <w:vertAlign w:val="superscript"/>
        </w:rPr>
        <w:footnoteReference w:id="46"/>
      </w:r>
      <w:bookmarkEnd w:id="1873"/>
    </w:p>
    <w:p w14:paraId="5782545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28F8D3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58500A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AF519AA">
      <w:pPr>
        <w:pageBreakBefore w:val="0"/>
        <w:kinsoku/>
        <w:wordWrap w:val="0"/>
        <w:bidi w:val="0"/>
        <w:jc w:val="center"/>
        <w:rPr>
          <w:rFonts w:hint="default" w:ascii="Times New Roman" w:hAnsi="Times New Roman" w:eastAsia="黑体" w:cs="Times New Roman"/>
          <w:color w:val="auto"/>
          <w:sz w:val="76"/>
          <w:szCs w:val="76"/>
          <w:highlight w:val="none"/>
        </w:rPr>
      </w:pPr>
      <w:r>
        <w:rPr>
          <w:rFonts w:hint="default" w:ascii="Times New Roman" w:hAnsi="Times New Roman" w:eastAsia="黑体" w:cs="Times New Roman"/>
          <w:color w:val="auto"/>
          <w:sz w:val="20"/>
          <w:szCs w:val="20"/>
          <w:highlight w:val="none"/>
        </w:rPr>
        <w:br w:type="page"/>
      </w:r>
    </w:p>
    <w:p w14:paraId="2D63DA5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AAE41D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D37A99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0029BD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04B3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DF863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67101C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071988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87B5F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0B74749">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74" w:name="_Toc11545"/>
      <w:bookmarkStart w:id="1875" w:name="_Toc31352"/>
      <w:bookmarkStart w:id="1876" w:name="_Toc32110"/>
      <w:r>
        <w:rPr>
          <w:rFonts w:hint="default" w:ascii="Times New Roman" w:hAnsi="Times New Roman" w:eastAsia="黑体" w:cs="Times New Roman"/>
          <w:b w:val="0"/>
          <w:color w:val="auto"/>
          <w:sz w:val="56"/>
          <w:szCs w:val="56"/>
          <w:highlight w:val="none"/>
        </w:rPr>
        <w:t>第八章  工程量清单计量规则</w:t>
      </w:r>
      <w:bookmarkEnd w:id="1874"/>
      <w:bookmarkEnd w:id="1875"/>
      <w:r>
        <w:rPr>
          <w:rFonts w:hint="default" w:ascii="Times New Roman" w:hAnsi="Times New Roman" w:eastAsia="黑体" w:cs="Times New Roman"/>
          <w:b w:val="0"/>
          <w:bCs w:val="0"/>
          <w:color w:val="auto"/>
          <w:sz w:val="28"/>
          <w:szCs w:val="36"/>
          <w:highlight w:val="none"/>
          <w:vertAlign w:val="superscript"/>
        </w:rPr>
        <w:footnoteReference w:id="47"/>
      </w:r>
      <w:bookmarkEnd w:id="1876"/>
    </w:p>
    <w:p w14:paraId="3D9C3A4C">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56"/>
          <w:szCs w:val="56"/>
          <w:highlight w:val="none"/>
        </w:rPr>
      </w:pPr>
      <w:bookmarkStart w:id="1877" w:name="_Toc470752702"/>
      <w:bookmarkStart w:id="1878" w:name="_Toc501257474"/>
      <w:r>
        <w:rPr>
          <w:rFonts w:hint="default" w:ascii="Times New Roman" w:hAnsi="Times New Roman" w:eastAsia="黑体" w:cs="Times New Roman"/>
          <w:b w:val="0"/>
          <w:color w:val="auto"/>
          <w:sz w:val="56"/>
          <w:szCs w:val="56"/>
          <w:highlight w:val="none"/>
        </w:rPr>
        <w:t>（另</w:t>
      </w:r>
      <w:r>
        <w:rPr>
          <w:rFonts w:hint="default" w:ascii="Times New Roman" w:hAnsi="Times New Roman" w:eastAsia="黑体" w:cs="Times New Roman"/>
          <w:b w:val="0"/>
          <w:color w:val="auto"/>
          <w:sz w:val="56"/>
          <w:szCs w:val="56"/>
          <w:highlight w:val="none"/>
          <w:lang w:eastAsia="zh-CN"/>
        </w:rPr>
        <w:t xml:space="preserve">   </w:t>
      </w:r>
      <w:r>
        <w:rPr>
          <w:rFonts w:hint="default" w:ascii="Times New Roman" w:hAnsi="Times New Roman" w:eastAsia="黑体" w:cs="Times New Roman"/>
          <w:b w:val="0"/>
          <w:color w:val="auto"/>
          <w:sz w:val="56"/>
          <w:szCs w:val="56"/>
          <w:highlight w:val="none"/>
        </w:rPr>
        <w:t>册）</w:t>
      </w:r>
      <w:bookmarkEnd w:id="1877"/>
      <w:bookmarkEnd w:id="1878"/>
    </w:p>
    <w:p w14:paraId="4B1318F2">
      <w:pPr>
        <w:spacing w:after="240" w:line="360" w:lineRule="auto"/>
        <w:ind w:left="2100" w:leftChars="1000"/>
        <w:jc w:val="both"/>
        <w:rPr>
          <w:rFonts w:hint="default" w:ascii="Times New Roman" w:hAnsi="Times New Roman" w:eastAsia="黑体" w:cs="Times New Roman"/>
          <w:b w:val="0"/>
          <w:bCs w:val="0"/>
          <w:color w:val="auto"/>
          <w:sz w:val="28"/>
          <w:szCs w:val="36"/>
          <w:highlight w:val="none"/>
        </w:rPr>
      </w:pPr>
    </w:p>
    <w:p w14:paraId="5271328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0D2D68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8FB412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AA97D5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D6FFD2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468653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20"/>
          <w:szCs w:val="20"/>
          <w:highlight w:val="none"/>
        </w:rPr>
        <w:br w:type="page"/>
      </w:r>
    </w:p>
    <w:p w14:paraId="265C11C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8737E1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DD75CA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9B7145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C713DD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12FC0C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07A3E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22597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98D7E6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D7FB07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5D988B3">
      <w:pPr>
        <w:pageBreakBefore w:val="0"/>
        <w:kinsoku/>
        <w:wordWrap w:val="0"/>
        <w:bidi w:val="0"/>
        <w:jc w:val="center"/>
        <w:outlineLvl w:val="0"/>
        <w:rPr>
          <w:rFonts w:hint="default" w:ascii="Times New Roman" w:hAnsi="Times New Roman" w:eastAsia="黑体" w:cs="Times New Roman"/>
          <w:color w:val="auto"/>
          <w:sz w:val="29"/>
          <w:szCs w:val="29"/>
          <w:highlight w:val="none"/>
        </w:rPr>
      </w:pPr>
      <w:bookmarkStart w:id="1879" w:name="_Toc234833251"/>
      <w:bookmarkStart w:id="1880" w:name="_Toc2682"/>
      <w:bookmarkStart w:id="1881" w:name="_Toc1042"/>
      <w:bookmarkStart w:id="1882" w:name="_Toc27378"/>
      <w:r>
        <w:rPr>
          <w:rFonts w:hint="default" w:ascii="Times New Roman" w:hAnsi="Times New Roman" w:eastAsia="黑体" w:cs="Times New Roman"/>
          <w:color w:val="auto"/>
          <w:sz w:val="76"/>
          <w:szCs w:val="76"/>
          <w:highlight w:val="none"/>
        </w:rPr>
        <w:t>第  四  卷</w:t>
      </w:r>
      <w:bookmarkEnd w:id="1879"/>
      <w:r>
        <w:rPr>
          <w:rFonts w:hint="default" w:ascii="Times New Roman" w:hAnsi="Times New Roman" w:eastAsia="黑体" w:cs="Times New Roman"/>
          <w:color w:val="auto"/>
          <w:sz w:val="76"/>
          <w:szCs w:val="76"/>
          <w:highlight w:val="none"/>
        </w:rPr>
        <w:br w:type="page"/>
      </w:r>
      <w:bookmarkEnd w:id="1880"/>
      <w:bookmarkEnd w:id="1881"/>
      <w:bookmarkEnd w:id="1882"/>
    </w:p>
    <w:p w14:paraId="4CFFA46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54115D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4A6925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F544F7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6646C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1E740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0720C4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50373D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35734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74C9859">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83" w:name="_Toc16811"/>
      <w:bookmarkStart w:id="1884" w:name="_Toc234833252"/>
      <w:bookmarkStart w:id="1885" w:name="_Toc29271"/>
      <w:bookmarkStart w:id="1886" w:name="_Toc12459"/>
      <w:r>
        <w:rPr>
          <w:rFonts w:hint="default" w:ascii="Times New Roman" w:hAnsi="Times New Roman" w:eastAsia="黑体" w:cs="Times New Roman"/>
          <w:b w:val="0"/>
          <w:color w:val="auto"/>
          <w:sz w:val="56"/>
          <w:szCs w:val="56"/>
          <w:highlight w:val="none"/>
        </w:rPr>
        <w:t>第九章  投标文件格式</w:t>
      </w:r>
      <w:r>
        <w:rPr>
          <w:rStyle w:val="47"/>
          <w:rFonts w:hint="default" w:ascii="Times New Roman" w:hAnsi="Times New Roman" w:eastAsia="黑体" w:cs="Times New Roman"/>
          <w:color w:val="auto"/>
          <w:sz w:val="56"/>
          <w:szCs w:val="56"/>
          <w:highlight w:val="none"/>
        </w:rPr>
        <w:footnoteReference w:id="48"/>
      </w:r>
      <w:bookmarkEnd w:id="1883"/>
      <w:bookmarkEnd w:id="1884"/>
      <w:bookmarkEnd w:id="1885"/>
      <w:bookmarkEnd w:id="1886"/>
    </w:p>
    <w:p w14:paraId="794DE827">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37768CC4">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1BD3E422">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52AD9DCB">
      <w:pPr>
        <w:pStyle w:val="15"/>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bookmarkStart w:id="1887" w:name="_Toc24566"/>
      <w:r>
        <w:rPr>
          <w:rFonts w:hint="eastAsia" w:ascii="Times New Roman" w:eastAsia="黑体" w:cs="Times New Roman"/>
          <w:color w:val="auto"/>
          <w:sz w:val="31"/>
          <w:szCs w:val="31"/>
          <w:highlight w:val="none"/>
          <w:u w:val="single"/>
          <w:lang w:eastAsia="zh-CN"/>
        </w:rPr>
        <w:t>辽宁省</w:t>
      </w:r>
      <w:bookmarkEnd w:id="1887"/>
    </w:p>
    <w:p w14:paraId="6842E2B0">
      <w:pPr>
        <w:pageBreakBefore w:val="0"/>
        <w:kinsoku/>
        <w:wordWrap w:val="0"/>
        <w:bidi w:val="0"/>
        <w:spacing w:line="440" w:lineRule="exact"/>
        <w:rPr>
          <w:rFonts w:hint="default" w:ascii="Times New Roman" w:hAnsi="Times New Roman" w:eastAsia="黑体" w:cs="Times New Roman"/>
          <w:color w:val="auto"/>
          <w:sz w:val="24"/>
          <w:highlight w:val="none"/>
          <w:lang w:val="en-US"/>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eastAsia="zh-CN"/>
        </w:rPr>
        <w:t>）</w:t>
      </w:r>
      <w:r>
        <w:rPr>
          <w:rFonts w:hint="default" w:ascii="Times New Roman" w:hAnsi="Times New Roman" w:eastAsia="黑体" w:cs="Times New Roman"/>
          <w:b w:val="0"/>
          <w:bCs w:val="0"/>
          <w:color w:val="auto"/>
          <w:sz w:val="31"/>
          <w:szCs w:val="31"/>
          <w:highlight w:val="none"/>
          <w:lang w:val="en-US" w:eastAsia="zh-CN"/>
        </w:rPr>
        <w:t>施工招标</w:t>
      </w:r>
    </w:p>
    <w:p w14:paraId="4B7C0946">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2142FB4E">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469B9682">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4AC4B521">
      <w:pPr>
        <w:pStyle w:val="16"/>
        <w:rPr>
          <w:rFonts w:hint="default" w:ascii="Times New Roman" w:hAnsi="Times New Roman" w:eastAsia="黑体" w:cs="Times New Roman"/>
          <w:color w:val="auto"/>
          <w:sz w:val="40"/>
          <w:szCs w:val="40"/>
          <w:highlight w:val="none"/>
        </w:rPr>
      </w:pPr>
    </w:p>
    <w:p w14:paraId="228C19CF">
      <w:pPr>
        <w:pStyle w:val="16"/>
        <w:rPr>
          <w:rFonts w:hint="default" w:ascii="Times New Roman" w:hAnsi="Times New Roman" w:eastAsia="黑体" w:cs="Times New Roman"/>
          <w:color w:val="auto"/>
          <w:sz w:val="40"/>
          <w:szCs w:val="40"/>
          <w:highlight w:val="none"/>
        </w:rPr>
      </w:pPr>
    </w:p>
    <w:p w14:paraId="62860FB4">
      <w:pPr>
        <w:pStyle w:val="16"/>
        <w:rPr>
          <w:rFonts w:hint="default" w:ascii="Times New Roman" w:hAnsi="Times New Roman" w:eastAsia="黑体" w:cs="Times New Roman"/>
          <w:color w:val="auto"/>
          <w:sz w:val="40"/>
          <w:szCs w:val="40"/>
          <w:highlight w:val="none"/>
        </w:rPr>
      </w:pPr>
    </w:p>
    <w:p w14:paraId="0CF40996">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173F0BC5">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0A0BC413">
      <w:pPr>
        <w:pageBreakBefore w:val="0"/>
        <w:kinsoku/>
        <w:wordWrap/>
        <w:bidi w:val="0"/>
        <w:spacing w:before="0" w:after="0" w:line="360" w:lineRule="auto"/>
        <w:jc w:val="center"/>
        <w:outlineLvl w:val="9"/>
        <w:rPr>
          <w:rFonts w:hint="default" w:ascii="Times New Roman" w:hAnsi="Times New Roman" w:eastAsia="黑体" w:cs="Times New Roman"/>
          <w:b w:val="0"/>
          <w:color w:val="auto"/>
          <w:sz w:val="30"/>
          <w:szCs w:val="30"/>
          <w:highlight w:val="none"/>
        </w:rPr>
      </w:pPr>
      <w:bookmarkStart w:id="1888" w:name="_Toc26407"/>
      <w:bookmarkStart w:id="1889" w:name="_Toc11276"/>
      <w:bookmarkStart w:id="1890" w:name="_Toc1346"/>
      <w:bookmarkStart w:id="1891" w:name="_Toc11253"/>
      <w:bookmarkStart w:id="1892" w:name="_Toc23497"/>
      <w:r>
        <w:rPr>
          <w:rFonts w:hint="default" w:ascii="Times New Roman" w:hAnsi="Times New Roman" w:eastAsia="黑体" w:cs="Times New Roman"/>
          <w:b w:val="0"/>
          <w:color w:val="auto"/>
          <w:sz w:val="72"/>
          <w:szCs w:val="72"/>
          <w:highlight w:val="none"/>
        </w:rPr>
        <w:t xml:space="preserve">投  标  文  件 </w:t>
      </w:r>
    </w:p>
    <w:p w14:paraId="5C3DD159">
      <w:pPr>
        <w:pageBreakBefore w:val="0"/>
        <w:kinsoku/>
        <w:wordWrap/>
        <w:bidi w:val="0"/>
        <w:spacing w:before="0" w:after="0" w:line="360" w:lineRule="auto"/>
        <w:jc w:val="center"/>
        <w:outlineLvl w:val="9"/>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第一个信封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商务及技术文件）</w:t>
      </w:r>
      <w:bookmarkEnd w:id="1888"/>
      <w:bookmarkEnd w:id="1889"/>
      <w:bookmarkEnd w:id="1890"/>
      <w:bookmarkEnd w:id="1891"/>
      <w:bookmarkEnd w:id="1892"/>
    </w:p>
    <w:p w14:paraId="1BF3717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A26F6B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CC6668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BFD4AB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B3608E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5F59F9D">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FE7F46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F28017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9734F15">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highlight w:val="none"/>
          <w:lang w:eastAsia="zh-CN"/>
        </w:rPr>
        <w:t>盖单位电子印章</w:t>
      </w:r>
      <w:r>
        <w:rPr>
          <w:rFonts w:hint="default" w:ascii="Times New Roman" w:hAnsi="Times New Roman" w:eastAsia="黑体" w:cs="Times New Roman"/>
          <w:color w:val="auto"/>
          <w:sz w:val="28"/>
          <w:szCs w:val="28"/>
          <w:highlight w:val="none"/>
        </w:rPr>
        <w:t>）</w:t>
      </w:r>
    </w:p>
    <w:p w14:paraId="22D3B735">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6E5F3995">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3686E929">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46CA42B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0"/>
          <w:szCs w:val="20"/>
          <w:highlight w:val="none"/>
        </w:rPr>
        <w:br w:type="page"/>
      </w:r>
      <w:bookmarkStart w:id="1893" w:name="_Toc16968"/>
      <w:bookmarkStart w:id="1894" w:name="_Toc18939"/>
      <w:bookmarkStart w:id="1895" w:name="_Toc11971"/>
      <w:bookmarkStart w:id="1896" w:name="_Toc234833253"/>
      <w:bookmarkStart w:id="1897" w:name="_Toc23660"/>
      <w:r>
        <w:rPr>
          <w:rFonts w:hint="default" w:ascii="Times New Roman" w:hAnsi="Times New Roman" w:eastAsia="黑体" w:cs="Times New Roman"/>
          <w:b w:val="0"/>
          <w:color w:val="auto"/>
          <w:sz w:val="30"/>
          <w:szCs w:val="30"/>
          <w:highlight w:val="none"/>
        </w:rPr>
        <w:t>目     录</w:t>
      </w:r>
      <w:bookmarkEnd w:id="1893"/>
      <w:bookmarkEnd w:id="1894"/>
      <w:bookmarkEnd w:id="1895"/>
      <w:bookmarkEnd w:id="1896"/>
      <w:bookmarkEnd w:id="1897"/>
    </w:p>
    <w:p w14:paraId="6A4E240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4FC2583">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一、投标函及投标函附录</w:t>
      </w:r>
    </w:p>
    <w:p w14:paraId="1F104194">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二、授权委托书或法定代表人身份证明</w:t>
      </w:r>
    </w:p>
    <w:p w14:paraId="3911801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三、联合体协议书</w:t>
      </w:r>
      <w:r>
        <w:rPr>
          <w:rFonts w:hint="default" w:ascii="Times New Roman" w:hAnsi="Times New Roman" w:cs="Times New Roman"/>
          <w:color w:val="auto"/>
          <w:sz w:val="24"/>
          <w:highlight w:val="yellow"/>
          <w:lang w:eastAsia="zh-CN"/>
        </w:rPr>
        <w:t>（</w:t>
      </w:r>
      <w:r>
        <w:rPr>
          <w:rFonts w:hint="default" w:ascii="Times New Roman" w:hAnsi="Times New Roman" w:cs="Times New Roman"/>
          <w:color w:val="auto"/>
          <w:sz w:val="24"/>
          <w:highlight w:val="yellow"/>
          <w:lang w:val="en-US" w:eastAsia="zh-CN"/>
        </w:rPr>
        <w:t>本项目不适用</w:t>
      </w:r>
      <w:r>
        <w:rPr>
          <w:rFonts w:hint="default" w:ascii="Times New Roman" w:hAnsi="Times New Roman" w:cs="Times New Roman"/>
          <w:color w:val="auto"/>
          <w:sz w:val="24"/>
          <w:highlight w:val="none"/>
          <w:lang w:eastAsia="zh-CN"/>
        </w:rPr>
        <w:t>）</w:t>
      </w:r>
    </w:p>
    <w:p w14:paraId="7BF29693">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四、投标保证金</w:t>
      </w:r>
    </w:p>
    <w:p w14:paraId="44EB39B3">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五、施工组织设计</w:t>
      </w:r>
    </w:p>
    <w:p w14:paraId="1923933D">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六、项目管理机构</w:t>
      </w:r>
    </w:p>
    <w:p w14:paraId="2FFF39D2">
      <w:pPr>
        <w:pageBreakBefore w:val="0"/>
        <w:kinsoku/>
        <w:wordWrap w:val="0"/>
        <w:bidi w:val="0"/>
        <w:spacing w:line="440" w:lineRule="exact"/>
        <w:ind w:left="1619" w:leftChars="771" w:firstLine="1"/>
        <w:rPr>
          <w:rFonts w:hint="default" w:cs="Times New Roman"/>
          <w:color w:val="auto"/>
          <w:sz w:val="24"/>
          <w:highlight w:val="none"/>
          <w:lang w:val="en-US" w:eastAsia="zh-CN"/>
        </w:rPr>
      </w:pPr>
      <w:r>
        <w:rPr>
          <w:rFonts w:hint="eastAsia" w:cs="Times New Roman"/>
          <w:color w:val="auto"/>
          <w:sz w:val="24"/>
          <w:highlight w:val="none"/>
          <w:lang w:val="en-US" w:eastAsia="zh-CN"/>
        </w:rPr>
        <w:t>七、拟分包项目情况表</w:t>
      </w:r>
      <w:r>
        <w:rPr>
          <w:rFonts w:hint="eastAsia" w:cs="Times New Roman"/>
          <w:color w:val="auto"/>
          <w:sz w:val="24"/>
          <w:highlight w:val="yellow"/>
          <w:lang w:val="en-US" w:eastAsia="zh-CN"/>
        </w:rPr>
        <w:t>（本项目不适用）</w:t>
      </w:r>
    </w:p>
    <w:p w14:paraId="6284C4F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八</w:t>
      </w:r>
      <w:r>
        <w:rPr>
          <w:rFonts w:hint="default" w:ascii="Times New Roman" w:hAnsi="Times New Roman" w:cs="Times New Roman"/>
          <w:color w:val="auto"/>
          <w:sz w:val="24"/>
          <w:highlight w:val="none"/>
        </w:rPr>
        <w:t>、资格审查资料</w:t>
      </w:r>
    </w:p>
    <w:p w14:paraId="3D384FA5">
      <w:pPr>
        <w:pageBreakBefore w:val="0"/>
        <w:kinsoku/>
        <w:wordWrap w:val="0"/>
        <w:overflowPunct/>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九</w:t>
      </w:r>
      <w:r>
        <w:rPr>
          <w:rFonts w:hint="default" w:ascii="Times New Roman" w:hAnsi="Times New Roman" w:cs="Times New Roman"/>
          <w:color w:val="auto"/>
          <w:sz w:val="24"/>
          <w:highlight w:val="none"/>
        </w:rPr>
        <w:t>、投标人告知承诺函</w:t>
      </w:r>
    </w:p>
    <w:p w14:paraId="19F9F953">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十</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其他资料</w:t>
      </w:r>
    </w:p>
    <w:p w14:paraId="235A0785">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314A3DBC">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30"/>
          <w:szCs w:val="3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898" w:name="_Toc234833254"/>
    </w:p>
    <w:bookmarkEnd w:id="1898"/>
    <w:p w14:paraId="4F9423FF">
      <w:pPr>
        <w:pStyle w:val="2"/>
        <w:pageBreakBefore w:val="0"/>
        <w:kinsoku/>
        <w:wordWrap w:val="0"/>
        <w:bidi w:val="0"/>
        <w:spacing w:before="0" w:after="0" w:line="400" w:lineRule="atLeast"/>
        <w:jc w:val="center"/>
        <w:outlineLvl w:val="1"/>
        <w:rPr>
          <w:rFonts w:hint="default" w:ascii="Times New Roman" w:hAnsi="Times New Roman" w:eastAsia="黑体" w:cs="Times New Roman"/>
          <w:b w:val="0"/>
          <w:color w:val="auto"/>
          <w:sz w:val="30"/>
          <w:szCs w:val="30"/>
          <w:highlight w:val="none"/>
        </w:rPr>
      </w:pPr>
      <w:bookmarkStart w:id="1899" w:name="_Toc21625"/>
      <w:bookmarkStart w:id="1900" w:name="_Toc234833255"/>
      <w:bookmarkStart w:id="1901" w:name="_Toc26238"/>
      <w:bookmarkStart w:id="1902" w:name="_Toc25446"/>
      <w:r>
        <w:rPr>
          <w:rFonts w:hint="default" w:ascii="Times New Roman" w:hAnsi="Times New Roman" w:eastAsia="黑体" w:cs="Times New Roman"/>
          <w:b w:val="0"/>
          <w:color w:val="auto"/>
          <w:sz w:val="30"/>
          <w:szCs w:val="30"/>
          <w:highlight w:val="none"/>
        </w:rPr>
        <w:t>一、投标函及投标函附录</w:t>
      </w:r>
      <w:bookmarkEnd w:id="1899"/>
      <w:bookmarkEnd w:id="1900"/>
      <w:bookmarkEnd w:id="1901"/>
      <w:bookmarkEnd w:id="1902"/>
    </w:p>
    <w:p w14:paraId="37421C35">
      <w:pPr>
        <w:pStyle w:val="2"/>
        <w:pageBreakBefore w:val="0"/>
        <w:kinsoku/>
        <w:wordWrap w:val="0"/>
        <w:bidi w:val="0"/>
        <w:spacing w:before="360" w:beforeLines="150" w:after="240" w:afterLines="100" w:line="360" w:lineRule="atLeast"/>
        <w:jc w:val="center"/>
        <w:outlineLvl w:val="2"/>
        <w:rPr>
          <w:rFonts w:hint="default" w:ascii="Times New Roman" w:hAnsi="Times New Roman" w:eastAsia="黑体" w:cs="Times New Roman"/>
          <w:b w:val="0"/>
          <w:color w:val="auto"/>
          <w:sz w:val="28"/>
          <w:szCs w:val="28"/>
          <w:highlight w:val="none"/>
        </w:rPr>
      </w:pPr>
      <w:bookmarkStart w:id="1903" w:name="_Toc12342"/>
      <w:bookmarkStart w:id="1904" w:name="_Toc234833256"/>
      <w:bookmarkStart w:id="1905" w:name="_Toc585"/>
      <w:bookmarkStart w:id="1906" w:name="_Toc18251"/>
      <w:r>
        <w:rPr>
          <w:rFonts w:hint="default" w:ascii="Times New Roman" w:hAnsi="Times New Roman" w:eastAsia="黑体" w:cs="Times New Roman"/>
          <w:b w:val="0"/>
          <w:color w:val="auto"/>
          <w:sz w:val="28"/>
          <w:szCs w:val="28"/>
          <w:highlight w:val="none"/>
        </w:rPr>
        <w:t>（一） 投 标 函</w:t>
      </w:r>
      <w:bookmarkEnd w:id="1903"/>
      <w:bookmarkEnd w:id="1904"/>
      <w:bookmarkEnd w:id="1905"/>
      <w:bookmarkEnd w:id="1906"/>
    </w:p>
    <w:p w14:paraId="5C659C11">
      <w:pPr>
        <w:pageBreakBefore w:val="0"/>
        <w:kinsoku/>
        <w:wordWrap w:val="0"/>
        <w:bidi w:val="0"/>
        <w:spacing w:before="240" w:beforeLines="100" w:after="120" w:afterLines="50" w:line="36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22528299">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2AD0F202">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2．我方承诺在招标文件规定的投标有效期内不撤销投标文件。</w:t>
      </w:r>
    </w:p>
    <w:p w14:paraId="035830B2">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3．工程质量：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540CDDD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4．如我方中标，我方承诺：</w:t>
      </w:r>
    </w:p>
    <w:p w14:paraId="72E2ABED">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（1）在收到中标通知书后，在中标通知书规定的期限内与你方签订合同；</w:t>
      </w:r>
    </w:p>
    <w:p w14:paraId="1347EAAA">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（2）在签订合同时不向你方提出附加条件；</w:t>
      </w:r>
    </w:p>
    <w:p w14:paraId="12C48E07">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（3）按照招标文件要求提交履约保证金；</w:t>
      </w:r>
      <w:bookmarkStart w:id="1907" w:name="_Toc352691658"/>
      <w:bookmarkStart w:id="1908" w:name="_Toc369531694"/>
      <w:bookmarkStart w:id="1909" w:name="_Toc1187"/>
    </w:p>
    <w:p w14:paraId="74729A88">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（4）在合</w:t>
      </w:r>
      <w:bookmarkEnd w:id="1907"/>
      <w:bookmarkEnd w:id="1908"/>
      <w:bookmarkEnd w:id="1909"/>
      <w:r>
        <w:rPr>
          <w:rFonts w:hint="default" w:ascii="Times New Roman" w:hAnsi="Times New Roman" w:cs="Times New Roman"/>
          <w:color w:val="auto"/>
          <w:sz w:val="24"/>
          <w:highlight w:val="none"/>
        </w:rPr>
        <w:t>同约定的期限内完成合同规定的全部义务；</w:t>
      </w:r>
    </w:p>
    <w:p w14:paraId="75DA6A9A">
      <w:pPr>
        <w:pageBreakBefore w:val="0"/>
        <w:kinsoku/>
        <w:wordWrap w:val="0"/>
        <w:bidi w:val="0"/>
        <w:spacing w:line="360" w:lineRule="atLeast"/>
        <w:ind w:firstLine="480" w:firstLineChars="200"/>
        <w:rPr>
          <w:rFonts w:hint="default" w:ascii="Times New Roman" w:hAnsi="Times New Roman" w:cs="Times New Roman"/>
          <w:color w:val="auto"/>
          <w:sz w:val="24"/>
          <w:highlight w:val="none"/>
          <w:vertAlign w:val="superscript"/>
        </w:rPr>
      </w:pPr>
      <w:r>
        <w:rPr>
          <w:rFonts w:hint="default" w:ascii="Times New Roman" w:hAnsi="Times New Roman" w:cs="Times New Roman"/>
          <w:color w:val="auto"/>
          <w:sz w:val="24"/>
          <w:highlight w:val="none"/>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color w:val="auto"/>
          <w:sz w:val="24"/>
          <w:highlight w:val="none"/>
          <w:vertAlign w:val="superscript"/>
        </w:rPr>
        <w:footnoteReference w:id="49"/>
      </w:r>
    </w:p>
    <w:p w14:paraId="5E291149">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5．我方在此声明，所递交的投标文件及有关资料内容完整、真实和准确，且不存在招标文件第二章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第1.4.3项和第1.4.4项规定的任何一种情形。</w:t>
      </w:r>
    </w:p>
    <w:p w14:paraId="50357F1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6．在合同协议书正式签署生效之前，本投标函连同你方的中标通知书将构成我们双方之间共同遵守的文件，对双方具有约束力。</w:t>
      </w:r>
    </w:p>
    <w:p w14:paraId="3FE75774">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10C2E3BC">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p>
    <w:p w14:paraId="04A7CECD">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3A36671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bookmarkStart w:id="1910" w:name="_Toc26277"/>
      <w:bookmarkStart w:id="1911" w:name="_Toc23140"/>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bookmarkEnd w:id="1910"/>
      <w:bookmarkEnd w:id="1911"/>
    </w:p>
    <w:p w14:paraId="7CFB0A2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3224E89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19533287">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3848E86">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5D288CE3">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52F5A589">
      <w:pPr>
        <w:pageBreakBefore w:val="0"/>
        <w:kinsoku/>
        <w:wordWrap w:val="0"/>
        <w:overflowPunct/>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8382DB8">
      <w:pPr>
        <w:pStyle w:val="5"/>
        <w:pageBreakBefore w:val="0"/>
        <w:kinsoku/>
        <w:wordWrap w:val="0"/>
        <w:bidi w:val="0"/>
        <w:spacing w:before="360" w:beforeLines="150" w:after="240" w:afterLines="100" w:line="380" w:lineRule="atLeast"/>
        <w:jc w:val="center"/>
        <w:outlineLvl w:val="2"/>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3"/>
          <w:szCs w:val="23"/>
          <w:highlight w:val="none"/>
        </w:rPr>
        <w:br w:type="page"/>
      </w:r>
      <w:bookmarkStart w:id="1912" w:name="_Toc234833257"/>
      <w:bookmarkStart w:id="1913" w:name="_Toc27025"/>
      <w:bookmarkStart w:id="1914" w:name="_Toc27486"/>
      <w:bookmarkStart w:id="1915" w:name="_Toc30343"/>
      <w:r>
        <w:rPr>
          <w:rFonts w:hint="default" w:ascii="Times New Roman" w:hAnsi="Times New Roman" w:eastAsia="黑体" w:cs="Times New Roman"/>
          <w:b w:val="0"/>
          <w:color w:val="auto"/>
          <w:sz w:val="30"/>
          <w:szCs w:val="30"/>
          <w:highlight w:val="none"/>
        </w:rPr>
        <w:t>（二）投标函附录</w:t>
      </w:r>
      <w:bookmarkEnd w:id="1912"/>
      <w:bookmarkEnd w:id="1913"/>
      <w:bookmarkEnd w:id="1914"/>
      <w:bookmarkEnd w:id="1915"/>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447D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A21C6F9">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710" w:type="dxa"/>
            <w:noWrap w:val="0"/>
            <w:vAlign w:val="center"/>
          </w:tcPr>
          <w:p w14:paraId="129F06A3">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条款名称</w:t>
            </w:r>
          </w:p>
        </w:tc>
        <w:tc>
          <w:tcPr>
            <w:tcW w:w="1185" w:type="dxa"/>
            <w:noWrap w:val="0"/>
            <w:vAlign w:val="center"/>
          </w:tcPr>
          <w:p w14:paraId="527C0CD6">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合同条目号</w:t>
            </w:r>
          </w:p>
        </w:tc>
        <w:tc>
          <w:tcPr>
            <w:tcW w:w="3613" w:type="dxa"/>
            <w:noWrap w:val="0"/>
            <w:vAlign w:val="center"/>
          </w:tcPr>
          <w:p w14:paraId="6F7EB65E">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约定内容</w:t>
            </w:r>
          </w:p>
        </w:tc>
        <w:tc>
          <w:tcPr>
            <w:tcW w:w="749" w:type="dxa"/>
            <w:noWrap w:val="0"/>
            <w:vAlign w:val="center"/>
          </w:tcPr>
          <w:p w14:paraId="7878DB53">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37BE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B463D3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710" w:type="dxa"/>
            <w:noWrap w:val="0"/>
            <w:vAlign w:val="center"/>
          </w:tcPr>
          <w:p w14:paraId="7734825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185" w:type="dxa"/>
            <w:noWrap w:val="0"/>
            <w:vAlign w:val="center"/>
          </w:tcPr>
          <w:p w14:paraId="67D941D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w:t>
            </w:r>
          </w:p>
        </w:tc>
        <w:tc>
          <w:tcPr>
            <w:tcW w:w="3613" w:type="dxa"/>
            <w:noWrap w:val="0"/>
            <w:vAlign w:val="center"/>
          </w:tcPr>
          <w:p w14:paraId="4F650F33">
            <w:pPr>
              <w:pageBreakBefore w:val="0"/>
              <w:kinsoku/>
              <w:wordWrap w:val="0"/>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0170E25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052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0DA292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710" w:type="dxa"/>
            <w:noWrap w:val="0"/>
            <w:vAlign w:val="center"/>
          </w:tcPr>
          <w:p w14:paraId="10ED4FC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w:t>
            </w:r>
          </w:p>
        </w:tc>
        <w:tc>
          <w:tcPr>
            <w:tcW w:w="1185" w:type="dxa"/>
            <w:noWrap w:val="0"/>
            <w:vAlign w:val="center"/>
          </w:tcPr>
          <w:p w14:paraId="2A229A2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1677E6A8">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7505FE7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478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D84CF0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710" w:type="dxa"/>
            <w:noWrap w:val="0"/>
            <w:vAlign w:val="center"/>
          </w:tcPr>
          <w:p w14:paraId="60E7BA4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逾期交工违约金限额</w:t>
            </w:r>
          </w:p>
        </w:tc>
        <w:tc>
          <w:tcPr>
            <w:tcW w:w="1185" w:type="dxa"/>
            <w:noWrap w:val="0"/>
            <w:vAlign w:val="center"/>
          </w:tcPr>
          <w:p w14:paraId="63818A95">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1BDB1441">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2B0D3AB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288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B594D2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710" w:type="dxa"/>
            <w:noWrap w:val="0"/>
            <w:vAlign w:val="center"/>
          </w:tcPr>
          <w:p w14:paraId="0B19457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提前交工的奖金 </w:t>
            </w:r>
          </w:p>
        </w:tc>
        <w:tc>
          <w:tcPr>
            <w:tcW w:w="1185" w:type="dxa"/>
            <w:noWrap w:val="0"/>
            <w:vAlign w:val="center"/>
          </w:tcPr>
          <w:p w14:paraId="5EA1D5C0">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33ECCD51">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1B32E42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BF8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4A43FE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710" w:type="dxa"/>
            <w:noWrap w:val="0"/>
            <w:vAlign w:val="center"/>
          </w:tcPr>
          <w:p w14:paraId="7C2CC41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提前交工的奖金限额</w:t>
            </w:r>
          </w:p>
        </w:tc>
        <w:tc>
          <w:tcPr>
            <w:tcW w:w="1185" w:type="dxa"/>
            <w:noWrap w:val="0"/>
            <w:vAlign w:val="center"/>
          </w:tcPr>
          <w:p w14:paraId="4FBF468B">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16173087">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626324C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E71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237FA7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710" w:type="dxa"/>
            <w:noWrap w:val="0"/>
            <w:vAlign w:val="center"/>
          </w:tcPr>
          <w:p w14:paraId="19CB42E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价格调整的差额计算</w:t>
            </w:r>
          </w:p>
        </w:tc>
        <w:tc>
          <w:tcPr>
            <w:tcW w:w="1185" w:type="dxa"/>
            <w:noWrap w:val="0"/>
            <w:vAlign w:val="center"/>
          </w:tcPr>
          <w:p w14:paraId="02CB9296">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w:t>
            </w:r>
          </w:p>
        </w:tc>
        <w:tc>
          <w:tcPr>
            <w:tcW w:w="3613" w:type="dxa"/>
            <w:noWrap w:val="0"/>
            <w:vAlign w:val="center"/>
          </w:tcPr>
          <w:p w14:paraId="5D8C23CF">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见价格指数和权重表</w:t>
            </w:r>
          </w:p>
        </w:tc>
        <w:tc>
          <w:tcPr>
            <w:tcW w:w="749" w:type="dxa"/>
            <w:noWrap w:val="0"/>
            <w:vAlign w:val="center"/>
          </w:tcPr>
          <w:p w14:paraId="23FA29F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A8F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325235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710" w:type="dxa"/>
            <w:noWrap w:val="0"/>
            <w:vAlign w:val="center"/>
          </w:tcPr>
          <w:p w14:paraId="0F7AD91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开工预付款金额</w:t>
            </w:r>
          </w:p>
        </w:tc>
        <w:tc>
          <w:tcPr>
            <w:tcW w:w="1185" w:type="dxa"/>
            <w:noWrap w:val="0"/>
            <w:vAlign w:val="center"/>
          </w:tcPr>
          <w:p w14:paraId="5A86FBB0">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17.2.1（1）</w:t>
            </w:r>
          </w:p>
        </w:tc>
        <w:tc>
          <w:tcPr>
            <w:tcW w:w="3613" w:type="dxa"/>
            <w:noWrap w:val="0"/>
            <w:vAlign w:val="center"/>
          </w:tcPr>
          <w:p w14:paraId="4231F990">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704976D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FDA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934A1D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710" w:type="dxa"/>
            <w:noWrap w:val="0"/>
            <w:vAlign w:val="center"/>
          </w:tcPr>
          <w:p w14:paraId="19D774F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材料、设备预付款比例</w:t>
            </w:r>
          </w:p>
        </w:tc>
        <w:tc>
          <w:tcPr>
            <w:tcW w:w="1185" w:type="dxa"/>
            <w:noWrap w:val="0"/>
            <w:vAlign w:val="center"/>
          </w:tcPr>
          <w:p w14:paraId="5BA45185">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17.2.1（2）</w:t>
            </w:r>
          </w:p>
        </w:tc>
        <w:tc>
          <w:tcPr>
            <w:tcW w:w="3613" w:type="dxa"/>
            <w:noWrap w:val="0"/>
            <w:vAlign w:val="center"/>
          </w:tcPr>
          <w:p w14:paraId="29C5F72F">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等主要材料、设备单据所列费用的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tc>
        <w:tc>
          <w:tcPr>
            <w:tcW w:w="749" w:type="dxa"/>
            <w:noWrap w:val="0"/>
            <w:vAlign w:val="center"/>
          </w:tcPr>
          <w:p w14:paraId="02B47E1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67A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6515479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710" w:type="dxa"/>
            <w:noWrap w:val="0"/>
            <w:vAlign w:val="center"/>
          </w:tcPr>
          <w:p w14:paraId="492FDA2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进度付款证书最低限额</w:t>
            </w:r>
          </w:p>
        </w:tc>
        <w:tc>
          <w:tcPr>
            <w:tcW w:w="1185" w:type="dxa"/>
            <w:noWrap w:val="0"/>
            <w:vAlign w:val="center"/>
          </w:tcPr>
          <w:p w14:paraId="0020AAF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17.3.3（1）</w:t>
            </w:r>
          </w:p>
        </w:tc>
        <w:tc>
          <w:tcPr>
            <w:tcW w:w="3613" w:type="dxa"/>
            <w:noWrap w:val="0"/>
            <w:vAlign w:val="center"/>
          </w:tcPr>
          <w:p w14:paraId="6A527A58">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p>
        </w:tc>
        <w:tc>
          <w:tcPr>
            <w:tcW w:w="749" w:type="dxa"/>
            <w:noWrap w:val="0"/>
            <w:vAlign w:val="center"/>
          </w:tcPr>
          <w:p w14:paraId="5338245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BB3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F470A6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710" w:type="dxa"/>
            <w:noWrap w:val="0"/>
            <w:vAlign w:val="center"/>
          </w:tcPr>
          <w:p w14:paraId="090DB88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逾期付款违约金的利率</w:t>
            </w:r>
          </w:p>
        </w:tc>
        <w:tc>
          <w:tcPr>
            <w:tcW w:w="1185" w:type="dxa"/>
            <w:noWrap w:val="0"/>
            <w:vAlign w:val="center"/>
          </w:tcPr>
          <w:p w14:paraId="7F66BB00">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17.3.3（2）</w:t>
            </w:r>
          </w:p>
        </w:tc>
        <w:tc>
          <w:tcPr>
            <w:tcW w:w="3613" w:type="dxa"/>
            <w:noWrap w:val="0"/>
            <w:vAlign w:val="center"/>
          </w:tcPr>
          <w:p w14:paraId="001ADFBC">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tc>
        <w:tc>
          <w:tcPr>
            <w:tcW w:w="749" w:type="dxa"/>
            <w:noWrap w:val="0"/>
            <w:vAlign w:val="center"/>
          </w:tcPr>
          <w:p w14:paraId="5950C344">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BF1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5BCF76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2710" w:type="dxa"/>
            <w:noWrap w:val="0"/>
            <w:vAlign w:val="center"/>
          </w:tcPr>
          <w:p w14:paraId="3271DDC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质量保证金金额</w:t>
            </w:r>
          </w:p>
        </w:tc>
        <w:tc>
          <w:tcPr>
            <w:tcW w:w="1185" w:type="dxa"/>
            <w:noWrap w:val="0"/>
            <w:vAlign w:val="center"/>
          </w:tcPr>
          <w:p w14:paraId="0C14A00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17.4.1</w:t>
            </w:r>
          </w:p>
        </w:tc>
        <w:tc>
          <w:tcPr>
            <w:tcW w:w="3613" w:type="dxa"/>
            <w:noWrap w:val="0"/>
            <w:vAlign w:val="center"/>
          </w:tcPr>
          <w:p w14:paraId="5151C836">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%合同价格，若交工验收时承包人具备被</w:t>
            </w:r>
            <w:r>
              <w:rPr>
                <w:rFonts w:hint="eastAsia" w:cs="Times New Roman"/>
                <w:color w:val="auto"/>
                <w:szCs w:val="21"/>
                <w:highlight w:val="none"/>
                <w:lang w:val="en-US" w:eastAsia="zh-CN"/>
              </w:rPr>
              <w:t>辽宁省交通运输厅</w:t>
            </w:r>
            <w:r>
              <w:rPr>
                <w:rFonts w:hint="default" w:ascii="Times New Roman" w:hAnsi="Times New Roman" w:cs="Times New Roman"/>
                <w:color w:val="auto"/>
                <w:szCs w:val="21"/>
                <w:highlight w:val="none"/>
              </w:rPr>
              <w:t>评定的最高信用等级，发包人给予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%合同价格质量保证金的优惠</w:t>
            </w:r>
          </w:p>
        </w:tc>
        <w:tc>
          <w:tcPr>
            <w:tcW w:w="749" w:type="dxa"/>
            <w:noWrap w:val="0"/>
            <w:vAlign w:val="center"/>
          </w:tcPr>
          <w:p w14:paraId="271D864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F07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2D703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2710" w:type="dxa"/>
            <w:noWrap w:val="0"/>
            <w:vAlign w:val="center"/>
          </w:tcPr>
          <w:p w14:paraId="3DA73FD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保修期</w:t>
            </w:r>
          </w:p>
        </w:tc>
        <w:tc>
          <w:tcPr>
            <w:tcW w:w="1185" w:type="dxa"/>
            <w:noWrap w:val="0"/>
            <w:vAlign w:val="center"/>
          </w:tcPr>
          <w:p w14:paraId="6A82A807">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19.7（1）</w:t>
            </w:r>
          </w:p>
        </w:tc>
        <w:tc>
          <w:tcPr>
            <w:tcW w:w="3613" w:type="dxa"/>
            <w:noWrap w:val="0"/>
            <w:vAlign w:val="center"/>
          </w:tcPr>
          <w:p w14:paraId="5A8B9415">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1B9A7D24">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0EB6CF7E">
      <w:pPr>
        <w:pageBreakBefore w:val="0"/>
        <w:kinsoku/>
        <w:wordWrap w:val="0"/>
        <w:bidi w:val="0"/>
        <w:snapToGrid w:val="0"/>
        <w:spacing w:line="400" w:lineRule="atLeast"/>
        <w:ind w:firstLine="3240" w:firstLineChars="1350"/>
        <w:rPr>
          <w:rFonts w:hint="default" w:ascii="Times New Roman" w:hAnsi="Times New Roman" w:cs="Times New Roman"/>
          <w:color w:val="auto"/>
          <w:sz w:val="24"/>
          <w:highlight w:val="none"/>
        </w:rPr>
      </w:pPr>
    </w:p>
    <w:p w14:paraId="6B2987B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8D4C829">
      <w:pPr>
        <w:pageBreakBefore w:val="0"/>
        <w:kinsoku/>
        <w:wordWrap w:val="0"/>
        <w:bidi w:val="0"/>
        <w:spacing w:line="440" w:lineRule="exac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价格指数和权重表</w:t>
      </w:r>
    </w:p>
    <w:p w14:paraId="562507EA">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0E7F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1A6572BF">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648" w:type="dxa"/>
            <w:gridSpan w:val="2"/>
            <w:noWrap w:val="0"/>
            <w:vAlign w:val="center"/>
          </w:tcPr>
          <w:p w14:paraId="672879CD">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基本价格指数</w:t>
            </w:r>
          </w:p>
        </w:tc>
        <w:tc>
          <w:tcPr>
            <w:tcW w:w="3544" w:type="dxa"/>
            <w:gridSpan w:val="3"/>
            <w:noWrap w:val="0"/>
            <w:vAlign w:val="center"/>
          </w:tcPr>
          <w:p w14:paraId="707B88A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权       重</w:t>
            </w:r>
          </w:p>
        </w:tc>
        <w:tc>
          <w:tcPr>
            <w:tcW w:w="1970" w:type="dxa"/>
            <w:vMerge w:val="restart"/>
            <w:noWrap w:val="0"/>
            <w:vAlign w:val="center"/>
          </w:tcPr>
          <w:p w14:paraId="73A06992">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价格指数来源</w:t>
            </w:r>
          </w:p>
        </w:tc>
      </w:tr>
      <w:tr w14:paraId="3093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261590E7">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748" w:type="dxa"/>
            <w:noWrap w:val="0"/>
            <w:vAlign w:val="center"/>
          </w:tcPr>
          <w:p w14:paraId="4BF7590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900" w:type="dxa"/>
            <w:noWrap w:val="0"/>
            <w:vAlign w:val="center"/>
          </w:tcPr>
          <w:p w14:paraId="3508F86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指数值</w:t>
            </w:r>
          </w:p>
        </w:tc>
        <w:tc>
          <w:tcPr>
            <w:tcW w:w="648" w:type="dxa"/>
            <w:noWrap w:val="0"/>
            <w:vAlign w:val="center"/>
          </w:tcPr>
          <w:p w14:paraId="609CB2F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1266" w:type="dxa"/>
            <w:noWrap w:val="0"/>
            <w:vAlign w:val="center"/>
          </w:tcPr>
          <w:p w14:paraId="35065E42">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允许范围</w:t>
            </w:r>
          </w:p>
        </w:tc>
        <w:tc>
          <w:tcPr>
            <w:tcW w:w="1630" w:type="dxa"/>
            <w:noWrap w:val="0"/>
            <w:vAlign w:val="center"/>
          </w:tcPr>
          <w:p w14:paraId="5462A200">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投标人建议值</w:t>
            </w:r>
          </w:p>
        </w:tc>
        <w:tc>
          <w:tcPr>
            <w:tcW w:w="1970" w:type="dxa"/>
            <w:vMerge w:val="continue"/>
            <w:noWrap w:val="0"/>
            <w:vAlign w:val="center"/>
          </w:tcPr>
          <w:p w14:paraId="2F0BDAB3">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42F7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298" w:type="dxa"/>
            <w:gridSpan w:val="2"/>
            <w:noWrap w:val="0"/>
            <w:vAlign w:val="center"/>
          </w:tcPr>
          <w:p w14:paraId="693EF74F">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定值部分</w:t>
            </w:r>
          </w:p>
        </w:tc>
        <w:tc>
          <w:tcPr>
            <w:tcW w:w="748" w:type="dxa"/>
            <w:noWrap w:val="0"/>
            <w:vAlign w:val="center"/>
          </w:tcPr>
          <w:p w14:paraId="2E87991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3BA49BB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251FEC0A">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1266" w:type="dxa"/>
            <w:noWrap w:val="0"/>
            <w:vAlign w:val="center"/>
          </w:tcPr>
          <w:p w14:paraId="4FB2F6A4">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630" w:type="dxa"/>
            <w:noWrap w:val="0"/>
            <w:vAlign w:val="center"/>
          </w:tcPr>
          <w:p w14:paraId="624F3E1B">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970" w:type="dxa"/>
            <w:noWrap w:val="0"/>
            <w:vAlign w:val="center"/>
          </w:tcPr>
          <w:p w14:paraId="76A6F010">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7556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1729DB9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变值部分</w:t>
            </w:r>
          </w:p>
        </w:tc>
        <w:tc>
          <w:tcPr>
            <w:tcW w:w="872" w:type="dxa"/>
            <w:noWrap w:val="0"/>
            <w:vAlign w:val="center"/>
          </w:tcPr>
          <w:p w14:paraId="0034097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人工费</w:t>
            </w:r>
          </w:p>
        </w:tc>
        <w:tc>
          <w:tcPr>
            <w:tcW w:w="748" w:type="dxa"/>
            <w:noWrap w:val="0"/>
            <w:vAlign w:val="center"/>
          </w:tcPr>
          <w:p w14:paraId="3D3840E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p>
        </w:tc>
        <w:tc>
          <w:tcPr>
            <w:tcW w:w="900" w:type="dxa"/>
            <w:noWrap w:val="0"/>
            <w:vAlign w:val="center"/>
          </w:tcPr>
          <w:p w14:paraId="4E0B906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7CCE8AF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p>
        </w:tc>
        <w:tc>
          <w:tcPr>
            <w:tcW w:w="1266" w:type="dxa"/>
            <w:noWrap w:val="0"/>
            <w:vAlign w:val="top"/>
          </w:tcPr>
          <w:p w14:paraId="798D362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2E9773F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1EA2526A">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7612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664C4E2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1B073BE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钢材</w:t>
            </w:r>
          </w:p>
        </w:tc>
        <w:tc>
          <w:tcPr>
            <w:tcW w:w="748" w:type="dxa"/>
            <w:noWrap w:val="0"/>
            <w:vAlign w:val="center"/>
          </w:tcPr>
          <w:p w14:paraId="0E76AAA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p>
        </w:tc>
        <w:tc>
          <w:tcPr>
            <w:tcW w:w="900" w:type="dxa"/>
            <w:noWrap w:val="0"/>
            <w:vAlign w:val="center"/>
          </w:tcPr>
          <w:p w14:paraId="3E4D06C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09C66C0A">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p>
        </w:tc>
        <w:tc>
          <w:tcPr>
            <w:tcW w:w="1266" w:type="dxa"/>
            <w:noWrap w:val="0"/>
            <w:vAlign w:val="top"/>
          </w:tcPr>
          <w:p w14:paraId="45F2E77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0D3996D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4CD1586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655C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3DCC0CC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1C32E3C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748" w:type="dxa"/>
            <w:noWrap w:val="0"/>
            <w:vAlign w:val="center"/>
          </w:tcPr>
          <w:p w14:paraId="3E5A084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p>
        </w:tc>
        <w:tc>
          <w:tcPr>
            <w:tcW w:w="900" w:type="dxa"/>
            <w:noWrap w:val="0"/>
            <w:vAlign w:val="center"/>
          </w:tcPr>
          <w:p w14:paraId="12ECA06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155ECBB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p>
        </w:tc>
        <w:tc>
          <w:tcPr>
            <w:tcW w:w="1266" w:type="dxa"/>
            <w:noWrap w:val="0"/>
            <w:vAlign w:val="top"/>
          </w:tcPr>
          <w:p w14:paraId="3A860BE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3EB8310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2080B1EA">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4EDC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63BA559F">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2205F0D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8" w:type="dxa"/>
            <w:noWrap w:val="0"/>
            <w:vAlign w:val="center"/>
          </w:tcPr>
          <w:p w14:paraId="33B91FB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00" w:type="dxa"/>
            <w:noWrap w:val="0"/>
            <w:vAlign w:val="center"/>
          </w:tcPr>
          <w:p w14:paraId="2F71950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8B6D4D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6" w:type="dxa"/>
            <w:noWrap w:val="0"/>
            <w:vAlign w:val="top"/>
          </w:tcPr>
          <w:p w14:paraId="3E6627D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0" w:type="dxa"/>
            <w:noWrap w:val="0"/>
            <w:vAlign w:val="top"/>
          </w:tcPr>
          <w:p w14:paraId="0F1A42D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1D88F89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39E9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01825D1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20A1A32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748" w:type="dxa"/>
            <w:noWrap w:val="0"/>
            <w:vAlign w:val="center"/>
          </w:tcPr>
          <w:p w14:paraId="27D38DA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128C8AC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0B77863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266" w:type="dxa"/>
            <w:noWrap w:val="0"/>
            <w:vAlign w:val="top"/>
          </w:tcPr>
          <w:p w14:paraId="4854F39E">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630" w:type="dxa"/>
            <w:noWrap w:val="0"/>
            <w:vAlign w:val="top"/>
          </w:tcPr>
          <w:p w14:paraId="4E09D05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6BEC077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F36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00864664">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        计</w:t>
            </w:r>
          </w:p>
        </w:tc>
        <w:tc>
          <w:tcPr>
            <w:tcW w:w="1630" w:type="dxa"/>
            <w:noWrap w:val="0"/>
            <w:vAlign w:val="center"/>
          </w:tcPr>
          <w:p w14:paraId="1AFABB01">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970" w:type="dxa"/>
            <w:noWrap w:val="0"/>
            <w:vAlign w:val="top"/>
          </w:tcPr>
          <w:p w14:paraId="31A874F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bl>
    <w:p w14:paraId="630A3C13">
      <w:pPr>
        <w:pageBreakBefore w:val="0"/>
        <w:kinsoku/>
        <w:wordWrap w:val="0"/>
        <w:bidi w:val="0"/>
        <w:spacing w:line="440" w:lineRule="exact"/>
        <w:rPr>
          <w:rFonts w:hint="default" w:ascii="Times New Roman" w:hAnsi="Times New Roman" w:eastAsia="黑体" w:cs="Times New Roman"/>
          <w:color w:val="auto"/>
          <w:sz w:val="24"/>
          <w:highlight w:val="none"/>
        </w:rPr>
      </w:pPr>
    </w:p>
    <w:p w14:paraId="0A385D5D">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656C0FCD">
      <w:pPr>
        <w:rPr>
          <w:rFonts w:hint="default" w:ascii="Times New Roman" w:hAnsi="Times New Roman" w:cs="Times New Roman"/>
          <w:color w:val="auto"/>
          <w:highlight w:val="none"/>
        </w:rPr>
      </w:pPr>
      <w:bookmarkStart w:id="1916" w:name="_Toc234833261"/>
    </w:p>
    <w:p w14:paraId="76A3F366">
      <w:pPr>
        <w:rPr>
          <w:rFonts w:hint="default" w:ascii="Times New Roman" w:hAnsi="Times New Roman" w:cs="Times New Roman"/>
          <w:color w:val="auto"/>
          <w:highlight w:val="none"/>
        </w:rPr>
      </w:pPr>
    </w:p>
    <w:p w14:paraId="5649CAD5">
      <w:pPr>
        <w:rPr>
          <w:rFonts w:hint="default" w:ascii="Times New Roman" w:hAnsi="Times New Roman" w:cs="Times New Roman"/>
          <w:color w:val="auto"/>
          <w:highlight w:val="none"/>
        </w:rPr>
      </w:pPr>
    </w:p>
    <w:p w14:paraId="03B4C84B">
      <w:pPr>
        <w:rPr>
          <w:rFonts w:hint="default" w:ascii="Times New Roman" w:hAnsi="Times New Roman" w:cs="Times New Roman"/>
          <w:color w:val="auto"/>
          <w:highlight w:val="none"/>
        </w:rPr>
      </w:pPr>
    </w:p>
    <w:p w14:paraId="5ACB3234">
      <w:pPr>
        <w:rPr>
          <w:rFonts w:hint="default" w:ascii="Times New Roman" w:hAnsi="Times New Roman" w:cs="Times New Roman"/>
          <w:color w:val="auto"/>
          <w:highlight w:val="none"/>
        </w:rPr>
      </w:pPr>
    </w:p>
    <w:p w14:paraId="6C222FA9">
      <w:pPr>
        <w:rPr>
          <w:rFonts w:hint="default" w:ascii="Times New Roman" w:hAnsi="Times New Roman" w:cs="Times New Roman"/>
          <w:color w:val="auto"/>
          <w:highlight w:val="none"/>
        </w:rPr>
      </w:pPr>
    </w:p>
    <w:p w14:paraId="4EDD8156">
      <w:pPr>
        <w:rPr>
          <w:rFonts w:hint="default" w:ascii="Times New Roman" w:hAnsi="Times New Roman" w:cs="Times New Roman"/>
          <w:color w:val="auto"/>
          <w:highlight w:val="none"/>
        </w:rPr>
      </w:pPr>
    </w:p>
    <w:p w14:paraId="7A1F6AF5">
      <w:pPr>
        <w:rPr>
          <w:rFonts w:hint="default" w:ascii="Times New Roman" w:hAnsi="Times New Roman" w:cs="Times New Roman"/>
          <w:color w:val="auto"/>
          <w:highlight w:val="none"/>
        </w:rPr>
      </w:pPr>
    </w:p>
    <w:p w14:paraId="4C9CA98E">
      <w:pPr>
        <w:rPr>
          <w:rFonts w:hint="default" w:ascii="Times New Roman" w:hAnsi="Times New Roman" w:cs="Times New Roman"/>
          <w:color w:val="auto"/>
          <w:highlight w:val="none"/>
        </w:rPr>
      </w:pPr>
    </w:p>
    <w:p w14:paraId="33236E8B">
      <w:pPr>
        <w:rPr>
          <w:rFonts w:hint="default" w:ascii="Times New Roman" w:hAnsi="Times New Roman" w:cs="Times New Roman"/>
          <w:color w:val="auto"/>
          <w:highlight w:val="none"/>
        </w:rPr>
      </w:pPr>
    </w:p>
    <w:p w14:paraId="1B000303">
      <w:pPr>
        <w:rPr>
          <w:rFonts w:hint="default" w:ascii="Times New Roman" w:hAnsi="Times New Roman" w:cs="Times New Roman"/>
          <w:color w:val="auto"/>
          <w:highlight w:val="none"/>
        </w:rPr>
      </w:pPr>
    </w:p>
    <w:p w14:paraId="2ED94A4E">
      <w:pPr>
        <w:jc w:val="center"/>
        <w:rPr>
          <w:rFonts w:hint="default" w:ascii="Times New Roman" w:hAnsi="Times New Roman" w:cs="Times New Roman"/>
          <w:color w:val="auto"/>
          <w:highlight w:val="none"/>
        </w:rPr>
      </w:pPr>
    </w:p>
    <w:p w14:paraId="2D3EF7D0">
      <w:pPr>
        <w:pStyle w:val="3"/>
        <w:numPr>
          <w:ilvl w:val="0"/>
          <w:numId w:val="0"/>
        </w:numPr>
        <w:spacing w:before="0" w:after="0" w:line="400" w:lineRule="atLeast"/>
        <w:ind w:left="180" w:firstLine="280" w:firstLineChars="100"/>
        <w:jc w:val="center"/>
        <w:rPr>
          <w:rFonts w:hint="default" w:ascii="Times New Roman" w:hAnsi="Times New Roman" w:cs="Times New Roman"/>
          <w:bCs w:val="0"/>
          <w:i w:val="0"/>
          <w:iCs w:val="0"/>
          <w:color w:val="auto"/>
          <w:kern w:val="0"/>
          <w:sz w:val="28"/>
          <w:highlight w:val="none"/>
        </w:rPr>
      </w:pPr>
      <w:bookmarkStart w:id="1917" w:name="_Toc458576166"/>
      <w:bookmarkStart w:id="1918" w:name="_Toc26154"/>
      <w:bookmarkStart w:id="1919" w:name="_Toc14724"/>
      <w:bookmarkStart w:id="1920" w:name="_Toc500352763"/>
      <w:bookmarkStart w:id="1921" w:name="_Toc5786"/>
      <w:bookmarkStart w:id="1922" w:name="_Toc112032692"/>
      <w:bookmarkStart w:id="1923" w:name="_Toc10083"/>
      <w:bookmarkStart w:id="1924" w:name="_Toc438571660"/>
      <w:bookmarkStart w:id="1925" w:name="_Toc12173"/>
      <w:bookmarkStart w:id="1926" w:name="_Toc137074942"/>
      <w:r>
        <w:rPr>
          <w:rFonts w:hint="default" w:ascii="Times New Roman" w:hAnsi="Times New Roman" w:cs="Times New Roman"/>
          <w:bCs w:val="0"/>
          <w:i w:val="0"/>
          <w:iCs w:val="0"/>
          <w:color w:val="auto"/>
          <w:kern w:val="0"/>
          <w:sz w:val="28"/>
          <w:highlight w:val="none"/>
        </w:rPr>
        <w:t>二、授权委托书或法定代表人身份证明</w:t>
      </w:r>
      <w:bookmarkEnd w:id="1917"/>
      <w:bookmarkEnd w:id="1918"/>
      <w:bookmarkEnd w:id="1919"/>
      <w:bookmarkEnd w:id="1920"/>
      <w:bookmarkEnd w:id="1921"/>
      <w:bookmarkEnd w:id="1922"/>
      <w:bookmarkEnd w:id="1923"/>
      <w:bookmarkEnd w:id="1924"/>
      <w:bookmarkEnd w:id="1925"/>
      <w:bookmarkEnd w:id="1926"/>
    </w:p>
    <w:p w14:paraId="328F88D6">
      <w:pPr>
        <w:rPr>
          <w:rFonts w:hint="default" w:ascii="Times New Roman" w:hAnsi="Times New Roman" w:eastAsia="黑体" w:cs="Times New Roman"/>
          <w:color w:val="auto"/>
          <w:szCs w:val="21"/>
          <w:highlight w:val="none"/>
        </w:rPr>
      </w:pPr>
    </w:p>
    <w:p w14:paraId="3C15CEF2">
      <w:pPr>
        <w:rPr>
          <w:rFonts w:hint="default" w:ascii="Times New Roman" w:hAnsi="Times New Roman" w:eastAsia="黑体" w:cs="Times New Roman"/>
          <w:color w:val="auto"/>
          <w:szCs w:val="21"/>
          <w:highlight w:val="none"/>
        </w:rPr>
      </w:pPr>
    </w:p>
    <w:p w14:paraId="62D2E4B1">
      <w:pPr>
        <w:spacing w:line="360" w:lineRule="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注：</w:t>
      </w:r>
      <w:r>
        <w:rPr>
          <w:rFonts w:hint="default" w:ascii="Times New Roman" w:hAnsi="Times New Roman" w:cs="Times New Roman"/>
          <w:color w:val="auto"/>
          <w:sz w:val="24"/>
          <w:highlight w:val="none"/>
        </w:rPr>
        <w:t>①</w:t>
      </w:r>
      <w:r>
        <w:rPr>
          <w:rFonts w:hint="default" w:ascii="Times New Roman" w:hAnsi="Times New Roman" w:eastAsia="黑体" w:cs="Times New Roman"/>
          <w:color w:val="auto"/>
          <w:sz w:val="24"/>
          <w:highlight w:val="none"/>
        </w:rPr>
        <w:t>如果由投标人的委托代理人签署投标文件，则只须按要求提供《授权委托书》；</w:t>
      </w:r>
    </w:p>
    <w:p w14:paraId="4942B4FC">
      <w:pPr>
        <w:spacing w:line="360" w:lineRule="auto"/>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eastAsia="黑体" w:cs="Times New Roman"/>
          <w:color w:val="auto"/>
          <w:sz w:val="24"/>
          <w:highlight w:val="none"/>
        </w:rPr>
        <w:t>如果由投标人的法定代表人签署投标文件，则只须按要求提供《法定代表人身份证明》。</w:t>
      </w:r>
    </w:p>
    <w:p w14:paraId="12CC7CC0">
      <w:pPr>
        <w:spacing w:line="360" w:lineRule="auto"/>
        <w:ind w:firstLine="480" w:firstLineChars="200"/>
        <w:rPr>
          <w:rFonts w:hint="default" w:ascii="Times New Roman" w:hAnsi="Times New Roman" w:eastAsia="黑体" w:cs="Times New Roman"/>
          <w:color w:val="auto"/>
          <w:sz w:val="24"/>
          <w:highlight w:val="none"/>
        </w:rPr>
      </w:pPr>
    </w:p>
    <w:p w14:paraId="754DB707">
      <w:pPr>
        <w:keepNext/>
        <w:keepLines/>
        <w:widowControl/>
        <w:tabs>
          <w:tab w:val="left" w:pos="1440"/>
        </w:tabs>
        <w:wordWrap w:val="0"/>
        <w:topLinePunct/>
        <w:spacing w:line="440" w:lineRule="exact"/>
        <w:jc w:val="center"/>
        <w:outlineLvl w:val="2"/>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927" w:name="_Toc1277"/>
      <w:bookmarkStart w:id="1928" w:name="_Toc500352764"/>
      <w:bookmarkStart w:id="1929" w:name="_Toc495663699"/>
      <w:bookmarkStart w:id="1930" w:name="_Toc483640988"/>
      <w:r>
        <w:rPr>
          <w:rFonts w:hint="default" w:ascii="Times New Roman" w:hAnsi="Times New Roman" w:eastAsia="黑体" w:cs="Times New Roman"/>
          <w:bCs/>
          <w:color w:val="auto"/>
          <w:kern w:val="0"/>
          <w:sz w:val="24"/>
          <w:highlight w:val="none"/>
        </w:rPr>
        <w:t>（一）授权委托书</w:t>
      </w:r>
      <w:bookmarkEnd w:id="1927"/>
    </w:p>
    <w:p w14:paraId="2B9E4D3D">
      <w:pPr>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（投标人名称）的法定代表人，现委托</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（姓名）为我方代理人。代理人根据授权，以我方名义签署、澄清确认、递交、撤回、修改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施工投标文件、签订合同和处理有关事宜，其法律后果由我方承担。</w:t>
      </w:r>
    </w:p>
    <w:p w14:paraId="114961FD">
      <w:pPr>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委托期限：自本委托书签署之日起至投标有效期期满。</w:t>
      </w:r>
    </w:p>
    <w:p w14:paraId="6828F14C">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代理人无转委托权。</w:t>
      </w:r>
    </w:p>
    <w:p w14:paraId="29290C7F">
      <w:pPr>
        <w:wordWrap w:val="0"/>
        <w:topLinePunct/>
        <w:spacing w:line="440" w:lineRule="exact"/>
        <w:ind w:firstLine="480" w:firstLineChars="200"/>
        <w:rPr>
          <w:rFonts w:hint="default" w:ascii="Times New Roman" w:hAnsi="Times New Roman" w:cs="Times New Roman"/>
          <w:color w:val="auto"/>
          <w:sz w:val="24"/>
          <w:highlight w:val="none"/>
        </w:rPr>
      </w:pPr>
    </w:p>
    <w:p w14:paraId="51C3DE0C">
      <w:pP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r>
        <w:rPr>
          <w:rFonts w:hint="default" w:ascii="Times New Roman" w:hAnsi="Times New Roman" w:eastAsia="黑体" w:cs="Times New Roman"/>
          <w:color w:val="auto"/>
          <w:sz w:val="24"/>
          <w:highlight w:val="none"/>
        </w:rPr>
        <w:t xml:space="preserve">       委托代理人身份证</w:t>
      </w:r>
      <w:r>
        <w:rPr>
          <w:rFonts w:hint="eastAsia" w:eastAsia="黑体" w:cs="Times New Roman"/>
          <w:color w:val="auto"/>
          <w:sz w:val="24"/>
          <w:highlight w:val="none"/>
          <w:lang w:val="en-US" w:eastAsia="zh-CN"/>
        </w:rPr>
        <w:t>原件扫描件</w:t>
      </w: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27A8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42AF98B3">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c>
          <w:tcPr>
            <w:tcW w:w="4644" w:type="dxa"/>
            <w:vAlign w:val="center"/>
          </w:tcPr>
          <w:p w14:paraId="1F671B5C">
            <w:pPr>
              <w:topLinePun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r>
      <w:tr w14:paraId="6D15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1A1CD8A9">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c>
          <w:tcPr>
            <w:tcW w:w="4644" w:type="dxa"/>
            <w:vAlign w:val="center"/>
          </w:tcPr>
          <w:p w14:paraId="741EC4B8">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r>
    </w:tbl>
    <w:p w14:paraId="0052AAB6">
      <w:pPr>
        <w:wordWrap w:val="0"/>
        <w:topLinePunct/>
        <w:spacing w:line="440" w:lineRule="exact"/>
        <w:rPr>
          <w:rFonts w:hint="default" w:ascii="Times New Roman" w:hAnsi="Times New Roman" w:cs="Times New Roman"/>
          <w:color w:val="auto"/>
          <w:sz w:val="24"/>
          <w:highlight w:val="none"/>
        </w:rPr>
      </w:pPr>
    </w:p>
    <w:p w14:paraId="68CC178E">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w:t>
      </w:r>
      <w:r>
        <w:rPr>
          <w:rFonts w:hint="default" w:ascii="Times New Roman" w:hAnsi="Times New Roman" w:cs="Times New Roman"/>
          <w:color w:val="auto"/>
          <w:sz w:val="24"/>
          <w:highlight w:val="none"/>
          <w:lang w:val="en-US" w:eastAsia="zh-CN"/>
        </w:rPr>
        <w:t>盖单位电子印章</w:t>
      </w:r>
      <w:r>
        <w:rPr>
          <w:rFonts w:hint="default" w:ascii="Times New Roman" w:hAnsi="Times New Roman" w:cs="Times New Roman"/>
          <w:color w:val="auto"/>
          <w:sz w:val="24"/>
          <w:highlight w:val="none"/>
        </w:rPr>
        <w:t>）</w:t>
      </w:r>
    </w:p>
    <w:p w14:paraId="16912EDA">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650460F0">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5736F438">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p>
    <w:p w14:paraId="1699371A">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4EA54B76">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32876827">
      <w:pPr>
        <w:wordWrap w:val="0"/>
        <w:topLinePunct/>
        <w:spacing w:line="400" w:lineRule="atLeast"/>
        <w:ind w:left="418" w:leftChars="199" w:firstLine="3720" w:firstLineChars="155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w:t>
      </w:r>
    </w:p>
    <w:p w14:paraId="53FF8CD3">
      <w:pPr>
        <w:wordWrap w:val="0"/>
        <w:topLinePunct/>
        <w:spacing w:line="400" w:lineRule="atLeast"/>
        <w:ind w:firstLine="420" w:firstLineChars="200"/>
        <w:rPr>
          <w:rFonts w:hint="default" w:ascii="Times New Roman" w:hAnsi="Times New Roman" w:eastAsia="黑体" w:cs="Times New Roman"/>
          <w:color w:val="auto"/>
          <w:szCs w:val="21"/>
          <w:highlight w:val="none"/>
        </w:rPr>
      </w:pPr>
    </w:p>
    <w:p w14:paraId="3F65ADAE">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以联合体形式投标的，本授权委托书应由联合体牵头人的法定代表人按上述规定签署。</w:t>
      </w:r>
    </w:p>
    <w:p w14:paraId="0D57DD77">
      <w:pPr>
        <w:spacing w:line="360" w:lineRule="auto"/>
        <w:ind w:firstLine="3360"/>
        <w:jc w:val="right"/>
        <w:rPr>
          <w:rFonts w:hint="default" w:ascii="Times New Roman" w:hAnsi="Times New Roman" w:eastAsia="仿宋_GB2312" w:cs="Times New Roman"/>
          <w:color w:val="auto"/>
          <w:sz w:val="32"/>
          <w:szCs w:val="32"/>
          <w:highlight w:val="none"/>
        </w:rPr>
      </w:pPr>
    </w:p>
    <w:p w14:paraId="2782F2AA">
      <w:pPr>
        <w:keepNext/>
        <w:keepLines/>
        <w:widowControl/>
        <w:tabs>
          <w:tab w:val="left" w:pos="1440"/>
        </w:tabs>
        <w:wordWrap w:val="0"/>
        <w:topLinePunct/>
        <w:spacing w:line="440" w:lineRule="exact"/>
        <w:jc w:val="center"/>
        <w:outlineLvl w:val="2"/>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931" w:name="_Toc5869"/>
      <w:r>
        <w:rPr>
          <w:rFonts w:hint="default" w:ascii="Times New Roman" w:hAnsi="Times New Roman" w:eastAsia="黑体" w:cs="Times New Roman"/>
          <w:bCs/>
          <w:color w:val="auto"/>
          <w:kern w:val="0"/>
          <w:sz w:val="24"/>
          <w:highlight w:val="none"/>
        </w:rPr>
        <w:t>（二）法定代表人身份证明</w:t>
      </w:r>
      <w:bookmarkEnd w:id="1928"/>
      <w:bookmarkEnd w:id="1929"/>
      <w:bookmarkEnd w:id="1930"/>
      <w:bookmarkEnd w:id="1931"/>
    </w:p>
    <w:p w14:paraId="53482FBA">
      <w:pPr>
        <w:rPr>
          <w:rFonts w:hint="default" w:ascii="Times New Roman" w:hAnsi="Times New Roman" w:cs="Times New Roman"/>
          <w:color w:val="auto"/>
          <w:highlight w:val="none"/>
        </w:rPr>
      </w:pPr>
    </w:p>
    <w:p w14:paraId="7F181884">
      <w:pPr>
        <w:rPr>
          <w:rFonts w:hint="default" w:ascii="Times New Roman" w:hAnsi="Times New Roman" w:cs="Times New Roman"/>
          <w:color w:val="auto"/>
          <w:highlight w:val="none"/>
        </w:rPr>
      </w:pPr>
    </w:p>
    <w:p w14:paraId="3E19E016">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32810483">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姓名：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bCs/>
          <w:color w:val="auto"/>
          <w:sz w:val="24"/>
          <w:highlight w:val="none"/>
          <w:u w:val="single"/>
        </w:rPr>
        <w:t>（法定代表人个人</w:t>
      </w:r>
      <w:r>
        <w:rPr>
          <w:rFonts w:hint="eastAsia" w:cs="Times New Roman"/>
          <w:bCs/>
          <w:color w:val="auto"/>
          <w:sz w:val="24"/>
          <w:highlight w:val="none"/>
          <w:u w:val="single"/>
          <w:lang w:eastAsia="zh-CN"/>
        </w:rPr>
        <w:t>电子签名</w:t>
      </w:r>
      <w:r>
        <w:rPr>
          <w:rFonts w:hint="default" w:ascii="Times New Roman" w:hAnsi="Times New Roman" w:cs="Times New Roman"/>
          <w:bCs/>
          <w:color w:val="auto"/>
          <w:sz w:val="24"/>
          <w:highlight w:val="none"/>
          <w:u w:val="single"/>
        </w:rPr>
        <w:t>或个人电子印章）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性别：</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职务：</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（投标人名称）的法定代表人。</w:t>
      </w:r>
    </w:p>
    <w:p w14:paraId="76FFE5C2">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特此证明。</w:t>
      </w:r>
    </w:p>
    <w:p w14:paraId="5F41F334">
      <w:pPr>
        <w:wordWrap w:val="0"/>
        <w:topLinePunct/>
        <w:spacing w:line="440" w:lineRule="exact"/>
        <w:rPr>
          <w:rFonts w:hint="default" w:ascii="Times New Roman" w:hAnsi="Times New Roman" w:cs="Times New Roman"/>
          <w:color w:val="auto"/>
          <w:sz w:val="24"/>
          <w:highlight w:val="none"/>
        </w:rPr>
      </w:pPr>
    </w:p>
    <w:p w14:paraId="27613499">
      <w:pPr>
        <w:topLinePunct/>
        <w:spacing w:line="440" w:lineRule="exact"/>
        <w:jc w:val="center"/>
        <w:outlineLvl w:val="9"/>
        <w:rPr>
          <w:rFonts w:hint="default" w:ascii="Times New Roman" w:hAnsi="Times New Roman" w:eastAsia="黑体" w:cs="Times New Roman"/>
          <w:color w:val="auto"/>
          <w:sz w:val="24"/>
          <w:highlight w:val="none"/>
          <w:lang w:val="en-US" w:eastAsia="zh-CN"/>
        </w:rPr>
      </w:pPr>
      <w:bookmarkStart w:id="1932" w:name="_Toc15500"/>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bookmarkEnd w:id="1932"/>
    </w:p>
    <w:p w14:paraId="63CF87DC">
      <w:pPr>
        <w:ind w:firstLine="420"/>
        <w:rPr>
          <w:rFonts w:hint="default" w:ascii="Times New Roman" w:hAnsi="Times New Roman" w:cs="Times New Roman"/>
          <w:color w:val="auto"/>
          <w:highlight w:val="none"/>
        </w:rPr>
      </w:pP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78FC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6F9B6BB4">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国徽面</w:t>
            </w:r>
            <w:r>
              <w:rPr>
                <w:rFonts w:hint="default" w:ascii="Times New Roman" w:hAnsi="Times New Roman" w:cs="Times New Roman"/>
                <w:color w:val="auto"/>
                <w:sz w:val="24"/>
                <w:highlight w:val="none"/>
              </w:rPr>
              <w:t>）</w:t>
            </w:r>
          </w:p>
        </w:tc>
        <w:tc>
          <w:tcPr>
            <w:tcW w:w="4644" w:type="dxa"/>
            <w:vAlign w:val="center"/>
          </w:tcPr>
          <w:p w14:paraId="20290B8F">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人像面</w:t>
            </w:r>
            <w:r>
              <w:rPr>
                <w:rFonts w:hint="default" w:ascii="Times New Roman" w:hAnsi="Times New Roman" w:cs="Times New Roman"/>
                <w:color w:val="auto"/>
                <w:sz w:val="24"/>
                <w:highlight w:val="none"/>
              </w:rPr>
              <w:t>）</w:t>
            </w:r>
          </w:p>
        </w:tc>
      </w:tr>
    </w:tbl>
    <w:p w14:paraId="2E6B8AA0">
      <w:pPr>
        <w:wordWrap w:val="0"/>
        <w:topLinePunct/>
        <w:spacing w:line="440" w:lineRule="exact"/>
        <w:rPr>
          <w:rFonts w:hint="default" w:ascii="Times New Roman" w:hAnsi="Times New Roman" w:cs="Times New Roman"/>
          <w:color w:val="auto"/>
          <w:sz w:val="24"/>
          <w:highlight w:val="none"/>
        </w:rPr>
      </w:pPr>
    </w:p>
    <w:p w14:paraId="1A23D6F9">
      <w:pPr>
        <w:wordWrap w:val="0"/>
        <w:topLinePunct/>
        <w:spacing w:line="440" w:lineRule="exact"/>
        <w:rPr>
          <w:rFonts w:hint="default" w:ascii="Times New Roman" w:hAnsi="Times New Roman" w:cs="Times New Roman"/>
          <w:color w:val="auto"/>
          <w:sz w:val="24"/>
          <w:highlight w:val="none"/>
        </w:rPr>
      </w:pPr>
    </w:p>
    <w:p w14:paraId="05E1CC5E">
      <w:pPr>
        <w:wordWrap w:val="0"/>
        <w:topLinePunct/>
        <w:spacing w:line="440" w:lineRule="exact"/>
        <w:rPr>
          <w:rFonts w:hint="default" w:ascii="Times New Roman" w:hAnsi="Times New Roman" w:cs="Times New Roman"/>
          <w:color w:val="auto"/>
          <w:sz w:val="24"/>
          <w:highlight w:val="none"/>
        </w:rPr>
      </w:pPr>
    </w:p>
    <w:p w14:paraId="3DE91E1C">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23EA7D7F">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20153CC4">
      <w:pPr>
        <w:wordWrap w:val="0"/>
        <w:topLinePunct/>
        <w:spacing w:line="440" w:lineRule="exact"/>
        <w:rPr>
          <w:rFonts w:hint="default" w:ascii="Times New Roman" w:hAnsi="Times New Roman" w:eastAsia="黑体" w:cs="Times New Roman"/>
          <w:color w:val="auto"/>
          <w:sz w:val="24"/>
          <w:highlight w:val="none"/>
        </w:rPr>
      </w:pPr>
    </w:p>
    <w:p w14:paraId="19A2D01B">
      <w:pPr>
        <w:wordWrap w:val="0"/>
        <w:topLinePunct/>
        <w:spacing w:line="440" w:lineRule="exact"/>
        <w:rPr>
          <w:rFonts w:hint="default" w:ascii="Times New Roman" w:hAnsi="Times New Roman" w:eastAsia="黑体" w:cs="Times New Roman"/>
          <w:color w:val="auto"/>
          <w:sz w:val="24"/>
          <w:highlight w:val="none"/>
        </w:rPr>
      </w:pPr>
    </w:p>
    <w:p w14:paraId="15D79489">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以联合体形式投标的，本法定代表人身份证明应由联合体牵头人的法定代表人按上述规定签署。</w:t>
      </w:r>
    </w:p>
    <w:p w14:paraId="30413A66">
      <w:pPr>
        <w:pStyle w:val="2"/>
        <w:pageBreakBefore w:val="0"/>
        <w:kinsoku/>
        <w:wordWrap w:val="0"/>
        <w:overflowPunct/>
        <w:bidi w:val="0"/>
        <w:spacing w:beforeLines="150" w:afterLines="100" w:line="380" w:lineRule="atLeast"/>
        <w:jc w:val="center"/>
        <w:outlineLvl w:val="9"/>
        <w:rPr>
          <w:rFonts w:hint="default" w:ascii="Times New Roman" w:hAnsi="Times New Roman" w:eastAsia="黑体" w:cs="Times New Roman"/>
          <w:color w:val="auto"/>
          <w:sz w:val="28"/>
          <w:szCs w:val="28"/>
          <w:highlight w:val="none"/>
        </w:rPr>
        <w:sectPr>
          <w:headerReference r:id="rId43" w:type="even"/>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1349B647">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color w:val="auto"/>
          <w:sz w:val="28"/>
          <w:szCs w:val="28"/>
          <w:highlight w:val="none"/>
        </w:rPr>
      </w:pPr>
      <w:bookmarkStart w:id="1933" w:name="_Toc12038"/>
      <w:bookmarkStart w:id="1934" w:name="_Toc29148"/>
      <w:bookmarkStart w:id="1935" w:name="_Toc21278"/>
      <w:r>
        <w:rPr>
          <w:rFonts w:hint="default" w:ascii="Times New Roman" w:hAnsi="Times New Roman" w:eastAsia="黑体" w:cs="Times New Roman"/>
          <w:color w:val="auto"/>
          <w:sz w:val="28"/>
          <w:szCs w:val="28"/>
          <w:highlight w:val="none"/>
        </w:rPr>
        <w:t>三、</w:t>
      </w:r>
      <w:r>
        <w:rPr>
          <w:rFonts w:hint="default" w:ascii="Times New Roman" w:hAnsi="Times New Roman" w:eastAsia="黑体" w:cs="Times New Roman"/>
          <w:b w:val="0"/>
          <w:color w:val="auto"/>
          <w:sz w:val="28"/>
          <w:szCs w:val="28"/>
          <w:highlight w:val="none"/>
        </w:rPr>
        <w:t>联合体协议书</w:t>
      </w:r>
      <w:r>
        <w:rPr>
          <w:rStyle w:val="47"/>
          <w:rFonts w:hint="default" w:ascii="Times New Roman" w:hAnsi="Times New Roman" w:eastAsia="黑体" w:cs="Times New Roman"/>
          <w:color w:val="auto"/>
          <w:sz w:val="28"/>
          <w:szCs w:val="28"/>
          <w:highlight w:val="none"/>
        </w:rPr>
        <w:footnoteReference w:id="50"/>
      </w:r>
      <w:bookmarkEnd w:id="1916"/>
      <w:bookmarkEnd w:id="1933"/>
      <w:bookmarkEnd w:id="1934"/>
      <w:bookmarkEnd w:id="1935"/>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lang w:val="en-US" w:eastAsia="zh-CN"/>
        </w:rPr>
        <w:t>本项目不适用</w:t>
      </w:r>
      <w:r>
        <w:rPr>
          <w:rFonts w:hint="eastAsia" w:ascii="仿宋" w:hAnsi="仿宋" w:eastAsia="仿宋" w:cs="仿宋"/>
          <w:spacing w:val="-1"/>
          <w:sz w:val="24"/>
          <w:szCs w:val="24"/>
          <w:highlight w:val="none"/>
          <w:lang w:eastAsia="zh-CN"/>
        </w:rPr>
        <w:t>）</w:t>
      </w:r>
    </w:p>
    <w:p w14:paraId="7ACB6EFB">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p w14:paraId="46C01E8C">
      <w:pPr>
        <w:pageBreakBefore w:val="0"/>
        <w:kinsoku/>
        <w:wordWrap w:val="0"/>
        <w:bidi w:val="0"/>
        <w:spacing w:line="400" w:lineRule="atLeast"/>
        <w:ind w:firstLine="36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u w:val="single"/>
        </w:rPr>
        <w:t xml:space="preserve">                </w:t>
      </w:r>
      <w:r>
        <w:rPr>
          <w:rFonts w:hint="default" w:ascii="Times New Roman" w:hAnsi="Times New Roman" w:eastAsia="黑体" w:cs="Times New Roman"/>
          <w:color w:val="auto"/>
          <w:sz w:val="24"/>
          <w:highlight w:val="none"/>
        </w:rPr>
        <w:t>（</w:t>
      </w:r>
      <w:r>
        <w:rPr>
          <w:rFonts w:hint="default" w:ascii="Times New Roman" w:hAnsi="Times New Roman" w:cs="Times New Roman"/>
          <w:color w:val="auto"/>
          <w:sz w:val="24"/>
          <w:highlight w:val="none"/>
        </w:rPr>
        <w:t>所有成员单位名称）自愿组成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（联合体名称）联合体，共同参加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标段</w:t>
      </w:r>
      <w:r>
        <w:rPr>
          <w:rFonts w:hint="default" w:ascii="Times New Roman" w:hAnsi="Times New Roman" w:cs="Times New Roman"/>
          <w:color w:val="auto"/>
          <w:sz w:val="24"/>
          <w:highlight w:val="none"/>
        </w:rPr>
        <w:t>名称）施工投标。现就联合体投标事宜订立如下协议。</w:t>
      </w:r>
    </w:p>
    <w:p w14:paraId="51E9AD0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（某成员单位名称）为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（联合体名称）牵头人。</w:t>
      </w:r>
    </w:p>
    <w:p w14:paraId="750D433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2.联合体各成员授权牵头人代表联合体参加投标活动，签署文件，提交和接收相</w:t>
      </w:r>
      <w:bookmarkStart w:id="1936" w:name="_Toc384308378"/>
      <w:bookmarkStart w:id="1937" w:name="_Toc247527830"/>
      <w:bookmarkStart w:id="1938" w:name="_Toc247514249"/>
      <w:bookmarkStart w:id="1939" w:name="_Toc152042579"/>
      <w:bookmarkStart w:id="1940" w:name="_Toc300835212"/>
      <w:bookmarkStart w:id="1941" w:name="_Toc361508755"/>
      <w:bookmarkStart w:id="1942" w:name="_Toc152045790"/>
      <w:bookmarkStart w:id="1943" w:name="_Toc144974859"/>
      <w:r>
        <w:rPr>
          <w:rFonts w:hint="default" w:ascii="Times New Roman" w:hAnsi="Times New Roman" w:cs="Times New Roman"/>
          <w:color w:val="auto"/>
          <w:sz w:val="24"/>
          <w:highlight w:val="none"/>
        </w:rPr>
        <w:t>关的</w:t>
      </w:r>
      <w:bookmarkStart w:id="1944" w:name="_Toc352691664"/>
      <w:bookmarkStart w:id="1945" w:name="_Toc369531700"/>
      <w:bookmarkStart w:id="1946" w:name="_Toc7749"/>
      <w:r>
        <w:rPr>
          <w:rFonts w:hint="default" w:ascii="Times New Roman" w:hAnsi="Times New Roman" w:cs="Times New Roman"/>
          <w:color w:val="auto"/>
          <w:sz w:val="24"/>
          <w:highlight w:val="none"/>
        </w:rPr>
        <w:t>资料、信息及</w:t>
      </w:r>
      <w:bookmarkEnd w:id="1944"/>
      <w:bookmarkEnd w:id="1945"/>
      <w:bookmarkEnd w:id="1946"/>
      <w:r>
        <w:rPr>
          <w:rFonts w:hint="default" w:ascii="Times New Roman" w:hAnsi="Times New Roman" w:cs="Times New Roman"/>
          <w:color w:val="auto"/>
          <w:sz w:val="24"/>
          <w:highlight w:val="none"/>
        </w:rPr>
        <w:t>指</w:t>
      </w:r>
      <w:bookmarkEnd w:id="1936"/>
      <w:bookmarkEnd w:id="1937"/>
      <w:bookmarkEnd w:id="1938"/>
      <w:bookmarkEnd w:id="1939"/>
      <w:bookmarkEnd w:id="1940"/>
      <w:bookmarkEnd w:id="1941"/>
      <w:bookmarkEnd w:id="1942"/>
      <w:bookmarkEnd w:id="1943"/>
      <w:r>
        <w:rPr>
          <w:rFonts w:hint="default" w:ascii="Times New Roman" w:hAnsi="Times New Roman" w:cs="Times New Roman"/>
          <w:color w:val="auto"/>
          <w:sz w:val="24"/>
          <w:highlight w:val="none"/>
        </w:rPr>
        <w:t>示，进行合同谈判活动，负责合同实施阶段的组织和协调工作，以及处理与本招标项目有关的一切事宜。</w:t>
      </w:r>
    </w:p>
    <w:p w14:paraId="6F15A2A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692EA393">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4.联合体各成员单位内部的职责分工如下：</w:t>
      </w:r>
      <w:r>
        <w:rPr>
          <w:rFonts w:hint="default" w:ascii="Times New Roman" w:hAnsi="Times New Roman" w:cs="Times New Roman"/>
          <w:color w:val="auto"/>
          <w:sz w:val="24"/>
          <w:highlight w:val="none"/>
          <w:u w:val="single"/>
        </w:rPr>
        <w:t>（牵头人名称）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Style w:val="47"/>
          <w:rFonts w:hint="default" w:ascii="Times New Roman" w:hAnsi="Times New Roman" w:cs="Times New Roman"/>
          <w:color w:val="auto"/>
          <w:sz w:val="24"/>
          <w:highlight w:val="none"/>
        </w:rPr>
        <w:footnoteReference w:id="51"/>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（成员一名称）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48DCFFFC">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5.投标工作和联合体在中标后工程实施过程中的有关费用按各自承担的工作量分摊。</w:t>
      </w:r>
    </w:p>
    <w:p w14:paraId="0E2E79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6.本协议书自所有成员单位法定代表人签字并加盖单位章之日起生效，合同履行完毕后自动失效。</w:t>
      </w:r>
    </w:p>
    <w:p w14:paraId="05243D29">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bookmarkStart w:id="1947" w:name="_Toc26822"/>
      <w:bookmarkStart w:id="1948" w:name="_Toc8257"/>
      <w:r>
        <w:rPr>
          <w:rFonts w:hint="default" w:ascii="Times New Roman" w:hAnsi="Times New Roman" w:cs="Times New Roman"/>
          <w:color w:val="auto"/>
          <w:sz w:val="24"/>
          <w:highlight w:val="none"/>
        </w:rPr>
        <w:t>7.本协议书一式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份，联合体成员和招标人各执一份。</w:t>
      </w:r>
      <w:bookmarkEnd w:id="1947"/>
      <w:bookmarkEnd w:id="1948"/>
    </w:p>
    <w:p w14:paraId="67A2A2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23B7342F">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联合体牵头人名称：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490E3D09">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67E51F19">
      <w:pPr>
        <w:topLinePunct/>
        <w:spacing w:line="400" w:lineRule="atLeas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30456C89">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联合体成员名称：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7A4E2BC2">
      <w:pPr>
        <w:pageBreakBefore w:val="0"/>
        <w:kinsoku/>
        <w:wordWrap w:val="0"/>
        <w:overflow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3B09D433">
      <w:pPr>
        <w:pageBreakBefore w:val="0"/>
        <w:kinsoku/>
        <w:wordWrap w:val="0"/>
        <w:overflowPunct/>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w:t>
      </w:r>
    </w:p>
    <w:p w14:paraId="68AA664C">
      <w:pPr>
        <w:pageBreakBefore w:val="0"/>
        <w:kinsoku/>
        <w:wordWrap w:val="0"/>
        <w:bidi w:val="0"/>
        <w:spacing w:line="400" w:lineRule="atLeast"/>
        <w:ind w:firstLine="4620" w:firstLineChars="1925"/>
        <w:rPr>
          <w:rFonts w:hint="default" w:ascii="Times New Roman" w:hAnsi="Times New Roman" w:eastAsia="黑体" w:cs="Times New Roman"/>
          <w:color w:val="auto"/>
          <w:sz w:val="24"/>
          <w:highlight w:val="none"/>
          <w:u w:val="singl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CF6C2DA">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rPr>
      </w:pPr>
      <w:bookmarkStart w:id="1949" w:name="_Toc234833262"/>
      <w:r>
        <w:rPr>
          <w:rFonts w:hint="default" w:ascii="Times New Roman" w:hAnsi="Times New Roman" w:eastAsia="黑体" w:cs="Times New Roman"/>
          <w:b w:val="0"/>
          <w:color w:val="auto"/>
          <w:sz w:val="28"/>
          <w:szCs w:val="28"/>
          <w:highlight w:val="none"/>
        </w:rPr>
        <w:br w:type="page"/>
      </w:r>
      <w:bookmarkStart w:id="1950" w:name="_Toc25301"/>
      <w:bookmarkStart w:id="1951" w:name="_Toc3440"/>
      <w:bookmarkStart w:id="1952" w:name="_Toc21516"/>
      <w:r>
        <w:rPr>
          <w:rFonts w:hint="default" w:ascii="Times New Roman" w:hAnsi="Times New Roman" w:eastAsia="黑体" w:cs="Times New Roman"/>
          <w:b w:val="0"/>
          <w:color w:val="auto"/>
          <w:sz w:val="28"/>
          <w:szCs w:val="28"/>
          <w:highlight w:val="none"/>
        </w:rPr>
        <w:t>四、投标保证金</w:t>
      </w:r>
      <w:bookmarkEnd w:id="1949"/>
      <w:bookmarkEnd w:id="1950"/>
      <w:bookmarkEnd w:id="1951"/>
      <w:bookmarkEnd w:id="1952"/>
    </w:p>
    <w:p w14:paraId="628718B6">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5EBDB43C">
      <w:pPr>
        <w:spacing w:line="400" w:lineRule="atLeast"/>
        <w:ind w:firstLine="508" w:firstLineChars="21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若采用现金，投标人应在此提供汇款凭证的</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w:t>
      </w:r>
    </w:p>
    <w:p w14:paraId="3530D6B7">
      <w:pPr>
        <w:spacing w:line="40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若采用电子保函，</w:t>
      </w:r>
      <w:r>
        <w:rPr>
          <w:rFonts w:hint="default" w:ascii="Times New Roman" w:hAnsi="Times New Roman" w:cs="Times New Roman"/>
          <w:color w:val="auto"/>
          <w:sz w:val="24"/>
          <w:highlight w:val="none"/>
        </w:rPr>
        <w:t>投标人应在此提供</w:t>
      </w:r>
      <w:r>
        <w:rPr>
          <w:rFonts w:hint="default" w:ascii="Times New Roman" w:hAnsi="Times New Roman" w:cs="Times New Roman"/>
          <w:b w:val="0"/>
          <w:bCs w:val="0"/>
          <w:color w:val="auto"/>
          <w:sz w:val="24"/>
          <w:szCs w:val="24"/>
          <w:highlight w:val="none"/>
          <w:lang w:val="en-US" w:eastAsia="zh-CN"/>
        </w:rPr>
        <w:t>电子化保函验真渠道和从投标人基本账户支出</w:t>
      </w:r>
      <w:r>
        <w:rPr>
          <w:rFonts w:hint="eastAsia" w:cs="Times New Roman"/>
          <w:b w:val="0"/>
          <w:bCs w:val="0"/>
          <w:color w:val="auto"/>
          <w:sz w:val="24"/>
          <w:szCs w:val="24"/>
          <w:highlight w:val="none"/>
          <w:lang w:val="en-US" w:eastAsia="zh-CN"/>
        </w:rPr>
        <w:t>的</w:t>
      </w:r>
      <w:r>
        <w:rPr>
          <w:rFonts w:hint="default" w:ascii="Times New Roman" w:hAnsi="Times New Roman" w:cs="Times New Roman"/>
          <w:b w:val="0"/>
          <w:bCs w:val="0"/>
          <w:color w:val="auto"/>
          <w:sz w:val="24"/>
          <w:szCs w:val="24"/>
          <w:highlight w:val="none"/>
          <w:lang w:val="en-US" w:eastAsia="zh-CN"/>
        </w:rPr>
        <w:t>保函财务费用支付</w:t>
      </w:r>
      <w:r>
        <w:rPr>
          <w:rFonts w:hint="eastAsia" w:cs="Times New Roman"/>
          <w:b w:val="0"/>
          <w:bCs w:val="0"/>
          <w:color w:val="auto"/>
          <w:sz w:val="24"/>
          <w:szCs w:val="24"/>
          <w:highlight w:val="none"/>
          <w:lang w:val="en-US" w:eastAsia="zh-CN"/>
        </w:rPr>
        <w:t>凭证</w:t>
      </w:r>
      <w:r>
        <w:rPr>
          <w:rFonts w:hint="default" w:ascii="Times New Roman" w:hAnsi="Times New Roman" w:cs="Times New Roman"/>
          <w:b w:val="0"/>
          <w:bCs w:val="0"/>
          <w:color w:val="auto"/>
          <w:sz w:val="24"/>
          <w:szCs w:val="24"/>
          <w:highlight w:val="none"/>
          <w:lang w:val="en-US" w:eastAsia="zh-CN"/>
        </w:rPr>
        <w:t>。</w:t>
      </w:r>
    </w:p>
    <w:p w14:paraId="7E1D8A7E">
      <w:pPr>
        <w:spacing w:line="400" w:lineRule="exac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lang w:val="en-US" w:eastAsia="zh-CN"/>
        </w:rPr>
        <w:t>若</w:t>
      </w:r>
      <w:r>
        <w:rPr>
          <w:rFonts w:hint="default" w:ascii="Times New Roman" w:hAnsi="Times New Roman" w:cs="Times New Roman"/>
          <w:color w:val="auto"/>
          <w:sz w:val="24"/>
          <w:highlight w:val="none"/>
        </w:rPr>
        <w:t>采用银行保函，投标人应在此提供银行保函</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，格式如下。</w:t>
      </w:r>
    </w:p>
    <w:p w14:paraId="6C8047D0">
      <w:pPr>
        <w:spacing w:line="400" w:lineRule="exact"/>
        <w:ind w:firstLine="480" w:firstLineChars="200"/>
        <w:rPr>
          <w:rFonts w:hint="default" w:ascii="Times New Roman" w:hAnsi="Times New Roman" w:cs="Times New Roman"/>
          <w:color w:val="auto"/>
          <w:sz w:val="24"/>
          <w:highlight w:val="none"/>
        </w:rPr>
      </w:pPr>
    </w:p>
    <w:p w14:paraId="46925AED">
      <w:pPr>
        <w:spacing w:line="400" w:lineRule="exact"/>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投标保函</w:t>
      </w:r>
    </w:p>
    <w:p w14:paraId="2D893B8D">
      <w:pPr>
        <w:spacing w:line="400" w:lineRule="exact"/>
        <w:rPr>
          <w:rFonts w:hint="default" w:ascii="Times New Roman" w:hAnsi="Times New Roman" w:cs="Times New Roman"/>
          <w:color w:val="auto"/>
          <w:sz w:val="24"/>
          <w:highlight w:val="none"/>
          <w:u w:val="single"/>
        </w:rPr>
      </w:pPr>
    </w:p>
    <w:p w14:paraId="04305E19">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你方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11D0699E">
      <w:pPr>
        <w:spacing w:line="400" w:lineRule="exact"/>
        <w:jc w:val="center"/>
        <w:rPr>
          <w:rFonts w:hint="default" w:ascii="Times New Roman" w:hAnsi="Times New Roman" w:cs="Times New Roman"/>
          <w:color w:val="auto"/>
          <w:sz w:val="24"/>
          <w:highlight w:val="none"/>
        </w:rPr>
      </w:pPr>
    </w:p>
    <w:p w14:paraId="0EE88A9C">
      <w:pPr>
        <w:wordWrap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（投标人名称）（以下称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lang w:val="en-US" w:eastAsia="zh-CN"/>
        </w:rPr>
        <w:t>施工</w:t>
      </w:r>
      <w:r>
        <w:rPr>
          <w:rFonts w:hint="default" w:ascii="Times New Roman" w:hAnsi="Times New Roman" w:cs="Times New Roman"/>
          <w:color w:val="auto"/>
          <w:sz w:val="24"/>
          <w:highlight w:val="none"/>
        </w:rPr>
        <w:t>的投标，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（担保人名称，以下简称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我方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p>
    <w:p w14:paraId="46DF964B">
      <w:pPr>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本保函在投标有效期或经延长的投标有效期内保持有效。要求我方承担保证责任的通知应在上述期限内送达我方。你方延长投标有效期的决定，应通知我方。</w:t>
      </w:r>
    </w:p>
    <w:p w14:paraId="56ED5F77">
      <w:pPr>
        <w:rPr>
          <w:rFonts w:hint="default" w:ascii="Times New Roman" w:hAnsi="Times New Roman" w:cs="Times New Roman"/>
          <w:color w:val="auto"/>
          <w:sz w:val="24"/>
          <w:highlight w:val="none"/>
        </w:rPr>
      </w:pPr>
    </w:p>
    <w:p w14:paraId="37DDBF08">
      <w:pPr>
        <w:rPr>
          <w:rFonts w:hint="default" w:ascii="Times New Roman" w:hAnsi="Times New Roman" w:cs="Times New Roman"/>
          <w:color w:val="auto"/>
          <w:sz w:val="24"/>
          <w:highlight w:val="none"/>
        </w:rPr>
      </w:pPr>
    </w:p>
    <w:p w14:paraId="6167168E">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43E23326">
      <w:pPr>
        <w:autoSpaceDE w:val="0"/>
        <w:autoSpaceDN w:val="0"/>
        <w:adjustRightInd w:val="0"/>
        <w:spacing w:line="400" w:lineRule="atLeast"/>
        <w:ind w:firstLine="2400" w:firstLineChars="10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担保人法定代表人或其委托代理人（签字）：</w:t>
      </w:r>
      <w:r>
        <w:rPr>
          <w:rFonts w:hint="default" w:ascii="Times New Roman" w:hAnsi="Times New Roman" w:cs="Times New Roman"/>
          <w:color w:val="auto"/>
          <w:sz w:val="24"/>
          <w:highlight w:val="none"/>
          <w:u w:val="single"/>
        </w:rPr>
        <w:t xml:space="preserve">                 </w:t>
      </w:r>
    </w:p>
    <w:p w14:paraId="7BB62652">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担保人地址：</w:t>
      </w:r>
      <w:r>
        <w:rPr>
          <w:rFonts w:hint="default" w:ascii="Times New Roman" w:hAnsi="Times New Roman" w:cs="Times New Roman"/>
          <w:color w:val="auto"/>
          <w:sz w:val="24"/>
          <w:highlight w:val="none"/>
          <w:u w:val="single"/>
        </w:rPr>
        <w:t xml:space="preserve">                                        </w:t>
      </w:r>
    </w:p>
    <w:p w14:paraId="52BFD407">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担保人电话：</w:t>
      </w:r>
      <w:r>
        <w:rPr>
          <w:rFonts w:hint="default" w:ascii="Times New Roman" w:hAnsi="Times New Roman" w:cs="Times New Roman"/>
          <w:color w:val="auto"/>
          <w:sz w:val="24"/>
          <w:highlight w:val="none"/>
          <w:u w:val="single"/>
        </w:rPr>
        <w:t xml:space="preserve">                  </w:t>
      </w:r>
    </w:p>
    <w:p w14:paraId="556667FE">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担保人传真：</w:t>
      </w:r>
      <w:r>
        <w:rPr>
          <w:rFonts w:hint="default" w:ascii="Times New Roman" w:hAnsi="Times New Roman" w:cs="Times New Roman"/>
          <w:color w:val="auto"/>
          <w:sz w:val="24"/>
          <w:highlight w:val="none"/>
          <w:u w:val="single"/>
        </w:rPr>
        <w:t xml:space="preserve">                  </w:t>
      </w:r>
    </w:p>
    <w:p w14:paraId="293DEDD2">
      <w:pPr>
        <w:pageBreakBefore w:val="0"/>
        <w:kinsoku/>
        <w:wordWrap w:val="0"/>
        <w:overflowPunct/>
        <w:bidi w:val="0"/>
        <w:spacing w:line="440" w:lineRule="exact"/>
        <w:ind w:firstLine="5040" w:firstLineChars="2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C61D198">
      <w:pPr>
        <w:pageBreakBefore w:val="0"/>
        <w:kinsoku/>
        <w:wordWrap w:val="0"/>
        <w:bidi w:val="0"/>
        <w:spacing w:line="440" w:lineRule="exact"/>
        <w:rPr>
          <w:rFonts w:hint="default" w:ascii="Times New Roman" w:hAnsi="Times New Roman" w:cs="Times New Roman"/>
          <w:color w:val="auto"/>
          <w:sz w:val="24"/>
          <w:highlight w:val="none"/>
        </w:rPr>
      </w:pPr>
    </w:p>
    <w:p w14:paraId="3B0F4CD2">
      <w:pPr>
        <w:pageBreakBefore w:val="0"/>
        <w:kinsoku/>
        <w:wordWrap w:val="0"/>
        <w:bidi w:val="0"/>
        <w:spacing w:line="440" w:lineRule="exact"/>
        <w:rPr>
          <w:rFonts w:hint="default" w:ascii="Times New Roman" w:hAnsi="Times New Roman" w:eastAsia="黑体" w:cs="Times New Roman"/>
          <w:color w:val="auto"/>
          <w:sz w:val="24"/>
          <w:highlight w:val="none"/>
        </w:rPr>
      </w:pPr>
    </w:p>
    <w:p w14:paraId="6573CCB7">
      <w:pPr>
        <w:pageBreakBefore w:val="0"/>
        <w:kinsoku/>
        <w:wordWrap w:val="0"/>
        <w:bidi w:val="0"/>
        <w:spacing w:line="440" w:lineRule="exact"/>
        <w:rPr>
          <w:rFonts w:hint="default" w:ascii="Times New Roman" w:hAnsi="Times New Roman" w:eastAsia="黑体" w:cs="Times New Roman"/>
          <w:color w:val="auto"/>
          <w:sz w:val="24"/>
          <w:highlight w:val="none"/>
        </w:rPr>
      </w:pPr>
    </w:p>
    <w:p w14:paraId="5A5CC1F1">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lang w:eastAsia="zh-CN"/>
        </w:rPr>
      </w:pPr>
      <w:bookmarkStart w:id="1953" w:name="_Toc234833264"/>
      <w:r>
        <w:rPr>
          <w:rFonts w:hint="default" w:ascii="Times New Roman" w:hAnsi="Times New Roman" w:eastAsia="黑体" w:cs="Times New Roman"/>
          <w:b w:val="0"/>
          <w:color w:val="auto"/>
          <w:sz w:val="28"/>
          <w:szCs w:val="28"/>
          <w:highlight w:val="none"/>
        </w:rPr>
        <w:br w:type="page"/>
      </w:r>
      <w:bookmarkStart w:id="1954" w:name="_Toc3268"/>
      <w:bookmarkStart w:id="1955" w:name="_Toc27090"/>
      <w:bookmarkStart w:id="1956" w:name="_Toc14539"/>
      <w:r>
        <w:rPr>
          <w:rFonts w:hint="default" w:ascii="Times New Roman" w:hAnsi="Times New Roman" w:eastAsia="黑体" w:cs="Times New Roman"/>
          <w:b w:val="0"/>
          <w:color w:val="auto"/>
          <w:sz w:val="28"/>
          <w:szCs w:val="28"/>
          <w:highlight w:val="none"/>
        </w:rPr>
        <w:t>五、施工组织设计</w:t>
      </w:r>
      <w:bookmarkEnd w:id="1954"/>
      <w:bookmarkEnd w:id="1955"/>
      <w:bookmarkEnd w:id="1956"/>
    </w:p>
    <w:p w14:paraId="5701320F">
      <w:pPr>
        <w:pageBreakBefore w:val="0"/>
        <w:kinsoku/>
        <w:wordWrap w:val="0"/>
        <w:bidi w:val="0"/>
        <w:jc w:val="center"/>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（适用于合理低价法和经评审的最低投标价法）</w:t>
      </w:r>
    </w:p>
    <w:p w14:paraId="02AD79D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79E516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投标人应按以下要点编制施工组织设计（文字宜精炼、内容具有针对性）：</w:t>
      </w:r>
    </w:p>
    <w:p w14:paraId="715C4CA8">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1.总体施工组织布置及规划</w:t>
      </w:r>
    </w:p>
    <w:p w14:paraId="4709E46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2.重点、关键和难点工程的施工方案</w:t>
      </w:r>
    </w:p>
    <w:p w14:paraId="5768F5FB">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3.工期关键线路图及保证措施</w:t>
      </w:r>
    </w:p>
    <w:p w14:paraId="477FB2F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4.关键工程质量保证措施</w:t>
      </w:r>
    </w:p>
    <w:p w14:paraId="7096959C">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5.安全保证措施</w:t>
      </w:r>
    </w:p>
    <w:p w14:paraId="3DF6405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6.环境保护、水土保持、文明施工、文物保护保证措施</w:t>
      </w:r>
    </w:p>
    <w:p w14:paraId="0021B1EA">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7.项目风险预测与防范，事故应急预案</w:t>
      </w:r>
    </w:p>
    <w:p w14:paraId="0FE2A92D">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8.其他应说明的事项</w:t>
      </w:r>
    </w:p>
    <w:p w14:paraId="4BE63457">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p>
    <w:p w14:paraId="351E43FD">
      <w:pPr>
        <w:pageBreakBefore w:val="0"/>
        <w:kinsoku/>
        <w:wordWrap w:val="0"/>
        <w:bidi w:val="0"/>
        <w:spacing w:before="0" w:after="0" w:line="380" w:lineRule="atLeast"/>
        <w:outlineLvl w:val="9"/>
        <w:rPr>
          <w:rFonts w:hint="default" w:ascii="Times New Roman" w:hAnsi="Times New Roman" w:eastAsia="黑体" w:cs="Times New Roman"/>
          <w:color w:val="auto"/>
          <w:sz w:val="27"/>
          <w:szCs w:val="27"/>
          <w:highlight w:val="none"/>
        </w:rPr>
      </w:pPr>
      <w:r>
        <w:rPr>
          <w:rFonts w:hint="default" w:ascii="Times New Roman" w:hAnsi="Times New Roman" w:eastAsia="黑体" w:cs="Times New Roman"/>
          <w:b w:val="0"/>
          <w:color w:val="auto"/>
          <w:sz w:val="28"/>
          <w:szCs w:val="28"/>
          <w:highlight w:val="none"/>
        </w:rPr>
        <w:br w:type="page"/>
      </w:r>
      <w:bookmarkEnd w:id="1953"/>
    </w:p>
    <w:p w14:paraId="64A21BE5">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bookmarkStart w:id="1957" w:name="_Toc7173"/>
      <w:bookmarkStart w:id="1958" w:name="_Toc234833275"/>
      <w:bookmarkStart w:id="1959" w:name="_Toc5183"/>
      <w:bookmarkStart w:id="1960" w:name="_Toc12366"/>
      <w:r>
        <w:rPr>
          <w:rFonts w:hint="default" w:ascii="Times New Roman" w:hAnsi="Times New Roman" w:eastAsia="黑体" w:cs="Times New Roman"/>
          <w:b w:val="0"/>
          <w:color w:val="auto"/>
          <w:sz w:val="28"/>
          <w:szCs w:val="28"/>
          <w:highlight w:val="none"/>
        </w:rPr>
        <w:t>六、项目管理机构</w:t>
      </w:r>
      <w:bookmarkEnd w:id="1957"/>
      <w:bookmarkEnd w:id="1958"/>
      <w:bookmarkEnd w:id="1959"/>
      <w:bookmarkEnd w:id="1960"/>
    </w:p>
    <w:p w14:paraId="4EBA032B">
      <w:pPr>
        <w:pageBreakBefore w:val="0"/>
        <w:kinsoku/>
        <w:wordWrap w:val="0"/>
        <w:bidi w:val="0"/>
        <w:spacing w:before="0" w:after="0" w:line="380" w:lineRule="atLeast"/>
        <w:outlineLvl w:val="9"/>
        <w:rPr>
          <w:rFonts w:hint="default" w:ascii="Times New Roman" w:hAnsi="Times New Roman" w:eastAsia="黑体" w:cs="Times New Roman"/>
          <w:b w:val="0"/>
          <w:color w:val="auto"/>
          <w:sz w:val="28"/>
          <w:szCs w:val="28"/>
          <w:highlight w:val="none"/>
        </w:rPr>
      </w:pPr>
    </w:p>
    <w:p w14:paraId="6B89FBE0">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2ED94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2AA02BCB">
            <w:pPr>
              <w:pageBreakBefore w:val="0"/>
              <w:kinsoku/>
              <w:wordWrap w:val="0"/>
              <w:bidi w:val="0"/>
              <w:spacing w:line="520" w:lineRule="atLeast"/>
              <w:ind w:left="266" w:hanging="266"/>
              <w:rPr>
                <w:rFonts w:hint="default" w:ascii="Times New Roman" w:hAnsi="Times New Roman" w:cs="Times New Roman"/>
                <w:color w:val="auto"/>
                <w:szCs w:val="21"/>
                <w:highlight w:val="none"/>
              </w:rPr>
            </w:pPr>
          </w:p>
          <w:p w14:paraId="6E2968B4">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拟为承包本标段工程设立的组织机构以框图方式表示。</w:t>
            </w:r>
          </w:p>
          <w:p w14:paraId="73A1D6FD">
            <w:pPr>
              <w:pageBreakBefore w:val="0"/>
              <w:kinsoku/>
              <w:wordWrap w:val="0"/>
              <w:bidi w:val="0"/>
              <w:spacing w:line="520" w:lineRule="atLeast"/>
              <w:rPr>
                <w:rFonts w:hint="default" w:ascii="Times New Roman" w:hAnsi="Times New Roman" w:cs="Times New Roman"/>
                <w:color w:val="auto"/>
                <w:szCs w:val="21"/>
                <w:highlight w:val="none"/>
              </w:rPr>
            </w:pPr>
          </w:p>
          <w:p w14:paraId="0556FBED">
            <w:pPr>
              <w:pageBreakBefore w:val="0"/>
              <w:kinsoku/>
              <w:wordWrap w:val="0"/>
              <w:bidi w:val="0"/>
              <w:spacing w:line="520" w:lineRule="atLeast"/>
              <w:rPr>
                <w:rFonts w:hint="default" w:ascii="Times New Roman" w:hAnsi="Times New Roman" w:cs="Times New Roman"/>
                <w:color w:val="auto"/>
                <w:szCs w:val="21"/>
                <w:highlight w:val="none"/>
              </w:rPr>
            </w:pPr>
          </w:p>
          <w:p w14:paraId="026B060E">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4289CE11">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3BC00D68">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56EEFAA2">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44E8104F">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02C8B9D2">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D886F67">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33F23527">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09C6EC34">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3D2B7BE3">
            <w:pPr>
              <w:pageBreakBefore w:val="0"/>
              <w:kinsoku/>
              <w:wordWrap w:val="0"/>
              <w:bidi w:val="0"/>
              <w:spacing w:line="520" w:lineRule="atLeast"/>
              <w:rPr>
                <w:rFonts w:hint="default" w:ascii="Times New Roman" w:hAnsi="Times New Roman" w:cs="Times New Roman"/>
                <w:color w:val="auto"/>
                <w:szCs w:val="21"/>
                <w:highlight w:val="none"/>
              </w:rPr>
            </w:pPr>
          </w:p>
          <w:p w14:paraId="30D8A7F4">
            <w:pPr>
              <w:pageBreakBefore w:val="0"/>
              <w:kinsoku/>
              <w:wordWrap w:val="0"/>
              <w:bidi w:val="0"/>
              <w:spacing w:line="520" w:lineRule="atLeast"/>
              <w:rPr>
                <w:rFonts w:hint="default" w:ascii="Times New Roman" w:hAnsi="Times New Roman" w:cs="Times New Roman"/>
                <w:color w:val="auto"/>
                <w:szCs w:val="21"/>
                <w:highlight w:val="none"/>
              </w:rPr>
            </w:pPr>
          </w:p>
        </w:tc>
      </w:tr>
      <w:tr w14:paraId="65A2B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38544454">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205F9BD9">
            <w:pPr>
              <w:pageBreakBefore w:val="0"/>
              <w:kinsoku/>
              <w:wordWrap w:val="0"/>
              <w:bidi w:val="0"/>
              <w:spacing w:line="520" w:lineRule="atLeast"/>
              <w:jc w:val="center"/>
              <w:rPr>
                <w:rFonts w:hint="default" w:ascii="Times New Roman" w:hAnsi="Times New Roman" w:cs="Times New Roman"/>
                <w:color w:val="auto"/>
                <w:szCs w:val="21"/>
                <w:highlight w:val="none"/>
              </w:rPr>
            </w:pPr>
          </w:p>
          <w:p w14:paraId="0984281F">
            <w:pPr>
              <w:pageBreakBefore w:val="0"/>
              <w:kinsoku/>
              <w:wordWrap w:val="0"/>
              <w:bidi w:val="0"/>
              <w:spacing w:line="520" w:lineRule="atLeast"/>
              <w:jc w:val="center"/>
              <w:rPr>
                <w:rFonts w:hint="default" w:ascii="Times New Roman" w:hAnsi="Times New Roman" w:cs="Times New Roman"/>
                <w:color w:val="auto"/>
                <w:szCs w:val="21"/>
                <w:highlight w:val="none"/>
              </w:rPr>
            </w:pPr>
          </w:p>
          <w:p w14:paraId="36750D79">
            <w:pPr>
              <w:pageBreakBefore w:val="0"/>
              <w:kinsoku/>
              <w:wordWrap w:val="0"/>
              <w:bidi w:val="0"/>
              <w:spacing w:line="520" w:lineRule="atLeast"/>
              <w:jc w:val="center"/>
              <w:rPr>
                <w:rFonts w:hint="default" w:ascii="Times New Roman" w:hAnsi="Times New Roman" w:cs="Times New Roman"/>
                <w:color w:val="auto"/>
                <w:szCs w:val="21"/>
                <w:highlight w:val="none"/>
              </w:rPr>
            </w:pPr>
          </w:p>
          <w:p w14:paraId="493E534B">
            <w:pPr>
              <w:pageBreakBefore w:val="0"/>
              <w:kinsoku/>
              <w:wordWrap w:val="0"/>
              <w:bidi w:val="0"/>
              <w:spacing w:line="520" w:lineRule="atLeast"/>
              <w:jc w:val="center"/>
              <w:rPr>
                <w:rFonts w:hint="default" w:ascii="Times New Roman" w:hAnsi="Times New Roman" w:cs="Times New Roman"/>
                <w:color w:val="auto"/>
                <w:szCs w:val="21"/>
                <w:highlight w:val="none"/>
              </w:rPr>
            </w:pPr>
          </w:p>
        </w:tc>
      </w:tr>
    </w:tbl>
    <w:p w14:paraId="1764C9F8">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p w14:paraId="5307445E">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0C6FEA81">
      <w:pPr>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left"/>
        <w:textAlignment w:val="auto"/>
        <w:outlineLvl w:val="9"/>
        <w:rPr>
          <w:rFonts w:hint="eastAsia" w:eastAsia="黑体" w:cs="Times New Roman"/>
          <w:b w:val="0"/>
          <w:bCs/>
          <w:color w:val="auto"/>
          <w:kern w:val="44"/>
          <w:sz w:val="28"/>
          <w:szCs w:val="28"/>
          <w:highlight w:val="none"/>
          <w:lang w:val="en-US" w:eastAsia="zh-CN"/>
        </w:rPr>
      </w:pPr>
      <w:bookmarkStart w:id="1961" w:name="_Toc9573"/>
      <w:bookmarkStart w:id="1962" w:name="_Toc234833278"/>
      <w:r>
        <w:rPr>
          <w:rFonts w:hint="eastAsia" w:eastAsia="黑体" w:cs="Times New Roman"/>
          <w:b w:val="0"/>
          <w:bCs/>
          <w:color w:val="auto"/>
          <w:kern w:val="44"/>
          <w:sz w:val="28"/>
          <w:szCs w:val="28"/>
          <w:highlight w:val="none"/>
          <w:lang w:val="en-US" w:eastAsia="zh-CN"/>
        </w:rPr>
        <w:br w:type="page"/>
      </w:r>
    </w:p>
    <w:p w14:paraId="3925B086">
      <w:pPr>
        <w:pStyle w:val="3"/>
        <w:wordWrap w:val="0"/>
        <w:spacing w:before="0" w:after="0" w:line="380" w:lineRule="atLeast"/>
        <w:jc w:val="center"/>
        <w:outlineLvl w:val="1"/>
        <w:rPr>
          <w:i w:val="0"/>
          <w:iCs w:val="0"/>
          <w:color w:val="auto"/>
          <w:sz w:val="28"/>
          <w:szCs w:val="28"/>
          <w:highlight w:val="none"/>
        </w:rPr>
      </w:pPr>
      <w:bookmarkStart w:id="1963" w:name="_Toc1872"/>
      <w:bookmarkStart w:id="1964" w:name="_Toc234833276"/>
      <w:bookmarkStart w:id="1965" w:name="_Toc26668"/>
      <w:r>
        <w:rPr>
          <w:i w:val="0"/>
          <w:iCs w:val="0"/>
          <w:color w:val="auto"/>
          <w:sz w:val="28"/>
          <w:szCs w:val="28"/>
          <w:highlight w:val="none"/>
        </w:rPr>
        <w:t>七、拟分包项目情况表</w:t>
      </w:r>
      <w:bookmarkEnd w:id="1963"/>
      <w:bookmarkEnd w:id="1964"/>
      <w:bookmarkEnd w:id="1965"/>
    </w:p>
    <w:p w14:paraId="732D6BCE">
      <w:pPr>
        <w:wordWrap w:val="0"/>
        <w:spacing w:line="440" w:lineRule="exact"/>
        <w:rPr>
          <w:rFonts w:eastAsia="黑体"/>
          <w:color w:val="auto"/>
          <w:sz w:val="20"/>
          <w:szCs w:val="20"/>
          <w:highlight w:val="none"/>
        </w:rPr>
      </w:pPr>
      <w:r>
        <w:rPr>
          <w:rFonts w:eastAsia="黑体"/>
          <w:color w:val="auto"/>
          <w:sz w:val="20"/>
          <w:szCs w:val="20"/>
          <w:highlight w:val="none"/>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2127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vAlign w:val="center"/>
          </w:tcPr>
          <w:p w14:paraId="6D281459">
            <w:pPr>
              <w:wordWrap w:val="0"/>
              <w:spacing w:line="440" w:lineRule="exact"/>
              <w:jc w:val="center"/>
              <w:rPr>
                <w:color w:val="auto"/>
                <w:szCs w:val="21"/>
                <w:highlight w:val="none"/>
              </w:rPr>
            </w:pPr>
            <w:r>
              <w:rPr>
                <w:color w:val="auto"/>
                <w:szCs w:val="21"/>
                <w:highlight w:val="none"/>
              </w:rPr>
              <w:t>拟分包的工程项目</w:t>
            </w:r>
          </w:p>
        </w:tc>
        <w:tc>
          <w:tcPr>
            <w:tcW w:w="2456" w:type="dxa"/>
            <w:vAlign w:val="center"/>
          </w:tcPr>
          <w:p w14:paraId="2ED294CC">
            <w:pPr>
              <w:wordWrap w:val="0"/>
              <w:spacing w:line="440" w:lineRule="exact"/>
              <w:jc w:val="center"/>
              <w:rPr>
                <w:color w:val="auto"/>
                <w:szCs w:val="21"/>
                <w:highlight w:val="none"/>
              </w:rPr>
            </w:pPr>
            <w:r>
              <w:rPr>
                <w:color w:val="auto"/>
                <w:szCs w:val="21"/>
                <w:highlight w:val="none"/>
              </w:rPr>
              <w:t>主要工程内容</w:t>
            </w:r>
          </w:p>
        </w:tc>
        <w:tc>
          <w:tcPr>
            <w:tcW w:w="1864" w:type="dxa"/>
            <w:vAlign w:val="center"/>
          </w:tcPr>
          <w:p w14:paraId="104EC5E4">
            <w:pPr>
              <w:wordWrap w:val="0"/>
              <w:spacing w:line="440" w:lineRule="exact"/>
              <w:jc w:val="center"/>
              <w:rPr>
                <w:color w:val="auto"/>
                <w:szCs w:val="21"/>
                <w:highlight w:val="none"/>
              </w:rPr>
            </w:pPr>
            <w:r>
              <w:rPr>
                <w:color w:val="auto"/>
                <w:szCs w:val="21"/>
                <w:highlight w:val="none"/>
              </w:rPr>
              <w:t>预计造价（万元）</w:t>
            </w:r>
          </w:p>
        </w:tc>
        <w:tc>
          <w:tcPr>
            <w:tcW w:w="2582" w:type="dxa"/>
            <w:vAlign w:val="center"/>
          </w:tcPr>
          <w:p w14:paraId="3A827E9E">
            <w:pPr>
              <w:wordWrap w:val="0"/>
              <w:spacing w:line="440" w:lineRule="exact"/>
              <w:jc w:val="center"/>
              <w:rPr>
                <w:color w:val="auto"/>
                <w:szCs w:val="21"/>
                <w:highlight w:val="none"/>
              </w:rPr>
            </w:pPr>
            <w:r>
              <w:rPr>
                <w:color w:val="auto"/>
                <w:szCs w:val="21"/>
                <w:highlight w:val="none"/>
              </w:rPr>
              <w:t>备 注</w:t>
            </w:r>
          </w:p>
        </w:tc>
      </w:tr>
      <w:tr w14:paraId="76A4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vAlign w:val="center"/>
          </w:tcPr>
          <w:p w14:paraId="2CFE690B">
            <w:pPr>
              <w:wordWrap w:val="0"/>
              <w:spacing w:line="440" w:lineRule="exact"/>
              <w:jc w:val="center"/>
              <w:rPr>
                <w:color w:val="auto"/>
                <w:szCs w:val="21"/>
                <w:highlight w:val="none"/>
              </w:rPr>
            </w:pPr>
          </w:p>
        </w:tc>
        <w:tc>
          <w:tcPr>
            <w:tcW w:w="2456" w:type="dxa"/>
            <w:vAlign w:val="center"/>
          </w:tcPr>
          <w:p w14:paraId="0F3E5101">
            <w:pPr>
              <w:wordWrap w:val="0"/>
              <w:spacing w:line="440" w:lineRule="exact"/>
              <w:jc w:val="center"/>
              <w:rPr>
                <w:color w:val="auto"/>
                <w:szCs w:val="21"/>
                <w:highlight w:val="none"/>
              </w:rPr>
            </w:pPr>
          </w:p>
        </w:tc>
        <w:tc>
          <w:tcPr>
            <w:tcW w:w="1864" w:type="dxa"/>
            <w:vAlign w:val="center"/>
          </w:tcPr>
          <w:p w14:paraId="4A7A4DC2">
            <w:pPr>
              <w:wordWrap w:val="0"/>
              <w:spacing w:line="440" w:lineRule="exact"/>
              <w:jc w:val="center"/>
              <w:rPr>
                <w:color w:val="auto"/>
                <w:szCs w:val="21"/>
                <w:highlight w:val="none"/>
              </w:rPr>
            </w:pPr>
          </w:p>
        </w:tc>
        <w:tc>
          <w:tcPr>
            <w:tcW w:w="2582" w:type="dxa"/>
            <w:vMerge w:val="restart"/>
            <w:vAlign w:val="center"/>
          </w:tcPr>
          <w:p w14:paraId="6B3F8499">
            <w:pPr>
              <w:wordWrap w:val="0"/>
              <w:spacing w:line="440" w:lineRule="exact"/>
              <w:rPr>
                <w:color w:val="auto"/>
                <w:szCs w:val="21"/>
                <w:highlight w:val="none"/>
              </w:rPr>
            </w:pPr>
            <w:r>
              <w:rPr>
                <w:color w:val="auto"/>
                <w:szCs w:val="21"/>
                <w:highlight w:val="none"/>
              </w:rPr>
              <w:t>注：若无分包计划，则投标人应在本表填写</w:t>
            </w:r>
            <w:r>
              <w:rPr>
                <w:rFonts w:hint="eastAsia" w:ascii="宋体" w:hAnsi="宋体" w:eastAsia="宋体" w:cs="宋体"/>
                <w:color w:val="auto"/>
                <w:szCs w:val="21"/>
                <w:highlight w:val="none"/>
              </w:rPr>
              <w:t>“</w:t>
            </w:r>
            <w:r>
              <w:rPr>
                <w:color w:val="auto"/>
                <w:szCs w:val="21"/>
                <w:highlight w:val="none"/>
              </w:rPr>
              <w:t>无</w:t>
            </w:r>
            <w:r>
              <w:rPr>
                <w:rFonts w:hint="eastAsia" w:ascii="宋体" w:hAnsi="宋体" w:eastAsia="宋体" w:cs="宋体"/>
                <w:color w:val="auto"/>
                <w:szCs w:val="21"/>
                <w:highlight w:val="none"/>
              </w:rPr>
              <w:t>”</w:t>
            </w:r>
          </w:p>
        </w:tc>
      </w:tr>
      <w:tr w14:paraId="052C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vAlign w:val="center"/>
          </w:tcPr>
          <w:p w14:paraId="2E8046CC">
            <w:pPr>
              <w:wordWrap w:val="0"/>
              <w:spacing w:line="440" w:lineRule="exact"/>
              <w:jc w:val="center"/>
              <w:rPr>
                <w:color w:val="auto"/>
                <w:szCs w:val="21"/>
                <w:highlight w:val="none"/>
              </w:rPr>
            </w:pPr>
          </w:p>
        </w:tc>
        <w:tc>
          <w:tcPr>
            <w:tcW w:w="2456" w:type="dxa"/>
            <w:vAlign w:val="center"/>
          </w:tcPr>
          <w:p w14:paraId="54F11D12">
            <w:pPr>
              <w:wordWrap w:val="0"/>
              <w:spacing w:line="440" w:lineRule="exact"/>
              <w:jc w:val="center"/>
              <w:rPr>
                <w:color w:val="auto"/>
                <w:szCs w:val="21"/>
                <w:highlight w:val="none"/>
              </w:rPr>
            </w:pPr>
          </w:p>
        </w:tc>
        <w:tc>
          <w:tcPr>
            <w:tcW w:w="1864" w:type="dxa"/>
            <w:vAlign w:val="center"/>
          </w:tcPr>
          <w:p w14:paraId="05880439">
            <w:pPr>
              <w:wordWrap w:val="0"/>
              <w:spacing w:line="440" w:lineRule="exact"/>
              <w:jc w:val="center"/>
              <w:rPr>
                <w:color w:val="auto"/>
                <w:szCs w:val="21"/>
                <w:highlight w:val="none"/>
              </w:rPr>
            </w:pPr>
          </w:p>
        </w:tc>
        <w:tc>
          <w:tcPr>
            <w:tcW w:w="2582" w:type="dxa"/>
            <w:vMerge w:val="continue"/>
            <w:vAlign w:val="center"/>
          </w:tcPr>
          <w:p w14:paraId="6C94DCE0">
            <w:pPr>
              <w:wordWrap w:val="0"/>
              <w:spacing w:line="440" w:lineRule="exact"/>
              <w:jc w:val="center"/>
              <w:rPr>
                <w:color w:val="auto"/>
                <w:szCs w:val="21"/>
                <w:highlight w:val="none"/>
              </w:rPr>
            </w:pPr>
          </w:p>
        </w:tc>
      </w:tr>
      <w:tr w14:paraId="14A2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1A938FD">
            <w:pPr>
              <w:wordWrap w:val="0"/>
              <w:spacing w:line="440" w:lineRule="exact"/>
              <w:jc w:val="center"/>
              <w:rPr>
                <w:color w:val="auto"/>
                <w:szCs w:val="21"/>
                <w:highlight w:val="none"/>
              </w:rPr>
            </w:pPr>
          </w:p>
        </w:tc>
        <w:tc>
          <w:tcPr>
            <w:tcW w:w="2456" w:type="dxa"/>
            <w:vAlign w:val="center"/>
          </w:tcPr>
          <w:p w14:paraId="73A3B129">
            <w:pPr>
              <w:wordWrap w:val="0"/>
              <w:spacing w:line="440" w:lineRule="exact"/>
              <w:jc w:val="center"/>
              <w:rPr>
                <w:color w:val="auto"/>
                <w:szCs w:val="21"/>
                <w:highlight w:val="none"/>
              </w:rPr>
            </w:pPr>
          </w:p>
        </w:tc>
        <w:tc>
          <w:tcPr>
            <w:tcW w:w="1864" w:type="dxa"/>
            <w:vAlign w:val="center"/>
          </w:tcPr>
          <w:p w14:paraId="17264D9B">
            <w:pPr>
              <w:wordWrap w:val="0"/>
              <w:spacing w:line="440" w:lineRule="exact"/>
              <w:jc w:val="center"/>
              <w:rPr>
                <w:color w:val="auto"/>
                <w:szCs w:val="21"/>
                <w:highlight w:val="none"/>
              </w:rPr>
            </w:pPr>
          </w:p>
        </w:tc>
        <w:tc>
          <w:tcPr>
            <w:tcW w:w="2582" w:type="dxa"/>
            <w:vMerge w:val="continue"/>
            <w:vAlign w:val="center"/>
          </w:tcPr>
          <w:p w14:paraId="7C3058DB">
            <w:pPr>
              <w:wordWrap w:val="0"/>
              <w:spacing w:line="440" w:lineRule="exact"/>
              <w:jc w:val="center"/>
              <w:rPr>
                <w:color w:val="auto"/>
                <w:szCs w:val="21"/>
                <w:highlight w:val="none"/>
              </w:rPr>
            </w:pPr>
          </w:p>
        </w:tc>
      </w:tr>
      <w:tr w14:paraId="30FF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vAlign w:val="center"/>
          </w:tcPr>
          <w:p w14:paraId="09DF8C1B">
            <w:pPr>
              <w:wordWrap w:val="0"/>
              <w:spacing w:line="440" w:lineRule="exact"/>
              <w:jc w:val="center"/>
              <w:rPr>
                <w:color w:val="auto"/>
                <w:szCs w:val="21"/>
                <w:highlight w:val="none"/>
              </w:rPr>
            </w:pPr>
          </w:p>
        </w:tc>
        <w:tc>
          <w:tcPr>
            <w:tcW w:w="2456" w:type="dxa"/>
            <w:vAlign w:val="center"/>
          </w:tcPr>
          <w:p w14:paraId="2F4534B9">
            <w:pPr>
              <w:wordWrap w:val="0"/>
              <w:spacing w:line="440" w:lineRule="exact"/>
              <w:jc w:val="center"/>
              <w:rPr>
                <w:color w:val="auto"/>
                <w:szCs w:val="21"/>
                <w:highlight w:val="none"/>
              </w:rPr>
            </w:pPr>
          </w:p>
        </w:tc>
        <w:tc>
          <w:tcPr>
            <w:tcW w:w="1864" w:type="dxa"/>
            <w:vAlign w:val="center"/>
          </w:tcPr>
          <w:p w14:paraId="3DBB3250">
            <w:pPr>
              <w:wordWrap w:val="0"/>
              <w:spacing w:line="440" w:lineRule="exact"/>
              <w:jc w:val="center"/>
              <w:rPr>
                <w:color w:val="auto"/>
                <w:szCs w:val="21"/>
                <w:highlight w:val="none"/>
              </w:rPr>
            </w:pPr>
          </w:p>
        </w:tc>
        <w:tc>
          <w:tcPr>
            <w:tcW w:w="2582" w:type="dxa"/>
            <w:vMerge w:val="continue"/>
            <w:vAlign w:val="center"/>
          </w:tcPr>
          <w:p w14:paraId="516BE55B">
            <w:pPr>
              <w:wordWrap w:val="0"/>
              <w:spacing w:line="440" w:lineRule="exact"/>
              <w:jc w:val="center"/>
              <w:rPr>
                <w:color w:val="auto"/>
                <w:szCs w:val="21"/>
                <w:highlight w:val="none"/>
              </w:rPr>
            </w:pPr>
          </w:p>
        </w:tc>
      </w:tr>
      <w:tr w14:paraId="3DC8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vAlign w:val="center"/>
          </w:tcPr>
          <w:p w14:paraId="6EA90E34">
            <w:pPr>
              <w:wordWrap w:val="0"/>
              <w:spacing w:line="440" w:lineRule="exact"/>
              <w:jc w:val="center"/>
              <w:rPr>
                <w:color w:val="auto"/>
                <w:szCs w:val="21"/>
                <w:highlight w:val="none"/>
              </w:rPr>
            </w:pPr>
          </w:p>
        </w:tc>
        <w:tc>
          <w:tcPr>
            <w:tcW w:w="2456" w:type="dxa"/>
            <w:vAlign w:val="center"/>
          </w:tcPr>
          <w:p w14:paraId="109707CE">
            <w:pPr>
              <w:wordWrap w:val="0"/>
              <w:spacing w:line="440" w:lineRule="exact"/>
              <w:jc w:val="center"/>
              <w:rPr>
                <w:color w:val="auto"/>
                <w:szCs w:val="21"/>
                <w:highlight w:val="none"/>
              </w:rPr>
            </w:pPr>
          </w:p>
        </w:tc>
        <w:tc>
          <w:tcPr>
            <w:tcW w:w="1864" w:type="dxa"/>
            <w:vAlign w:val="center"/>
          </w:tcPr>
          <w:p w14:paraId="72618814">
            <w:pPr>
              <w:wordWrap w:val="0"/>
              <w:spacing w:line="440" w:lineRule="exact"/>
              <w:jc w:val="center"/>
              <w:rPr>
                <w:color w:val="auto"/>
                <w:szCs w:val="21"/>
                <w:highlight w:val="none"/>
              </w:rPr>
            </w:pPr>
          </w:p>
        </w:tc>
        <w:tc>
          <w:tcPr>
            <w:tcW w:w="2582" w:type="dxa"/>
            <w:vMerge w:val="continue"/>
            <w:vAlign w:val="center"/>
          </w:tcPr>
          <w:p w14:paraId="1C09C6BF">
            <w:pPr>
              <w:wordWrap w:val="0"/>
              <w:spacing w:line="440" w:lineRule="exact"/>
              <w:jc w:val="center"/>
              <w:rPr>
                <w:color w:val="auto"/>
                <w:szCs w:val="21"/>
                <w:highlight w:val="none"/>
              </w:rPr>
            </w:pPr>
          </w:p>
        </w:tc>
      </w:tr>
      <w:tr w14:paraId="5FFA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D04D98E">
            <w:pPr>
              <w:wordWrap w:val="0"/>
              <w:spacing w:line="440" w:lineRule="exact"/>
              <w:jc w:val="center"/>
              <w:rPr>
                <w:color w:val="auto"/>
                <w:szCs w:val="21"/>
                <w:highlight w:val="none"/>
              </w:rPr>
            </w:pPr>
          </w:p>
        </w:tc>
        <w:tc>
          <w:tcPr>
            <w:tcW w:w="2456" w:type="dxa"/>
            <w:vAlign w:val="center"/>
          </w:tcPr>
          <w:p w14:paraId="7568A917">
            <w:pPr>
              <w:wordWrap w:val="0"/>
              <w:spacing w:line="440" w:lineRule="exact"/>
              <w:jc w:val="center"/>
              <w:rPr>
                <w:color w:val="auto"/>
                <w:szCs w:val="21"/>
                <w:highlight w:val="none"/>
              </w:rPr>
            </w:pPr>
          </w:p>
        </w:tc>
        <w:tc>
          <w:tcPr>
            <w:tcW w:w="1864" w:type="dxa"/>
            <w:vAlign w:val="center"/>
          </w:tcPr>
          <w:p w14:paraId="709492E6">
            <w:pPr>
              <w:wordWrap w:val="0"/>
              <w:spacing w:line="440" w:lineRule="exact"/>
              <w:jc w:val="center"/>
              <w:rPr>
                <w:color w:val="auto"/>
                <w:szCs w:val="21"/>
                <w:highlight w:val="none"/>
              </w:rPr>
            </w:pPr>
          </w:p>
        </w:tc>
        <w:tc>
          <w:tcPr>
            <w:tcW w:w="2582" w:type="dxa"/>
            <w:vMerge w:val="continue"/>
            <w:vAlign w:val="center"/>
          </w:tcPr>
          <w:p w14:paraId="2F171735">
            <w:pPr>
              <w:wordWrap w:val="0"/>
              <w:spacing w:line="440" w:lineRule="exact"/>
              <w:jc w:val="center"/>
              <w:rPr>
                <w:color w:val="auto"/>
                <w:szCs w:val="21"/>
                <w:highlight w:val="none"/>
              </w:rPr>
            </w:pPr>
          </w:p>
        </w:tc>
      </w:tr>
      <w:tr w14:paraId="46B2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2967A3F8">
            <w:pPr>
              <w:wordWrap w:val="0"/>
              <w:spacing w:line="440" w:lineRule="exact"/>
              <w:jc w:val="center"/>
              <w:rPr>
                <w:color w:val="auto"/>
                <w:szCs w:val="21"/>
                <w:highlight w:val="none"/>
              </w:rPr>
            </w:pPr>
          </w:p>
        </w:tc>
        <w:tc>
          <w:tcPr>
            <w:tcW w:w="2456" w:type="dxa"/>
            <w:vAlign w:val="center"/>
          </w:tcPr>
          <w:p w14:paraId="5304E628">
            <w:pPr>
              <w:wordWrap w:val="0"/>
              <w:spacing w:line="440" w:lineRule="exact"/>
              <w:jc w:val="center"/>
              <w:rPr>
                <w:color w:val="auto"/>
                <w:szCs w:val="21"/>
                <w:highlight w:val="none"/>
              </w:rPr>
            </w:pPr>
          </w:p>
        </w:tc>
        <w:tc>
          <w:tcPr>
            <w:tcW w:w="1864" w:type="dxa"/>
            <w:vAlign w:val="center"/>
          </w:tcPr>
          <w:p w14:paraId="04C17067">
            <w:pPr>
              <w:wordWrap w:val="0"/>
              <w:spacing w:line="440" w:lineRule="exact"/>
              <w:jc w:val="center"/>
              <w:rPr>
                <w:color w:val="auto"/>
                <w:szCs w:val="21"/>
                <w:highlight w:val="none"/>
              </w:rPr>
            </w:pPr>
          </w:p>
        </w:tc>
        <w:tc>
          <w:tcPr>
            <w:tcW w:w="2582" w:type="dxa"/>
            <w:vMerge w:val="continue"/>
            <w:vAlign w:val="center"/>
          </w:tcPr>
          <w:p w14:paraId="7960337F">
            <w:pPr>
              <w:wordWrap w:val="0"/>
              <w:spacing w:line="440" w:lineRule="exact"/>
              <w:jc w:val="center"/>
              <w:rPr>
                <w:color w:val="auto"/>
                <w:szCs w:val="21"/>
                <w:highlight w:val="none"/>
              </w:rPr>
            </w:pPr>
          </w:p>
        </w:tc>
      </w:tr>
      <w:tr w14:paraId="48D1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28763C59">
            <w:pPr>
              <w:wordWrap w:val="0"/>
              <w:spacing w:line="440" w:lineRule="exact"/>
              <w:jc w:val="center"/>
              <w:rPr>
                <w:color w:val="auto"/>
                <w:szCs w:val="21"/>
                <w:highlight w:val="none"/>
              </w:rPr>
            </w:pPr>
          </w:p>
        </w:tc>
        <w:tc>
          <w:tcPr>
            <w:tcW w:w="2456" w:type="dxa"/>
            <w:vAlign w:val="center"/>
          </w:tcPr>
          <w:p w14:paraId="4C71FFDB">
            <w:pPr>
              <w:wordWrap w:val="0"/>
              <w:spacing w:line="440" w:lineRule="exact"/>
              <w:jc w:val="center"/>
              <w:rPr>
                <w:color w:val="auto"/>
                <w:szCs w:val="21"/>
                <w:highlight w:val="none"/>
              </w:rPr>
            </w:pPr>
          </w:p>
        </w:tc>
        <w:tc>
          <w:tcPr>
            <w:tcW w:w="1864" w:type="dxa"/>
            <w:vAlign w:val="center"/>
          </w:tcPr>
          <w:p w14:paraId="4D4BAECB">
            <w:pPr>
              <w:wordWrap w:val="0"/>
              <w:spacing w:line="440" w:lineRule="exact"/>
              <w:jc w:val="center"/>
              <w:rPr>
                <w:color w:val="auto"/>
                <w:szCs w:val="21"/>
                <w:highlight w:val="none"/>
              </w:rPr>
            </w:pPr>
          </w:p>
        </w:tc>
        <w:tc>
          <w:tcPr>
            <w:tcW w:w="2582" w:type="dxa"/>
            <w:vMerge w:val="continue"/>
            <w:vAlign w:val="center"/>
          </w:tcPr>
          <w:p w14:paraId="1B880D43">
            <w:pPr>
              <w:wordWrap w:val="0"/>
              <w:spacing w:line="440" w:lineRule="exact"/>
              <w:jc w:val="center"/>
              <w:rPr>
                <w:color w:val="auto"/>
                <w:szCs w:val="21"/>
                <w:highlight w:val="none"/>
              </w:rPr>
            </w:pPr>
          </w:p>
        </w:tc>
      </w:tr>
      <w:tr w14:paraId="4ED7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20FD5360">
            <w:pPr>
              <w:wordWrap w:val="0"/>
              <w:spacing w:line="440" w:lineRule="exact"/>
              <w:jc w:val="center"/>
              <w:rPr>
                <w:color w:val="auto"/>
                <w:szCs w:val="21"/>
                <w:highlight w:val="none"/>
              </w:rPr>
            </w:pPr>
          </w:p>
        </w:tc>
        <w:tc>
          <w:tcPr>
            <w:tcW w:w="2456" w:type="dxa"/>
            <w:vAlign w:val="center"/>
          </w:tcPr>
          <w:p w14:paraId="257844D8">
            <w:pPr>
              <w:wordWrap w:val="0"/>
              <w:spacing w:line="440" w:lineRule="exact"/>
              <w:jc w:val="center"/>
              <w:rPr>
                <w:color w:val="auto"/>
                <w:szCs w:val="21"/>
                <w:highlight w:val="none"/>
              </w:rPr>
            </w:pPr>
          </w:p>
        </w:tc>
        <w:tc>
          <w:tcPr>
            <w:tcW w:w="1864" w:type="dxa"/>
            <w:vAlign w:val="center"/>
          </w:tcPr>
          <w:p w14:paraId="4EEA0E64">
            <w:pPr>
              <w:wordWrap w:val="0"/>
              <w:spacing w:line="440" w:lineRule="exact"/>
              <w:jc w:val="center"/>
              <w:rPr>
                <w:color w:val="auto"/>
                <w:szCs w:val="21"/>
                <w:highlight w:val="none"/>
              </w:rPr>
            </w:pPr>
          </w:p>
        </w:tc>
        <w:tc>
          <w:tcPr>
            <w:tcW w:w="2582" w:type="dxa"/>
            <w:vMerge w:val="continue"/>
            <w:vAlign w:val="center"/>
          </w:tcPr>
          <w:p w14:paraId="36F05F14">
            <w:pPr>
              <w:wordWrap w:val="0"/>
              <w:spacing w:line="440" w:lineRule="exact"/>
              <w:jc w:val="center"/>
              <w:rPr>
                <w:color w:val="auto"/>
                <w:szCs w:val="21"/>
                <w:highlight w:val="none"/>
              </w:rPr>
            </w:pPr>
          </w:p>
        </w:tc>
      </w:tr>
      <w:tr w14:paraId="716C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A7215B6">
            <w:pPr>
              <w:wordWrap w:val="0"/>
              <w:spacing w:line="440" w:lineRule="exact"/>
              <w:jc w:val="center"/>
              <w:rPr>
                <w:color w:val="auto"/>
                <w:szCs w:val="21"/>
                <w:highlight w:val="none"/>
              </w:rPr>
            </w:pPr>
          </w:p>
        </w:tc>
        <w:tc>
          <w:tcPr>
            <w:tcW w:w="2456" w:type="dxa"/>
            <w:vAlign w:val="center"/>
          </w:tcPr>
          <w:p w14:paraId="3FA65B3B">
            <w:pPr>
              <w:wordWrap w:val="0"/>
              <w:spacing w:line="440" w:lineRule="exact"/>
              <w:jc w:val="center"/>
              <w:rPr>
                <w:color w:val="auto"/>
                <w:szCs w:val="21"/>
                <w:highlight w:val="none"/>
              </w:rPr>
            </w:pPr>
          </w:p>
        </w:tc>
        <w:tc>
          <w:tcPr>
            <w:tcW w:w="1864" w:type="dxa"/>
            <w:vAlign w:val="center"/>
          </w:tcPr>
          <w:p w14:paraId="41A0EEC5">
            <w:pPr>
              <w:wordWrap w:val="0"/>
              <w:spacing w:line="440" w:lineRule="exact"/>
              <w:jc w:val="center"/>
              <w:rPr>
                <w:color w:val="auto"/>
                <w:szCs w:val="21"/>
                <w:highlight w:val="none"/>
              </w:rPr>
            </w:pPr>
          </w:p>
        </w:tc>
        <w:tc>
          <w:tcPr>
            <w:tcW w:w="2582" w:type="dxa"/>
            <w:vMerge w:val="continue"/>
            <w:vAlign w:val="center"/>
          </w:tcPr>
          <w:p w14:paraId="65AD7F4A">
            <w:pPr>
              <w:wordWrap w:val="0"/>
              <w:spacing w:line="440" w:lineRule="exact"/>
              <w:jc w:val="center"/>
              <w:rPr>
                <w:color w:val="auto"/>
                <w:szCs w:val="21"/>
                <w:highlight w:val="none"/>
              </w:rPr>
            </w:pPr>
          </w:p>
        </w:tc>
      </w:tr>
      <w:tr w14:paraId="6528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4534EB87">
            <w:pPr>
              <w:wordWrap w:val="0"/>
              <w:spacing w:line="440" w:lineRule="exact"/>
              <w:jc w:val="center"/>
              <w:rPr>
                <w:color w:val="auto"/>
                <w:szCs w:val="21"/>
                <w:highlight w:val="none"/>
              </w:rPr>
            </w:pPr>
          </w:p>
        </w:tc>
        <w:tc>
          <w:tcPr>
            <w:tcW w:w="2456" w:type="dxa"/>
            <w:vAlign w:val="center"/>
          </w:tcPr>
          <w:p w14:paraId="1B719CFA">
            <w:pPr>
              <w:wordWrap w:val="0"/>
              <w:spacing w:line="440" w:lineRule="exact"/>
              <w:jc w:val="center"/>
              <w:rPr>
                <w:color w:val="auto"/>
                <w:szCs w:val="21"/>
                <w:highlight w:val="none"/>
              </w:rPr>
            </w:pPr>
          </w:p>
        </w:tc>
        <w:tc>
          <w:tcPr>
            <w:tcW w:w="1864" w:type="dxa"/>
            <w:vAlign w:val="center"/>
          </w:tcPr>
          <w:p w14:paraId="3FA65476">
            <w:pPr>
              <w:wordWrap w:val="0"/>
              <w:spacing w:line="440" w:lineRule="exact"/>
              <w:jc w:val="center"/>
              <w:rPr>
                <w:color w:val="auto"/>
                <w:szCs w:val="21"/>
                <w:highlight w:val="none"/>
              </w:rPr>
            </w:pPr>
          </w:p>
        </w:tc>
        <w:tc>
          <w:tcPr>
            <w:tcW w:w="2582" w:type="dxa"/>
            <w:vMerge w:val="continue"/>
            <w:vAlign w:val="center"/>
          </w:tcPr>
          <w:p w14:paraId="22376045">
            <w:pPr>
              <w:wordWrap w:val="0"/>
              <w:spacing w:line="440" w:lineRule="exact"/>
              <w:jc w:val="center"/>
              <w:rPr>
                <w:color w:val="auto"/>
                <w:szCs w:val="21"/>
                <w:highlight w:val="none"/>
              </w:rPr>
            </w:pPr>
          </w:p>
        </w:tc>
      </w:tr>
      <w:tr w14:paraId="43DC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67E2DA66">
            <w:pPr>
              <w:wordWrap w:val="0"/>
              <w:spacing w:line="440" w:lineRule="exact"/>
              <w:jc w:val="center"/>
              <w:rPr>
                <w:color w:val="auto"/>
                <w:szCs w:val="21"/>
                <w:highlight w:val="none"/>
              </w:rPr>
            </w:pPr>
          </w:p>
        </w:tc>
        <w:tc>
          <w:tcPr>
            <w:tcW w:w="2456" w:type="dxa"/>
            <w:vAlign w:val="center"/>
          </w:tcPr>
          <w:p w14:paraId="64B261F8">
            <w:pPr>
              <w:wordWrap w:val="0"/>
              <w:spacing w:line="440" w:lineRule="exact"/>
              <w:jc w:val="center"/>
              <w:rPr>
                <w:color w:val="auto"/>
                <w:szCs w:val="21"/>
                <w:highlight w:val="none"/>
              </w:rPr>
            </w:pPr>
          </w:p>
        </w:tc>
        <w:tc>
          <w:tcPr>
            <w:tcW w:w="1864" w:type="dxa"/>
            <w:vAlign w:val="center"/>
          </w:tcPr>
          <w:p w14:paraId="76EF9A41">
            <w:pPr>
              <w:wordWrap w:val="0"/>
              <w:spacing w:line="440" w:lineRule="exact"/>
              <w:jc w:val="center"/>
              <w:rPr>
                <w:color w:val="auto"/>
                <w:szCs w:val="21"/>
                <w:highlight w:val="none"/>
              </w:rPr>
            </w:pPr>
          </w:p>
        </w:tc>
        <w:tc>
          <w:tcPr>
            <w:tcW w:w="2582" w:type="dxa"/>
            <w:vMerge w:val="continue"/>
            <w:vAlign w:val="center"/>
          </w:tcPr>
          <w:p w14:paraId="107FD09C">
            <w:pPr>
              <w:wordWrap w:val="0"/>
              <w:spacing w:line="440" w:lineRule="exact"/>
              <w:jc w:val="center"/>
              <w:rPr>
                <w:color w:val="auto"/>
                <w:szCs w:val="21"/>
                <w:highlight w:val="none"/>
              </w:rPr>
            </w:pPr>
          </w:p>
        </w:tc>
      </w:tr>
      <w:tr w14:paraId="603E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7162063">
            <w:pPr>
              <w:wordWrap w:val="0"/>
              <w:spacing w:line="440" w:lineRule="exact"/>
              <w:jc w:val="center"/>
              <w:rPr>
                <w:color w:val="auto"/>
                <w:szCs w:val="21"/>
                <w:highlight w:val="none"/>
              </w:rPr>
            </w:pPr>
          </w:p>
        </w:tc>
        <w:tc>
          <w:tcPr>
            <w:tcW w:w="2456" w:type="dxa"/>
            <w:vAlign w:val="center"/>
          </w:tcPr>
          <w:p w14:paraId="1979B416">
            <w:pPr>
              <w:wordWrap w:val="0"/>
              <w:spacing w:line="440" w:lineRule="exact"/>
              <w:jc w:val="center"/>
              <w:rPr>
                <w:color w:val="auto"/>
                <w:szCs w:val="21"/>
                <w:highlight w:val="none"/>
              </w:rPr>
            </w:pPr>
          </w:p>
        </w:tc>
        <w:tc>
          <w:tcPr>
            <w:tcW w:w="1864" w:type="dxa"/>
            <w:vAlign w:val="center"/>
          </w:tcPr>
          <w:p w14:paraId="3B947BFC">
            <w:pPr>
              <w:wordWrap w:val="0"/>
              <w:spacing w:line="440" w:lineRule="exact"/>
              <w:jc w:val="center"/>
              <w:rPr>
                <w:color w:val="auto"/>
                <w:szCs w:val="21"/>
                <w:highlight w:val="none"/>
              </w:rPr>
            </w:pPr>
          </w:p>
        </w:tc>
        <w:tc>
          <w:tcPr>
            <w:tcW w:w="2582" w:type="dxa"/>
            <w:vMerge w:val="continue"/>
            <w:vAlign w:val="center"/>
          </w:tcPr>
          <w:p w14:paraId="4CAF6BD4">
            <w:pPr>
              <w:wordWrap w:val="0"/>
              <w:spacing w:line="440" w:lineRule="exact"/>
              <w:jc w:val="center"/>
              <w:rPr>
                <w:color w:val="auto"/>
                <w:szCs w:val="21"/>
                <w:highlight w:val="none"/>
              </w:rPr>
            </w:pPr>
          </w:p>
        </w:tc>
      </w:tr>
      <w:tr w14:paraId="1159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DA4DE9A">
            <w:pPr>
              <w:wordWrap w:val="0"/>
              <w:spacing w:line="440" w:lineRule="exact"/>
              <w:jc w:val="center"/>
              <w:rPr>
                <w:color w:val="auto"/>
                <w:szCs w:val="21"/>
                <w:highlight w:val="none"/>
              </w:rPr>
            </w:pPr>
          </w:p>
        </w:tc>
        <w:tc>
          <w:tcPr>
            <w:tcW w:w="2456" w:type="dxa"/>
            <w:vAlign w:val="center"/>
          </w:tcPr>
          <w:p w14:paraId="737D6C0D">
            <w:pPr>
              <w:wordWrap w:val="0"/>
              <w:spacing w:line="440" w:lineRule="exact"/>
              <w:jc w:val="center"/>
              <w:rPr>
                <w:color w:val="auto"/>
                <w:szCs w:val="21"/>
                <w:highlight w:val="none"/>
              </w:rPr>
            </w:pPr>
          </w:p>
        </w:tc>
        <w:tc>
          <w:tcPr>
            <w:tcW w:w="1864" w:type="dxa"/>
            <w:vAlign w:val="center"/>
          </w:tcPr>
          <w:p w14:paraId="1FB02135">
            <w:pPr>
              <w:wordWrap w:val="0"/>
              <w:spacing w:line="440" w:lineRule="exact"/>
              <w:jc w:val="center"/>
              <w:rPr>
                <w:color w:val="auto"/>
                <w:szCs w:val="21"/>
                <w:highlight w:val="none"/>
              </w:rPr>
            </w:pPr>
          </w:p>
        </w:tc>
        <w:tc>
          <w:tcPr>
            <w:tcW w:w="2582" w:type="dxa"/>
            <w:vMerge w:val="continue"/>
            <w:vAlign w:val="center"/>
          </w:tcPr>
          <w:p w14:paraId="5062D9AA">
            <w:pPr>
              <w:wordWrap w:val="0"/>
              <w:spacing w:line="440" w:lineRule="exact"/>
              <w:jc w:val="center"/>
              <w:rPr>
                <w:color w:val="auto"/>
                <w:szCs w:val="21"/>
                <w:highlight w:val="none"/>
              </w:rPr>
            </w:pPr>
          </w:p>
        </w:tc>
      </w:tr>
      <w:tr w14:paraId="06EC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3DA5614B">
            <w:pPr>
              <w:wordWrap w:val="0"/>
              <w:spacing w:line="440" w:lineRule="exact"/>
              <w:jc w:val="center"/>
              <w:rPr>
                <w:color w:val="auto"/>
                <w:szCs w:val="21"/>
                <w:highlight w:val="none"/>
              </w:rPr>
            </w:pPr>
          </w:p>
        </w:tc>
        <w:tc>
          <w:tcPr>
            <w:tcW w:w="2456" w:type="dxa"/>
            <w:vAlign w:val="center"/>
          </w:tcPr>
          <w:p w14:paraId="26FC19CB">
            <w:pPr>
              <w:wordWrap w:val="0"/>
              <w:spacing w:line="440" w:lineRule="exact"/>
              <w:jc w:val="center"/>
              <w:rPr>
                <w:color w:val="auto"/>
                <w:szCs w:val="21"/>
                <w:highlight w:val="none"/>
              </w:rPr>
            </w:pPr>
          </w:p>
        </w:tc>
        <w:tc>
          <w:tcPr>
            <w:tcW w:w="1864" w:type="dxa"/>
            <w:vAlign w:val="center"/>
          </w:tcPr>
          <w:p w14:paraId="30808129">
            <w:pPr>
              <w:wordWrap w:val="0"/>
              <w:spacing w:line="440" w:lineRule="exact"/>
              <w:jc w:val="center"/>
              <w:rPr>
                <w:color w:val="auto"/>
                <w:szCs w:val="21"/>
                <w:highlight w:val="none"/>
              </w:rPr>
            </w:pPr>
          </w:p>
        </w:tc>
        <w:tc>
          <w:tcPr>
            <w:tcW w:w="2582" w:type="dxa"/>
            <w:vMerge w:val="continue"/>
            <w:vAlign w:val="center"/>
          </w:tcPr>
          <w:p w14:paraId="7683DA49">
            <w:pPr>
              <w:wordWrap w:val="0"/>
              <w:spacing w:line="440" w:lineRule="exact"/>
              <w:jc w:val="center"/>
              <w:rPr>
                <w:color w:val="auto"/>
                <w:szCs w:val="21"/>
                <w:highlight w:val="none"/>
              </w:rPr>
            </w:pPr>
          </w:p>
        </w:tc>
      </w:tr>
      <w:tr w14:paraId="0385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FB07C21">
            <w:pPr>
              <w:wordWrap w:val="0"/>
              <w:spacing w:line="440" w:lineRule="exact"/>
              <w:jc w:val="center"/>
              <w:rPr>
                <w:color w:val="auto"/>
                <w:szCs w:val="21"/>
                <w:highlight w:val="none"/>
              </w:rPr>
            </w:pPr>
          </w:p>
        </w:tc>
        <w:tc>
          <w:tcPr>
            <w:tcW w:w="2456" w:type="dxa"/>
            <w:vAlign w:val="center"/>
          </w:tcPr>
          <w:p w14:paraId="0F8359F9">
            <w:pPr>
              <w:wordWrap w:val="0"/>
              <w:spacing w:line="440" w:lineRule="exact"/>
              <w:jc w:val="center"/>
              <w:rPr>
                <w:color w:val="auto"/>
                <w:szCs w:val="21"/>
                <w:highlight w:val="none"/>
              </w:rPr>
            </w:pPr>
          </w:p>
        </w:tc>
        <w:tc>
          <w:tcPr>
            <w:tcW w:w="1864" w:type="dxa"/>
            <w:vAlign w:val="center"/>
          </w:tcPr>
          <w:p w14:paraId="24C67C56">
            <w:pPr>
              <w:wordWrap w:val="0"/>
              <w:spacing w:line="440" w:lineRule="exact"/>
              <w:jc w:val="center"/>
              <w:rPr>
                <w:color w:val="auto"/>
                <w:szCs w:val="21"/>
                <w:highlight w:val="none"/>
              </w:rPr>
            </w:pPr>
          </w:p>
        </w:tc>
        <w:tc>
          <w:tcPr>
            <w:tcW w:w="2582" w:type="dxa"/>
            <w:vMerge w:val="continue"/>
            <w:vAlign w:val="center"/>
          </w:tcPr>
          <w:p w14:paraId="15D52B12">
            <w:pPr>
              <w:wordWrap w:val="0"/>
              <w:spacing w:line="440" w:lineRule="exact"/>
              <w:jc w:val="center"/>
              <w:rPr>
                <w:color w:val="auto"/>
                <w:szCs w:val="21"/>
                <w:highlight w:val="none"/>
              </w:rPr>
            </w:pPr>
          </w:p>
        </w:tc>
      </w:tr>
      <w:tr w14:paraId="3FA8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433B2FF">
            <w:pPr>
              <w:wordWrap w:val="0"/>
              <w:spacing w:line="440" w:lineRule="exact"/>
              <w:jc w:val="center"/>
              <w:rPr>
                <w:color w:val="auto"/>
                <w:szCs w:val="21"/>
                <w:highlight w:val="none"/>
              </w:rPr>
            </w:pPr>
          </w:p>
        </w:tc>
        <w:tc>
          <w:tcPr>
            <w:tcW w:w="2456" w:type="dxa"/>
            <w:vAlign w:val="center"/>
          </w:tcPr>
          <w:p w14:paraId="119B3369">
            <w:pPr>
              <w:wordWrap w:val="0"/>
              <w:spacing w:line="440" w:lineRule="exact"/>
              <w:jc w:val="center"/>
              <w:rPr>
                <w:color w:val="auto"/>
                <w:szCs w:val="21"/>
                <w:highlight w:val="none"/>
              </w:rPr>
            </w:pPr>
          </w:p>
        </w:tc>
        <w:tc>
          <w:tcPr>
            <w:tcW w:w="1864" w:type="dxa"/>
            <w:vAlign w:val="center"/>
          </w:tcPr>
          <w:p w14:paraId="22B30C52">
            <w:pPr>
              <w:wordWrap w:val="0"/>
              <w:spacing w:line="440" w:lineRule="exact"/>
              <w:jc w:val="center"/>
              <w:rPr>
                <w:color w:val="auto"/>
                <w:szCs w:val="21"/>
                <w:highlight w:val="none"/>
              </w:rPr>
            </w:pPr>
          </w:p>
        </w:tc>
        <w:tc>
          <w:tcPr>
            <w:tcW w:w="2582" w:type="dxa"/>
            <w:vMerge w:val="continue"/>
            <w:vAlign w:val="center"/>
          </w:tcPr>
          <w:p w14:paraId="14544E58">
            <w:pPr>
              <w:wordWrap w:val="0"/>
              <w:spacing w:line="440" w:lineRule="exact"/>
              <w:jc w:val="center"/>
              <w:rPr>
                <w:color w:val="auto"/>
                <w:szCs w:val="21"/>
                <w:highlight w:val="none"/>
              </w:rPr>
            </w:pPr>
          </w:p>
        </w:tc>
      </w:tr>
      <w:tr w14:paraId="5F17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497936BD">
            <w:pPr>
              <w:wordWrap w:val="0"/>
              <w:spacing w:line="440" w:lineRule="exact"/>
              <w:jc w:val="center"/>
              <w:rPr>
                <w:color w:val="auto"/>
                <w:szCs w:val="21"/>
                <w:highlight w:val="none"/>
              </w:rPr>
            </w:pPr>
          </w:p>
        </w:tc>
        <w:tc>
          <w:tcPr>
            <w:tcW w:w="2456" w:type="dxa"/>
            <w:vAlign w:val="center"/>
          </w:tcPr>
          <w:p w14:paraId="313588C0">
            <w:pPr>
              <w:wordWrap w:val="0"/>
              <w:spacing w:line="440" w:lineRule="exact"/>
              <w:jc w:val="center"/>
              <w:rPr>
                <w:color w:val="auto"/>
                <w:szCs w:val="21"/>
                <w:highlight w:val="none"/>
              </w:rPr>
            </w:pPr>
          </w:p>
        </w:tc>
        <w:tc>
          <w:tcPr>
            <w:tcW w:w="1864" w:type="dxa"/>
            <w:vAlign w:val="center"/>
          </w:tcPr>
          <w:p w14:paraId="5C26775D">
            <w:pPr>
              <w:wordWrap w:val="0"/>
              <w:spacing w:line="440" w:lineRule="exact"/>
              <w:jc w:val="center"/>
              <w:rPr>
                <w:color w:val="auto"/>
                <w:szCs w:val="21"/>
                <w:highlight w:val="none"/>
              </w:rPr>
            </w:pPr>
          </w:p>
        </w:tc>
        <w:tc>
          <w:tcPr>
            <w:tcW w:w="2582" w:type="dxa"/>
            <w:vMerge w:val="continue"/>
            <w:vAlign w:val="center"/>
          </w:tcPr>
          <w:p w14:paraId="782DD3B0">
            <w:pPr>
              <w:wordWrap w:val="0"/>
              <w:spacing w:line="440" w:lineRule="exact"/>
              <w:jc w:val="center"/>
              <w:rPr>
                <w:color w:val="auto"/>
                <w:szCs w:val="21"/>
                <w:highlight w:val="none"/>
              </w:rPr>
            </w:pPr>
          </w:p>
        </w:tc>
      </w:tr>
      <w:tr w14:paraId="714F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25D12FB0">
            <w:pPr>
              <w:wordWrap w:val="0"/>
              <w:spacing w:line="440" w:lineRule="exact"/>
              <w:jc w:val="center"/>
              <w:rPr>
                <w:color w:val="auto"/>
                <w:szCs w:val="21"/>
                <w:highlight w:val="none"/>
              </w:rPr>
            </w:pPr>
          </w:p>
        </w:tc>
        <w:tc>
          <w:tcPr>
            <w:tcW w:w="2456" w:type="dxa"/>
            <w:vAlign w:val="center"/>
          </w:tcPr>
          <w:p w14:paraId="6145615D">
            <w:pPr>
              <w:wordWrap w:val="0"/>
              <w:spacing w:line="440" w:lineRule="exact"/>
              <w:jc w:val="center"/>
              <w:rPr>
                <w:color w:val="auto"/>
                <w:szCs w:val="21"/>
                <w:highlight w:val="none"/>
              </w:rPr>
            </w:pPr>
          </w:p>
        </w:tc>
        <w:tc>
          <w:tcPr>
            <w:tcW w:w="1864" w:type="dxa"/>
            <w:vAlign w:val="center"/>
          </w:tcPr>
          <w:p w14:paraId="5CD59F23">
            <w:pPr>
              <w:wordWrap w:val="0"/>
              <w:spacing w:line="440" w:lineRule="exact"/>
              <w:jc w:val="center"/>
              <w:rPr>
                <w:color w:val="auto"/>
                <w:szCs w:val="21"/>
                <w:highlight w:val="none"/>
              </w:rPr>
            </w:pPr>
          </w:p>
        </w:tc>
        <w:tc>
          <w:tcPr>
            <w:tcW w:w="2582" w:type="dxa"/>
            <w:vMerge w:val="continue"/>
            <w:vAlign w:val="center"/>
          </w:tcPr>
          <w:p w14:paraId="4452FDA2">
            <w:pPr>
              <w:wordWrap w:val="0"/>
              <w:spacing w:line="440" w:lineRule="exact"/>
              <w:jc w:val="center"/>
              <w:rPr>
                <w:color w:val="auto"/>
                <w:szCs w:val="21"/>
                <w:highlight w:val="none"/>
              </w:rPr>
            </w:pPr>
          </w:p>
        </w:tc>
      </w:tr>
      <w:tr w14:paraId="18D5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vAlign w:val="center"/>
          </w:tcPr>
          <w:p w14:paraId="5715E7F0">
            <w:pPr>
              <w:wordWrap w:val="0"/>
              <w:spacing w:line="440" w:lineRule="exact"/>
              <w:jc w:val="center"/>
              <w:rPr>
                <w:color w:val="auto"/>
                <w:szCs w:val="21"/>
                <w:highlight w:val="none"/>
              </w:rPr>
            </w:pPr>
            <w:r>
              <w:rPr>
                <w:color w:val="auto"/>
                <w:szCs w:val="21"/>
                <w:highlight w:val="none"/>
              </w:rPr>
              <w:t>拟分包工程造价合计（万元）</w:t>
            </w:r>
          </w:p>
        </w:tc>
        <w:tc>
          <w:tcPr>
            <w:tcW w:w="1864" w:type="dxa"/>
            <w:vAlign w:val="center"/>
          </w:tcPr>
          <w:p w14:paraId="5C6186C5">
            <w:pPr>
              <w:wordWrap w:val="0"/>
              <w:spacing w:line="440" w:lineRule="exact"/>
              <w:jc w:val="center"/>
              <w:rPr>
                <w:color w:val="auto"/>
                <w:szCs w:val="21"/>
                <w:highlight w:val="none"/>
              </w:rPr>
            </w:pPr>
          </w:p>
        </w:tc>
        <w:tc>
          <w:tcPr>
            <w:tcW w:w="2582" w:type="dxa"/>
            <w:vMerge w:val="continue"/>
            <w:vAlign w:val="center"/>
          </w:tcPr>
          <w:p w14:paraId="3101480D">
            <w:pPr>
              <w:wordWrap w:val="0"/>
              <w:spacing w:line="440" w:lineRule="exact"/>
              <w:jc w:val="center"/>
              <w:rPr>
                <w:color w:val="auto"/>
                <w:szCs w:val="21"/>
                <w:highlight w:val="none"/>
              </w:rPr>
            </w:pPr>
          </w:p>
        </w:tc>
      </w:tr>
    </w:tbl>
    <w:p w14:paraId="45AF35FF">
      <w:pPr>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left"/>
        <w:textAlignment w:val="auto"/>
        <w:outlineLvl w:val="9"/>
        <w:rPr>
          <w:rFonts w:hint="eastAsia" w:eastAsia="黑体" w:cs="Times New Roman"/>
          <w:b w:val="0"/>
          <w:bCs/>
          <w:color w:val="auto"/>
          <w:kern w:val="44"/>
          <w:sz w:val="28"/>
          <w:szCs w:val="28"/>
          <w:highlight w:val="none"/>
          <w:lang w:val="en-US" w:eastAsia="zh-CN"/>
        </w:rPr>
      </w:pPr>
      <w:r>
        <w:rPr>
          <w:rFonts w:hint="eastAsia" w:eastAsia="黑体" w:cs="Times New Roman"/>
          <w:b w:val="0"/>
          <w:bCs/>
          <w:color w:val="auto"/>
          <w:kern w:val="44"/>
          <w:sz w:val="28"/>
          <w:szCs w:val="28"/>
          <w:highlight w:val="none"/>
          <w:lang w:val="en-US" w:eastAsia="zh-CN"/>
        </w:rPr>
        <w:br w:type="page"/>
      </w:r>
    </w:p>
    <w:p w14:paraId="76AEC1AF">
      <w:pPr>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center"/>
        <w:textAlignment w:val="auto"/>
        <w:outlineLvl w:val="1"/>
        <w:rPr>
          <w:rFonts w:hint="default" w:ascii="Times New Roman" w:hAnsi="Times New Roman" w:eastAsia="黑体" w:cs="Times New Roman"/>
          <w:b w:val="0"/>
          <w:bCs/>
          <w:color w:val="auto"/>
          <w:kern w:val="44"/>
          <w:sz w:val="28"/>
          <w:szCs w:val="28"/>
          <w:highlight w:val="none"/>
        </w:rPr>
      </w:pPr>
      <w:bookmarkStart w:id="1966" w:name="_Toc18949"/>
      <w:r>
        <w:rPr>
          <w:rFonts w:hint="eastAsia" w:eastAsia="黑体" w:cs="Times New Roman"/>
          <w:b w:val="0"/>
          <w:bCs/>
          <w:color w:val="auto"/>
          <w:kern w:val="44"/>
          <w:sz w:val="28"/>
          <w:szCs w:val="28"/>
          <w:highlight w:val="none"/>
          <w:lang w:val="en-US" w:eastAsia="zh-CN"/>
        </w:rPr>
        <w:t>八</w:t>
      </w:r>
      <w:r>
        <w:rPr>
          <w:rFonts w:hint="default" w:ascii="Times New Roman" w:hAnsi="Times New Roman" w:eastAsia="黑体" w:cs="Times New Roman"/>
          <w:b w:val="0"/>
          <w:bCs/>
          <w:color w:val="auto"/>
          <w:kern w:val="44"/>
          <w:sz w:val="28"/>
          <w:szCs w:val="28"/>
          <w:highlight w:val="none"/>
        </w:rPr>
        <w:t>、资格审查资料</w:t>
      </w:r>
      <w:bookmarkEnd w:id="1961"/>
      <w:bookmarkEnd w:id="1962"/>
      <w:bookmarkEnd w:id="1966"/>
    </w:p>
    <w:p w14:paraId="1EF1CBC6">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8"/>
          <w:szCs w:val="28"/>
          <w:highlight w:val="none"/>
        </w:rPr>
      </w:pPr>
    </w:p>
    <w:p w14:paraId="3E87EAA2">
      <w:pPr>
        <w:pStyle w:val="2"/>
        <w:pageBreakBefore w:val="0"/>
        <w:kinsoku/>
        <w:wordWrap w:val="0"/>
        <w:bidi w:val="0"/>
        <w:spacing w:before="0" w:after="0" w:line="380" w:lineRule="atLeast"/>
        <w:jc w:val="center"/>
        <w:outlineLvl w:val="2"/>
        <w:rPr>
          <w:rFonts w:hint="default" w:ascii="Times New Roman" w:hAnsi="Times New Roman" w:eastAsia="黑体" w:cs="Times New Roman"/>
          <w:color w:val="auto"/>
          <w:sz w:val="23"/>
          <w:szCs w:val="23"/>
          <w:highlight w:val="none"/>
        </w:rPr>
      </w:pPr>
      <w:bookmarkStart w:id="1967" w:name="_Toc10802"/>
      <w:bookmarkStart w:id="1968" w:name="_Toc8645"/>
      <w:bookmarkStart w:id="1969" w:name="_Toc15892"/>
      <w:bookmarkStart w:id="1970" w:name="_Toc234833279"/>
      <w:r>
        <w:rPr>
          <w:rFonts w:hint="default" w:ascii="Times New Roman" w:hAnsi="Times New Roman" w:eastAsia="黑体" w:cs="Times New Roman"/>
          <w:b w:val="0"/>
          <w:color w:val="auto"/>
          <w:sz w:val="24"/>
          <w:szCs w:val="24"/>
          <w:highlight w:val="none"/>
        </w:rPr>
        <w:t>（一）投标人基本情况表</w:t>
      </w:r>
      <w:bookmarkEnd w:id="1967"/>
      <w:bookmarkEnd w:id="1968"/>
      <w:bookmarkEnd w:id="1969"/>
      <w:bookmarkEnd w:id="1970"/>
    </w:p>
    <w:tbl>
      <w:tblPr>
        <w:tblStyle w:val="39"/>
        <w:tblW w:w="89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692"/>
        <w:gridCol w:w="917"/>
        <w:gridCol w:w="229"/>
        <w:gridCol w:w="1762"/>
        <w:gridCol w:w="79"/>
        <w:gridCol w:w="1817"/>
        <w:gridCol w:w="625"/>
      </w:tblGrid>
      <w:tr w14:paraId="026572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AFBFEC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44F6FA2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168F3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AA7251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注册地址</w:t>
            </w:r>
          </w:p>
        </w:tc>
        <w:tc>
          <w:tcPr>
            <w:tcW w:w="2738" w:type="dxa"/>
            <w:gridSpan w:val="4"/>
            <w:tcBorders>
              <w:top w:val="single" w:color="auto" w:sz="4" w:space="0"/>
              <w:left w:val="single" w:color="auto" w:sz="4" w:space="0"/>
              <w:bottom w:val="single" w:color="auto" w:sz="4" w:space="0"/>
              <w:right w:val="single" w:color="auto" w:sz="4" w:space="0"/>
            </w:tcBorders>
            <w:noWrap w:val="0"/>
            <w:vAlign w:val="center"/>
          </w:tcPr>
          <w:p w14:paraId="7F0B88D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5BC365E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邮政编码</w:t>
            </w:r>
          </w:p>
        </w:tc>
        <w:tc>
          <w:tcPr>
            <w:tcW w:w="2442" w:type="dxa"/>
            <w:gridSpan w:val="2"/>
            <w:tcBorders>
              <w:top w:val="single" w:color="auto" w:sz="4" w:space="0"/>
              <w:left w:val="single" w:color="auto" w:sz="4" w:space="0"/>
              <w:bottom w:val="single" w:color="auto" w:sz="4" w:space="0"/>
              <w:right w:val="single" w:color="auto" w:sz="4" w:space="0"/>
            </w:tcBorders>
            <w:noWrap w:val="0"/>
            <w:vAlign w:val="center"/>
          </w:tcPr>
          <w:p w14:paraId="397B7120">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0989C3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363C54C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358F5E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p>
        </w:tc>
        <w:tc>
          <w:tcPr>
            <w:tcW w:w="1838" w:type="dxa"/>
            <w:gridSpan w:val="3"/>
            <w:tcBorders>
              <w:top w:val="single" w:color="auto" w:sz="4" w:space="0"/>
              <w:left w:val="single" w:color="auto" w:sz="4" w:space="0"/>
              <w:bottom w:val="single" w:color="auto" w:sz="4" w:space="0"/>
              <w:right w:val="single" w:color="auto" w:sz="4" w:space="0"/>
            </w:tcBorders>
            <w:noWrap w:val="0"/>
            <w:vAlign w:val="center"/>
          </w:tcPr>
          <w:p w14:paraId="3D61829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317B3093">
            <w:pPr>
              <w:pageBreakBefore w:val="0"/>
              <w:kinsoku/>
              <w:wordWrap w:val="0"/>
              <w:topLinePunct/>
              <w:bidi w:val="0"/>
              <w:spacing w:line="440" w:lineRule="exact"/>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电 话</w:t>
            </w:r>
            <w:r>
              <w:rPr>
                <w:rFonts w:hint="eastAsia" w:cs="Times New Roman"/>
                <w:color w:val="auto"/>
                <w:szCs w:val="21"/>
                <w:highlight w:val="none"/>
                <w:lang w:eastAsia="zh-CN"/>
              </w:rPr>
              <w:t>（</w:t>
            </w:r>
            <w:r>
              <w:rPr>
                <w:rFonts w:hint="eastAsia" w:cs="Times New Roman"/>
                <w:color w:val="auto"/>
                <w:szCs w:val="21"/>
                <w:highlight w:val="none"/>
                <w:lang w:val="en-US" w:eastAsia="zh-CN"/>
              </w:rPr>
              <w:t>手机号码</w:t>
            </w:r>
            <w:r>
              <w:rPr>
                <w:rFonts w:hint="eastAsia" w:cs="Times New Roman"/>
                <w:color w:val="auto"/>
                <w:szCs w:val="21"/>
                <w:highlight w:val="none"/>
                <w:lang w:eastAsia="zh-CN"/>
              </w:rPr>
              <w:t>）</w:t>
            </w:r>
          </w:p>
        </w:tc>
        <w:tc>
          <w:tcPr>
            <w:tcW w:w="2442" w:type="dxa"/>
            <w:gridSpan w:val="2"/>
            <w:tcBorders>
              <w:top w:val="single" w:color="auto" w:sz="4" w:space="0"/>
              <w:left w:val="single" w:color="auto" w:sz="4" w:space="0"/>
              <w:bottom w:val="single" w:color="auto" w:sz="4" w:space="0"/>
              <w:right w:val="single" w:color="auto" w:sz="4" w:space="0"/>
            </w:tcBorders>
            <w:noWrap w:val="0"/>
            <w:vAlign w:val="center"/>
          </w:tcPr>
          <w:p w14:paraId="748570B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6BE8B8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6610254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1E12406">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  真</w:t>
            </w:r>
          </w:p>
        </w:tc>
        <w:tc>
          <w:tcPr>
            <w:tcW w:w="1838" w:type="dxa"/>
            <w:gridSpan w:val="3"/>
            <w:tcBorders>
              <w:top w:val="single" w:color="auto" w:sz="4" w:space="0"/>
              <w:left w:val="single" w:color="auto" w:sz="4" w:space="0"/>
              <w:bottom w:val="single" w:color="auto" w:sz="4" w:space="0"/>
              <w:right w:val="single" w:color="auto" w:sz="4" w:space="0"/>
            </w:tcBorders>
            <w:noWrap w:val="0"/>
            <w:vAlign w:val="center"/>
          </w:tcPr>
          <w:p w14:paraId="0CC8DE9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3B58893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电子邮件</w:t>
            </w:r>
          </w:p>
        </w:tc>
        <w:tc>
          <w:tcPr>
            <w:tcW w:w="2442" w:type="dxa"/>
            <w:gridSpan w:val="2"/>
            <w:tcBorders>
              <w:top w:val="single" w:color="auto" w:sz="4" w:space="0"/>
              <w:left w:val="single" w:color="auto" w:sz="4" w:space="0"/>
              <w:bottom w:val="single" w:color="auto" w:sz="4" w:space="0"/>
              <w:right w:val="single" w:color="auto" w:sz="4" w:space="0"/>
            </w:tcBorders>
            <w:noWrap w:val="0"/>
            <w:vAlign w:val="center"/>
          </w:tcPr>
          <w:p w14:paraId="6436139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78FB5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16F89F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B1BBBF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78AED38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146" w:type="dxa"/>
            <w:gridSpan w:val="2"/>
            <w:tcBorders>
              <w:top w:val="single" w:color="auto" w:sz="4" w:space="0"/>
              <w:left w:val="single" w:color="auto" w:sz="4" w:space="0"/>
              <w:bottom w:val="single" w:color="auto" w:sz="4" w:space="0"/>
              <w:right w:val="single" w:color="auto" w:sz="4" w:space="0"/>
            </w:tcBorders>
            <w:noWrap w:val="0"/>
            <w:vAlign w:val="center"/>
          </w:tcPr>
          <w:p w14:paraId="0637E8C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39D0277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14:paraId="190F87D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r>
              <w:rPr>
                <w:rFonts w:hint="eastAsia" w:cs="Times New Roman"/>
                <w:color w:val="auto"/>
                <w:szCs w:val="21"/>
                <w:highlight w:val="none"/>
                <w:lang w:eastAsia="zh-CN"/>
              </w:rPr>
              <w:t>（</w:t>
            </w:r>
            <w:r>
              <w:rPr>
                <w:rFonts w:hint="eastAsia" w:cs="Times New Roman"/>
                <w:color w:val="auto"/>
                <w:szCs w:val="21"/>
                <w:highlight w:val="none"/>
                <w:lang w:val="en-US" w:eastAsia="zh-CN"/>
              </w:rPr>
              <w:t>手机号码</w:t>
            </w:r>
            <w:r>
              <w:rPr>
                <w:rFonts w:hint="eastAsia" w:cs="Times New Roman"/>
                <w:color w:val="auto"/>
                <w:szCs w:val="21"/>
                <w:highlight w:val="none"/>
                <w:lang w:eastAsia="zh-CN"/>
              </w:rPr>
              <w:t>）</w:t>
            </w:r>
          </w:p>
        </w:tc>
        <w:tc>
          <w:tcPr>
            <w:tcW w:w="625" w:type="dxa"/>
            <w:tcBorders>
              <w:top w:val="single" w:color="auto" w:sz="4" w:space="0"/>
              <w:left w:val="single" w:color="auto" w:sz="4" w:space="0"/>
              <w:bottom w:val="single" w:color="auto" w:sz="4" w:space="0"/>
              <w:right w:val="single" w:color="auto" w:sz="4" w:space="0"/>
            </w:tcBorders>
            <w:noWrap w:val="0"/>
            <w:vAlign w:val="center"/>
          </w:tcPr>
          <w:p w14:paraId="515FA22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81C0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9C8ABE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809C4D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4DED0EE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146" w:type="dxa"/>
            <w:gridSpan w:val="2"/>
            <w:tcBorders>
              <w:top w:val="single" w:color="auto" w:sz="4" w:space="0"/>
              <w:left w:val="single" w:color="auto" w:sz="4" w:space="0"/>
              <w:bottom w:val="single" w:color="auto" w:sz="4" w:space="0"/>
              <w:right w:val="single" w:color="auto" w:sz="4" w:space="0"/>
            </w:tcBorders>
            <w:noWrap w:val="0"/>
            <w:vAlign w:val="center"/>
          </w:tcPr>
          <w:p w14:paraId="69A6243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841" w:type="dxa"/>
            <w:gridSpan w:val="2"/>
            <w:tcBorders>
              <w:top w:val="single" w:color="auto" w:sz="4" w:space="0"/>
              <w:left w:val="single" w:color="auto" w:sz="4" w:space="0"/>
              <w:bottom w:val="single" w:color="auto" w:sz="4" w:space="0"/>
              <w:right w:val="single" w:color="auto" w:sz="4" w:space="0"/>
            </w:tcBorders>
            <w:noWrap w:val="0"/>
            <w:vAlign w:val="center"/>
          </w:tcPr>
          <w:p w14:paraId="3FDA712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14:paraId="06B2DA6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r>
              <w:rPr>
                <w:rFonts w:hint="eastAsia" w:cs="Times New Roman"/>
                <w:color w:val="auto"/>
                <w:szCs w:val="21"/>
                <w:highlight w:val="none"/>
                <w:lang w:eastAsia="zh-CN"/>
              </w:rPr>
              <w:t>（</w:t>
            </w:r>
            <w:r>
              <w:rPr>
                <w:rFonts w:hint="eastAsia" w:cs="Times New Roman"/>
                <w:color w:val="auto"/>
                <w:szCs w:val="21"/>
                <w:highlight w:val="none"/>
                <w:lang w:val="en-US" w:eastAsia="zh-CN"/>
              </w:rPr>
              <w:t>手机号码</w:t>
            </w:r>
            <w:r>
              <w:rPr>
                <w:rFonts w:hint="eastAsia" w:cs="Times New Roman"/>
                <w:color w:val="auto"/>
                <w:szCs w:val="21"/>
                <w:highlight w:val="none"/>
                <w:lang w:eastAsia="zh-CN"/>
              </w:rPr>
              <w:t>）</w:t>
            </w:r>
          </w:p>
        </w:tc>
        <w:tc>
          <w:tcPr>
            <w:tcW w:w="625" w:type="dxa"/>
            <w:tcBorders>
              <w:top w:val="single" w:color="auto" w:sz="4" w:space="0"/>
              <w:left w:val="single" w:color="auto" w:sz="4" w:space="0"/>
              <w:bottom w:val="single" w:color="auto" w:sz="4" w:space="0"/>
              <w:right w:val="single" w:color="auto" w:sz="4" w:space="0"/>
            </w:tcBorders>
            <w:noWrap w:val="0"/>
            <w:vAlign w:val="center"/>
          </w:tcPr>
          <w:p w14:paraId="5073F3F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1E76A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637FB2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营业执照号</w:t>
            </w:r>
          </w:p>
        </w:tc>
        <w:tc>
          <w:tcPr>
            <w:tcW w:w="1592" w:type="dxa"/>
            <w:gridSpan w:val="2"/>
            <w:tcBorders>
              <w:top w:val="single" w:color="auto" w:sz="4" w:space="0"/>
              <w:left w:val="single" w:color="auto" w:sz="4" w:space="0"/>
              <w:bottom w:val="single" w:color="auto" w:sz="4" w:space="0"/>
              <w:right w:val="single" w:color="auto" w:sz="4" w:space="0"/>
            </w:tcBorders>
            <w:noWrap w:val="0"/>
            <w:vAlign w:val="center"/>
          </w:tcPr>
          <w:p w14:paraId="375EA57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429" w:type="dxa"/>
            <w:gridSpan w:val="6"/>
            <w:tcBorders>
              <w:top w:val="single" w:color="auto" w:sz="4" w:space="0"/>
              <w:left w:val="single" w:color="auto" w:sz="4" w:space="0"/>
              <w:bottom w:val="single" w:color="auto" w:sz="4" w:space="0"/>
              <w:right w:val="single" w:color="auto" w:sz="4" w:space="0"/>
            </w:tcBorders>
            <w:noWrap w:val="0"/>
            <w:vAlign w:val="center"/>
          </w:tcPr>
          <w:p w14:paraId="3A59DBED">
            <w:pPr>
              <w:pageBreakBefore w:val="0"/>
              <w:kinsoku/>
              <w:wordWrap w:val="0"/>
              <w:topLinePunct/>
              <w:bidi w:val="0"/>
              <w:spacing w:line="440" w:lineRule="exact"/>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员工总人数：</w:t>
            </w:r>
          </w:p>
        </w:tc>
      </w:tr>
      <w:tr w14:paraId="663895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A03AB2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企业资质等级</w:t>
            </w:r>
          </w:p>
        </w:tc>
        <w:tc>
          <w:tcPr>
            <w:tcW w:w="1592" w:type="dxa"/>
            <w:gridSpan w:val="2"/>
            <w:tcBorders>
              <w:top w:val="single" w:color="auto" w:sz="4" w:space="0"/>
              <w:left w:val="single" w:color="auto" w:sz="4" w:space="0"/>
              <w:bottom w:val="single" w:color="auto" w:sz="4" w:space="0"/>
              <w:right w:val="single" w:color="auto" w:sz="4" w:space="0"/>
            </w:tcBorders>
            <w:noWrap w:val="0"/>
            <w:vAlign w:val="center"/>
          </w:tcPr>
          <w:p w14:paraId="31377E5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17" w:type="dxa"/>
            <w:vMerge w:val="restart"/>
            <w:tcBorders>
              <w:top w:val="single" w:color="auto" w:sz="4" w:space="0"/>
              <w:left w:val="single" w:color="auto" w:sz="4" w:space="0"/>
              <w:bottom w:val="single" w:color="auto" w:sz="4" w:space="0"/>
              <w:right w:val="single" w:color="auto" w:sz="4" w:space="0"/>
            </w:tcBorders>
            <w:noWrap w:val="0"/>
            <w:vAlign w:val="center"/>
          </w:tcPr>
          <w:p w14:paraId="19C5791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其中</w:t>
            </w: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F5BD0BF">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2521" w:type="dxa"/>
            <w:gridSpan w:val="3"/>
            <w:tcBorders>
              <w:top w:val="single" w:color="auto" w:sz="4" w:space="0"/>
              <w:left w:val="single" w:color="auto" w:sz="4" w:space="0"/>
              <w:bottom w:val="single" w:color="auto" w:sz="4" w:space="0"/>
              <w:right w:val="single" w:color="auto" w:sz="4" w:space="0"/>
            </w:tcBorders>
            <w:noWrap w:val="0"/>
            <w:vAlign w:val="center"/>
          </w:tcPr>
          <w:p w14:paraId="55DE1DA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0B116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316FD5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注册资本</w:t>
            </w:r>
          </w:p>
        </w:tc>
        <w:tc>
          <w:tcPr>
            <w:tcW w:w="1592" w:type="dxa"/>
            <w:gridSpan w:val="2"/>
            <w:tcBorders>
              <w:top w:val="single" w:color="auto" w:sz="4" w:space="0"/>
              <w:left w:val="single" w:color="auto" w:sz="4" w:space="0"/>
              <w:bottom w:val="single" w:color="auto" w:sz="4" w:space="0"/>
              <w:right w:val="single" w:color="auto" w:sz="4" w:space="0"/>
            </w:tcBorders>
            <w:noWrap w:val="0"/>
            <w:vAlign w:val="center"/>
          </w:tcPr>
          <w:p w14:paraId="42E3FCD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17" w:type="dxa"/>
            <w:vMerge w:val="continue"/>
            <w:tcBorders>
              <w:top w:val="single" w:color="auto" w:sz="4" w:space="0"/>
              <w:left w:val="single" w:color="auto" w:sz="4" w:space="0"/>
              <w:bottom w:val="single" w:color="auto" w:sz="4" w:space="0"/>
              <w:right w:val="single" w:color="auto" w:sz="4" w:space="0"/>
            </w:tcBorders>
            <w:noWrap w:val="0"/>
            <w:vAlign w:val="center"/>
          </w:tcPr>
          <w:p w14:paraId="3F8688E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01FB3CB6">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高级职称人员</w:t>
            </w:r>
          </w:p>
        </w:tc>
        <w:tc>
          <w:tcPr>
            <w:tcW w:w="2521" w:type="dxa"/>
            <w:gridSpan w:val="3"/>
            <w:tcBorders>
              <w:top w:val="single" w:color="auto" w:sz="4" w:space="0"/>
              <w:left w:val="single" w:color="auto" w:sz="4" w:space="0"/>
              <w:bottom w:val="single" w:color="auto" w:sz="4" w:space="0"/>
              <w:right w:val="single" w:color="auto" w:sz="4" w:space="0"/>
            </w:tcBorders>
            <w:noWrap w:val="0"/>
            <w:vAlign w:val="center"/>
          </w:tcPr>
          <w:p w14:paraId="5E10EE4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15A2C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2978A7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成立日期</w:t>
            </w:r>
          </w:p>
        </w:tc>
        <w:tc>
          <w:tcPr>
            <w:tcW w:w="1592" w:type="dxa"/>
            <w:gridSpan w:val="2"/>
            <w:tcBorders>
              <w:top w:val="single" w:color="auto" w:sz="4" w:space="0"/>
              <w:left w:val="single" w:color="auto" w:sz="4" w:space="0"/>
              <w:bottom w:val="single" w:color="auto" w:sz="4" w:space="0"/>
              <w:right w:val="single" w:color="auto" w:sz="4" w:space="0"/>
            </w:tcBorders>
            <w:noWrap w:val="0"/>
            <w:vAlign w:val="center"/>
          </w:tcPr>
          <w:p w14:paraId="6C13F911">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17" w:type="dxa"/>
            <w:vMerge w:val="continue"/>
            <w:tcBorders>
              <w:top w:val="single" w:color="auto" w:sz="4" w:space="0"/>
              <w:left w:val="single" w:color="auto" w:sz="4" w:space="0"/>
              <w:bottom w:val="single" w:color="auto" w:sz="4" w:space="0"/>
              <w:right w:val="single" w:color="auto" w:sz="4" w:space="0"/>
            </w:tcBorders>
            <w:noWrap w:val="0"/>
            <w:vAlign w:val="center"/>
          </w:tcPr>
          <w:p w14:paraId="77587C4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035B9F">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中级职称人员</w:t>
            </w:r>
          </w:p>
        </w:tc>
        <w:tc>
          <w:tcPr>
            <w:tcW w:w="2521" w:type="dxa"/>
            <w:gridSpan w:val="3"/>
            <w:tcBorders>
              <w:top w:val="single" w:color="auto" w:sz="4" w:space="0"/>
              <w:left w:val="single" w:color="auto" w:sz="4" w:space="0"/>
              <w:bottom w:val="single" w:color="auto" w:sz="4" w:space="0"/>
              <w:right w:val="single" w:color="auto" w:sz="4" w:space="0"/>
            </w:tcBorders>
            <w:noWrap w:val="0"/>
            <w:vAlign w:val="center"/>
          </w:tcPr>
          <w:p w14:paraId="64560D5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6FE4D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EA9805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基本账户开户银行</w:t>
            </w:r>
          </w:p>
        </w:tc>
        <w:tc>
          <w:tcPr>
            <w:tcW w:w="1592" w:type="dxa"/>
            <w:gridSpan w:val="2"/>
            <w:tcBorders>
              <w:top w:val="single" w:color="auto" w:sz="4" w:space="0"/>
              <w:left w:val="single" w:color="auto" w:sz="4" w:space="0"/>
              <w:bottom w:val="single" w:color="auto" w:sz="4" w:space="0"/>
              <w:right w:val="single" w:color="auto" w:sz="4" w:space="0"/>
            </w:tcBorders>
            <w:noWrap w:val="0"/>
            <w:vAlign w:val="center"/>
          </w:tcPr>
          <w:p w14:paraId="36D98EB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17" w:type="dxa"/>
            <w:vMerge w:val="continue"/>
            <w:tcBorders>
              <w:top w:val="single" w:color="auto" w:sz="4" w:space="0"/>
              <w:left w:val="single" w:color="auto" w:sz="4" w:space="0"/>
              <w:bottom w:val="single" w:color="auto" w:sz="4" w:space="0"/>
              <w:right w:val="single" w:color="auto" w:sz="4" w:space="0"/>
            </w:tcBorders>
            <w:noWrap w:val="0"/>
            <w:vAlign w:val="center"/>
          </w:tcPr>
          <w:p w14:paraId="34F6E84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0E8F38F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初级职称人员</w:t>
            </w:r>
          </w:p>
        </w:tc>
        <w:tc>
          <w:tcPr>
            <w:tcW w:w="2521" w:type="dxa"/>
            <w:gridSpan w:val="3"/>
            <w:tcBorders>
              <w:top w:val="single" w:color="auto" w:sz="4" w:space="0"/>
              <w:left w:val="single" w:color="auto" w:sz="4" w:space="0"/>
              <w:bottom w:val="single" w:color="auto" w:sz="4" w:space="0"/>
              <w:right w:val="single" w:color="auto" w:sz="4" w:space="0"/>
            </w:tcBorders>
            <w:noWrap w:val="0"/>
            <w:vAlign w:val="center"/>
          </w:tcPr>
          <w:p w14:paraId="454C968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F614E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E59513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基本账户银行账号</w:t>
            </w:r>
          </w:p>
        </w:tc>
        <w:tc>
          <w:tcPr>
            <w:tcW w:w="1592" w:type="dxa"/>
            <w:gridSpan w:val="2"/>
            <w:tcBorders>
              <w:top w:val="single" w:color="auto" w:sz="4" w:space="0"/>
              <w:left w:val="single" w:color="auto" w:sz="4" w:space="0"/>
              <w:bottom w:val="single" w:color="auto" w:sz="4" w:space="0"/>
              <w:right w:val="single" w:color="auto" w:sz="4" w:space="0"/>
            </w:tcBorders>
            <w:noWrap w:val="0"/>
            <w:vAlign w:val="center"/>
          </w:tcPr>
          <w:p w14:paraId="3073541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17" w:type="dxa"/>
            <w:vMerge w:val="continue"/>
            <w:tcBorders>
              <w:top w:val="single" w:color="auto" w:sz="4" w:space="0"/>
              <w:left w:val="single" w:color="auto" w:sz="4" w:space="0"/>
              <w:bottom w:val="single" w:color="auto" w:sz="4" w:space="0"/>
              <w:right w:val="single" w:color="auto" w:sz="4" w:space="0"/>
            </w:tcBorders>
            <w:noWrap w:val="0"/>
            <w:vAlign w:val="center"/>
          </w:tcPr>
          <w:p w14:paraId="70581F6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709DF6FD">
            <w:pPr>
              <w:pStyle w:val="28"/>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技工</w:t>
            </w:r>
          </w:p>
        </w:tc>
        <w:tc>
          <w:tcPr>
            <w:tcW w:w="2521" w:type="dxa"/>
            <w:gridSpan w:val="3"/>
            <w:tcBorders>
              <w:top w:val="single" w:color="auto" w:sz="4" w:space="0"/>
              <w:left w:val="single" w:color="auto" w:sz="4" w:space="0"/>
              <w:bottom w:val="single" w:color="auto" w:sz="4" w:space="0"/>
              <w:right w:val="single" w:color="auto" w:sz="4" w:space="0"/>
            </w:tcBorders>
            <w:noWrap w:val="0"/>
            <w:vAlign w:val="center"/>
          </w:tcPr>
          <w:p w14:paraId="2B1B99D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3722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3A939DCF">
            <w:pPr>
              <w:pageBreakBefore w:val="0"/>
              <w:kinsoku/>
              <w:wordWrap w:val="0"/>
              <w:topLinePunct/>
              <w:bidi w:val="0"/>
              <w:spacing w:line="440" w:lineRule="exact"/>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经营范围</w:t>
            </w:r>
          </w:p>
        </w:tc>
        <w:tc>
          <w:tcPr>
            <w:tcW w:w="7021" w:type="dxa"/>
            <w:gridSpan w:val="8"/>
            <w:tcBorders>
              <w:top w:val="single" w:color="auto" w:sz="4" w:space="0"/>
              <w:left w:val="single" w:color="auto" w:sz="4" w:space="0"/>
              <w:right w:val="single" w:color="auto" w:sz="4" w:space="0"/>
            </w:tcBorders>
            <w:noWrap w:val="0"/>
            <w:vAlign w:val="center"/>
          </w:tcPr>
          <w:p w14:paraId="23815E30">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46A67361">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7C0DB35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197A532F">
            <w:pPr>
              <w:pageBreakBefore w:val="0"/>
              <w:kinsoku/>
              <w:wordWrap w:val="0"/>
              <w:topLinePunct/>
              <w:bidi w:val="0"/>
              <w:spacing w:line="440" w:lineRule="exact"/>
              <w:rPr>
                <w:rFonts w:hint="default" w:ascii="Times New Roman" w:hAnsi="Times New Roman" w:cs="Times New Roman"/>
                <w:color w:val="auto"/>
                <w:szCs w:val="21"/>
                <w:highlight w:val="none"/>
              </w:rPr>
            </w:pPr>
          </w:p>
        </w:tc>
      </w:tr>
      <w:tr w14:paraId="7FCD8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8A051F3">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2EDCF5AD">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投标人应提供关联企业情况，包括：</w:t>
            </w:r>
          </w:p>
          <w:p w14:paraId="03949F91">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（1）投标人的所有股东名称及相应股权（出资额）比例；如投标人为上市公司，投标人应提供股权占公司股份总数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%以上的所有股东名称及相应股权比例；</w:t>
            </w:r>
          </w:p>
          <w:p w14:paraId="5F313C4B">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（2）投标人投资（控股）或管理的下属企业名称、持有股权（出资额）比例；</w:t>
            </w:r>
          </w:p>
          <w:p w14:paraId="2CFA4340">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（3）与投标人单位负责人（即法定代表人）为同一人的其他单位名称</w:t>
            </w:r>
          </w:p>
          <w:p w14:paraId="6482383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7DCA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EEBDC2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4B7E9B4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bl>
    <w:p w14:paraId="37FFBF47">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第3.5.1项的要求在本表后附相关证明材料。</w:t>
      </w:r>
    </w:p>
    <w:p w14:paraId="1E3444CB">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2.以联合体形式参与投标的，联合体各成员应分别填写。</w:t>
      </w:r>
    </w:p>
    <w:p w14:paraId="0D145250">
      <w:pPr>
        <w:pageBreakBefore w:val="0"/>
        <w:kinsoku/>
        <w:wordWrap w:val="0"/>
        <w:bidi w:val="0"/>
        <w:spacing w:line="440" w:lineRule="exact"/>
        <w:jc w:val="center"/>
        <w:rPr>
          <w:rFonts w:hint="default" w:ascii="Times New Roman" w:hAnsi="Times New Roman" w:cs="Times New Roman"/>
          <w:color w:val="auto"/>
          <w:szCs w:val="21"/>
          <w:highlight w:val="none"/>
        </w:rPr>
      </w:pPr>
    </w:p>
    <w:p w14:paraId="7BC046CA">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71" w:name="_Toc11366"/>
      <w:bookmarkStart w:id="1972" w:name="_Toc32655"/>
      <w:bookmarkStart w:id="1973" w:name="_Toc18039"/>
      <w:bookmarkStart w:id="1974" w:name="_Toc234833280"/>
      <w:r>
        <w:rPr>
          <w:rFonts w:hint="default" w:ascii="Times New Roman" w:hAnsi="Times New Roman" w:eastAsia="黑体" w:cs="Times New Roman"/>
          <w:b w:val="0"/>
          <w:color w:val="auto"/>
          <w:sz w:val="24"/>
          <w:szCs w:val="24"/>
          <w:highlight w:val="none"/>
        </w:rPr>
        <w:t>（二）投标人企业组织机构框图</w:t>
      </w:r>
      <w:bookmarkEnd w:id="1971"/>
      <w:bookmarkEnd w:id="1972"/>
      <w:bookmarkEnd w:id="1973"/>
      <w:bookmarkEnd w:id="1974"/>
    </w:p>
    <w:p w14:paraId="65BBC290">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color w:val="auto"/>
          <w:sz w:val="20"/>
          <w:szCs w:val="20"/>
          <w:highlight w:val="none"/>
        </w:rPr>
      </w:pPr>
    </w:p>
    <w:p w14:paraId="69A34FF8">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415D1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4" w:hRule="atLeast"/>
        </w:trPr>
        <w:tc>
          <w:tcPr>
            <w:tcW w:w="8891" w:type="dxa"/>
            <w:tcBorders>
              <w:bottom w:val="single" w:color="auto" w:sz="6" w:space="0"/>
            </w:tcBorders>
            <w:noWrap w:val="0"/>
            <w:vAlign w:val="top"/>
          </w:tcPr>
          <w:p w14:paraId="2E041C2D">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187A44E8">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以框图方式表示。</w:t>
            </w:r>
          </w:p>
          <w:p w14:paraId="352F1E08">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7086CDD7">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3CBEC224">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4999D921">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EB3CB0C">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34CFBAC4">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79C6D57C">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08D26BD5">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6BCA0337">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tc>
      </w:tr>
      <w:tr w14:paraId="4123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023AA4BE">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69C1B34E">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3B5D579F">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7D2DA184">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3B243FDD">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tc>
      </w:tr>
    </w:tbl>
    <w:p w14:paraId="438C9BB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p w14:paraId="1214D502">
      <w:pPr>
        <w:pageBreakBefore w:val="0"/>
        <w:kinsoku/>
        <w:wordWrap w:val="0"/>
        <w:topLinePunct/>
        <w:bidi w:val="0"/>
        <w:spacing w:line="34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 xml:space="preserve"> </w:t>
      </w:r>
    </w:p>
    <w:p w14:paraId="6B501820">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975" w:name="_Toc10365"/>
      <w:bookmarkStart w:id="1976" w:name="_Toc234833282"/>
      <w:bookmarkStart w:id="1977" w:name="_Toc5424"/>
      <w:bookmarkStart w:id="1978" w:name="_Toc9070"/>
      <w:bookmarkStart w:id="1979" w:name="_Toc234833281"/>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三</w:t>
      </w:r>
      <w:r>
        <w:rPr>
          <w:rFonts w:hint="default" w:ascii="Times New Roman" w:hAnsi="Times New Roman" w:eastAsia="黑体" w:cs="Times New Roman"/>
          <w:b w:val="0"/>
          <w:color w:val="auto"/>
          <w:sz w:val="24"/>
          <w:szCs w:val="24"/>
          <w:highlight w:val="none"/>
        </w:rPr>
        <w:t>）近年财务状况</w:t>
      </w:r>
      <w:bookmarkEnd w:id="1975"/>
      <w:bookmarkEnd w:id="1976"/>
      <w:bookmarkEnd w:id="1977"/>
      <w:bookmarkEnd w:id="1978"/>
    </w:p>
    <w:p w14:paraId="073AB8A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5D5D663">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财务状况表</w:t>
      </w:r>
    </w:p>
    <w:p w14:paraId="33D208EB">
      <w:pPr>
        <w:pageBreakBefore w:val="0"/>
        <w:kinsoku/>
        <w:wordWrap w:val="0"/>
        <w:bidi w:val="0"/>
        <w:spacing w:line="320" w:lineRule="atLeast"/>
        <w:jc w:val="center"/>
        <w:rPr>
          <w:rFonts w:hint="default" w:ascii="Times New Roman" w:hAnsi="Times New Roman" w:eastAsia="黑体" w:cs="Times New Roman"/>
          <w:b/>
          <w:color w:val="auto"/>
          <w:sz w:val="28"/>
          <w:highlight w:val="none"/>
        </w:rPr>
      </w:pPr>
    </w:p>
    <w:tbl>
      <w:tblPr>
        <w:tblStyle w:val="39"/>
        <w:tblW w:w="0" w:type="auto"/>
        <w:tblInd w:w="-77" w:type="dxa"/>
        <w:tblLayout w:type="fixed"/>
        <w:tblCellMar>
          <w:top w:w="0" w:type="dxa"/>
          <w:left w:w="28" w:type="dxa"/>
          <w:bottom w:w="0" w:type="dxa"/>
          <w:right w:w="28" w:type="dxa"/>
        </w:tblCellMar>
      </w:tblPr>
      <w:tblGrid>
        <w:gridCol w:w="4065"/>
        <w:gridCol w:w="900"/>
        <w:gridCol w:w="1320"/>
        <w:gridCol w:w="1320"/>
        <w:gridCol w:w="1320"/>
      </w:tblGrid>
      <w:tr w14:paraId="58CED476">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3F4DB31">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1C8D46F">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E97BBB5">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584DE2C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4FF809BB">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r>
      <w:tr w14:paraId="3AD912E6">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486C121">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F5726A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3DDA01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E30813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3D98E4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B932DF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BC52251">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77DAC42">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5D02B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2DA0D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C7B6B7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75636CA">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EEF99D7">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3336BA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DE7B2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DC4B17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842DB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6B31AF2">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82873D2">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64872F">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F01B71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15AFA6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E35F9F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B7E2F4D">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7ACF32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AE957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92F49B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6A15D8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3AC60F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ED0A61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733D5B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464A9D1">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EDF07C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F6A34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2B37AD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F46BEC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9DE50E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CEEF10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35D74B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A2538B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52CBFF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F6E8AB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9F0929A">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57F289C">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3CF6AF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159C63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835C39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EB17CD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AC480F9">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7EC632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76DA2F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F2F98F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86DCBE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A14715A">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AA006DF">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62C495B">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AD778B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DBAFB2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598993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D88BD0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BE86D01">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01AE07B">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0F6B98F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8BE37A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6FDF65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D92C64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033BAC4">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B26C4E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011456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F7A88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C3215A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D6C8464">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9C7558A">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1298D3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0400EF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29FA1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33BC28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EADB80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E159C15">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28168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795C49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D597AC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C4EDA8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2B4AE9F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E3F7538">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01B489F">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406E48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84DFBD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614105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D3786C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34ECC7A">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C93D6F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284475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44B1AB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CF8677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6BA6B13A">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CEFFE4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D6D3A9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89DD70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311A9D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E948B5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bl>
    <w:p w14:paraId="30139C36">
      <w:pPr>
        <w:pageBreakBefore w:val="0"/>
        <w:kinsoku/>
        <w:wordWrap w:val="0"/>
        <w:bidi w:val="0"/>
        <w:spacing w:line="400" w:lineRule="atLeast"/>
        <w:ind w:left="735" w:hanging="735" w:hangingChars="3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第3.5.2项的要求在本表后附相关证明材料。</w:t>
      </w:r>
    </w:p>
    <w:p w14:paraId="544A86A5">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2.本表所列数据必须与本表各附件中的数据相一致。</w:t>
      </w:r>
    </w:p>
    <w:p w14:paraId="3107659F">
      <w:pPr>
        <w:pageBreakBefore w:val="0"/>
        <w:kinsoku/>
        <w:wordWrap w:val="0"/>
        <w:bidi w:val="0"/>
        <w:spacing w:line="400" w:lineRule="atLeast"/>
        <w:ind w:left="399" w:leftChars="19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前附表附录2要求及第三章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5E4F1AAA">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4"/>
          <w:highlight w:val="none"/>
        </w:rPr>
        <w:t>银行信贷证明</w:t>
      </w:r>
      <w:r>
        <w:rPr>
          <w:rStyle w:val="47"/>
          <w:rFonts w:hint="default" w:ascii="Times New Roman" w:hAnsi="Times New Roman" w:eastAsia="黑体" w:cs="Times New Roman"/>
          <w:color w:val="auto"/>
          <w:sz w:val="24"/>
          <w:highlight w:val="none"/>
        </w:rPr>
        <w:footnoteReference w:id="52"/>
      </w:r>
    </w:p>
    <w:p w14:paraId="0C99D55F">
      <w:pPr>
        <w:pageBreakBefore w:val="0"/>
        <w:kinsoku/>
        <w:wordWrap w:val="0"/>
        <w:bidi w:val="0"/>
        <w:spacing w:line="360" w:lineRule="atLeast"/>
        <w:jc w:val="center"/>
        <w:rPr>
          <w:rFonts w:hint="default" w:ascii="Times New Roman" w:hAnsi="Times New Roman" w:cs="Times New Roman"/>
          <w:color w:val="auto"/>
          <w:sz w:val="24"/>
          <w:highlight w:val="none"/>
        </w:rPr>
      </w:pPr>
    </w:p>
    <w:p w14:paraId="2E1C08A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银行名称：________________________________</w:t>
      </w:r>
    </w:p>
    <w:p w14:paraId="4B508D80">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址：________________________________</w:t>
      </w:r>
    </w:p>
    <w:p w14:paraId="2DAA0BAF">
      <w:pPr>
        <w:pageBreakBefore w:val="0"/>
        <w:kinsoku/>
        <w:wordWrap w:val="0"/>
        <w:autoSpaceDE w:val="0"/>
        <w:autoSpaceDN w:val="0"/>
        <w:bidi w:val="0"/>
        <w:adjustRightInd w:val="0"/>
        <w:spacing w:line="520" w:lineRule="atLeast"/>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日期：_____________ </w:t>
      </w:r>
    </w:p>
    <w:p w14:paraId="33C4EFA4">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001331A6">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 xml:space="preserve">    （招标人全称）    </w:t>
      </w:r>
    </w:p>
    <w:p w14:paraId="7E00799E">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2D4445FC">
      <w:pPr>
        <w:pageBreakBefore w:val="0"/>
        <w:kinsoku/>
        <w:wordWrap w:val="0"/>
        <w:autoSpaceDE w:val="0"/>
        <w:autoSpaceDN w:val="0"/>
        <w:bidi w:val="0"/>
        <w:adjustRightInd w:val="0"/>
        <w:spacing w:line="40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兹开具最高限额为人民币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万元的银行信贷，供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（投标人注册地点）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日之前，在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（项目名称）需要时使用。我行保证由____________（投标人名称）提供的财务报表中所开列的作为流动资产的各项中无一项包含在上述提到的银行信贷中。</w:t>
      </w:r>
    </w:p>
    <w:p w14:paraId="77A6DF25">
      <w:pPr>
        <w:pageBreakBefore w:val="0"/>
        <w:kinsoku/>
        <w:wordWrap w:val="0"/>
        <w:autoSpaceDE w:val="0"/>
        <w:autoSpaceDN w:val="0"/>
        <w:bidi w:val="0"/>
        <w:adjustRightInd w:val="0"/>
        <w:spacing w:line="52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此项目若未中标，该信贷证明自动失效，无须退回我行。</w:t>
      </w:r>
    </w:p>
    <w:p w14:paraId="7795224C">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38821C78">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          行（盖单位章）：</w:t>
      </w:r>
      <w:r>
        <w:rPr>
          <w:rFonts w:hint="default" w:ascii="Times New Roman" w:hAnsi="Times New Roman" w:cs="Times New Roman"/>
          <w:color w:val="auto"/>
          <w:sz w:val="24"/>
          <w:highlight w:val="none"/>
          <w:u w:val="single"/>
        </w:rPr>
        <w:t xml:space="preserve">                 </w:t>
      </w:r>
    </w:p>
    <w:p w14:paraId="01406F2E">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银行主要负责人（签字）：</w:t>
      </w:r>
      <w:r>
        <w:rPr>
          <w:rFonts w:hint="default" w:ascii="Times New Roman" w:hAnsi="Times New Roman" w:cs="Times New Roman"/>
          <w:color w:val="auto"/>
          <w:sz w:val="24"/>
          <w:highlight w:val="none"/>
          <w:u w:val="single"/>
        </w:rPr>
        <w:t xml:space="preserve">                     </w:t>
      </w:r>
    </w:p>
    <w:p w14:paraId="0CA87306">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银行主要负责人姓名、职务：</w:t>
      </w:r>
      <w:r>
        <w:rPr>
          <w:rFonts w:hint="default" w:ascii="Times New Roman" w:hAnsi="Times New Roman" w:cs="Times New Roman"/>
          <w:color w:val="auto"/>
          <w:sz w:val="24"/>
          <w:highlight w:val="none"/>
          <w:u w:val="single"/>
        </w:rPr>
        <w:t xml:space="preserve">     （打印）    </w:t>
      </w:r>
    </w:p>
    <w:p w14:paraId="32CFEDED">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电    话：</w:t>
      </w:r>
      <w:r>
        <w:rPr>
          <w:rFonts w:hint="default" w:ascii="Times New Roman" w:hAnsi="Times New Roman" w:cs="Times New Roman"/>
          <w:color w:val="auto"/>
          <w:sz w:val="24"/>
          <w:highlight w:val="none"/>
          <w:u w:val="single"/>
        </w:rPr>
        <w:t xml:space="preserve">                    </w:t>
      </w:r>
    </w:p>
    <w:p w14:paraId="2D86B4A0">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传    真：</w:t>
      </w:r>
      <w:r>
        <w:rPr>
          <w:rFonts w:hint="default" w:ascii="Times New Roman" w:hAnsi="Times New Roman" w:cs="Times New Roman"/>
          <w:color w:val="auto"/>
          <w:sz w:val="24"/>
          <w:highlight w:val="none"/>
          <w:u w:val="single"/>
        </w:rPr>
        <w:t xml:space="preserve">                    </w:t>
      </w:r>
    </w:p>
    <w:p w14:paraId="3BDECC80">
      <w:pPr>
        <w:pageBreakBefore w:val="0"/>
        <w:kinsoku/>
        <w:wordWrap w:val="0"/>
        <w:bidi w:val="0"/>
        <w:spacing w:line="320" w:lineRule="atLeast"/>
        <w:jc w:val="center"/>
        <w:rPr>
          <w:rFonts w:hint="default" w:ascii="Times New Roman" w:hAnsi="Times New Roman" w:cs="Times New Roman"/>
          <w:color w:val="auto"/>
          <w:sz w:val="24"/>
          <w:highlight w:val="none"/>
        </w:rPr>
      </w:pPr>
    </w:p>
    <w:p w14:paraId="11EE5127">
      <w:pPr>
        <w:pageBreakBefore w:val="0"/>
        <w:kinsoku/>
        <w:wordWrap w:val="0"/>
        <w:bidi w:val="0"/>
        <w:spacing w:line="320" w:lineRule="atLeast"/>
        <w:jc w:val="center"/>
        <w:rPr>
          <w:rFonts w:hint="default" w:ascii="Times New Roman" w:hAnsi="Times New Roman" w:cs="Times New Roman"/>
          <w:color w:val="auto"/>
          <w:sz w:val="24"/>
          <w:highlight w:val="none"/>
        </w:rPr>
      </w:pPr>
    </w:p>
    <w:p w14:paraId="32C8C2A3">
      <w:pPr>
        <w:pStyle w:val="30"/>
        <w:pageBreakBefore w:val="0"/>
        <w:kinsoku/>
        <w:wordWrap w:val="0"/>
        <w:bidi w:val="0"/>
        <w:spacing w:line="320" w:lineRule="atLeast"/>
        <w:ind w:left="1084" w:leftChars="216" w:hanging="630" w:hangingChars="3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注：允许投标人实际开具的银行信贷证明的格式与《</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》提供的格式有所不同，但不得更改《</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》提供的银行信贷证明格式中的实质性内容。</w:t>
      </w:r>
    </w:p>
    <w:p w14:paraId="132A5D08">
      <w:pPr>
        <w:pageBreakBefore w:val="0"/>
        <w:kinsoku/>
        <w:wordWrap w:val="0"/>
        <w:bidi w:val="0"/>
        <w:spacing w:line="320" w:lineRule="atLeast"/>
        <w:ind w:left="1155" w:leftChars="400" w:hanging="315" w:hangingChars="150"/>
        <w:rPr>
          <w:rFonts w:hint="default" w:ascii="Times New Roman" w:hAnsi="Times New Roman" w:cs="Times New Roman"/>
          <w:color w:val="auto"/>
          <w:szCs w:val="21"/>
          <w:highlight w:val="none"/>
        </w:rPr>
      </w:pPr>
    </w:p>
    <w:p w14:paraId="4D1A9DE0">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980" w:name="_Toc21134"/>
      <w:bookmarkStart w:id="1981" w:name="_Toc26877"/>
      <w:bookmarkStart w:id="1982" w:name="_Toc11478"/>
      <w:bookmarkStart w:id="1983" w:name="_Toc234833283"/>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四</w:t>
      </w:r>
      <w:r>
        <w:rPr>
          <w:rFonts w:hint="default" w:ascii="Times New Roman" w:hAnsi="Times New Roman" w:eastAsia="黑体" w:cs="Times New Roman"/>
          <w:b w:val="0"/>
          <w:color w:val="auto"/>
          <w:sz w:val="24"/>
          <w:szCs w:val="24"/>
          <w:highlight w:val="none"/>
        </w:rPr>
        <w:t>）近年完成的类似项目情况表</w:t>
      </w:r>
      <w:bookmarkEnd w:id="1980"/>
      <w:bookmarkEnd w:id="1981"/>
      <w:bookmarkEnd w:id="1982"/>
      <w:bookmarkEnd w:id="1983"/>
    </w:p>
    <w:p w14:paraId="4EFE0AA0">
      <w:pPr>
        <w:pageBreakBefore w:val="0"/>
        <w:kinsoku/>
        <w:wordWrap w:val="0"/>
        <w:bidi w:val="0"/>
        <w:spacing w:line="440" w:lineRule="exact"/>
        <w:jc w:val="center"/>
        <w:rPr>
          <w:rFonts w:hint="default" w:ascii="Times New Roman" w:hAnsi="Times New Roman" w:eastAsia="黑体" w:cs="Times New Roman"/>
          <w:color w:val="auto"/>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49D1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2367" w:type="dxa"/>
            <w:noWrap w:val="0"/>
            <w:vAlign w:val="center"/>
          </w:tcPr>
          <w:p w14:paraId="07F61D67">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Cs w:val="21"/>
                <w:highlight w:val="none"/>
              </w:rPr>
              <w:t>序    号</w:t>
            </w:r>
          </w:p>
        </w:tc>
        <w:tc>
          <w:tcPr>
            <w:tcW w:w="6524" w:type="dxa"/>
            <w:noWrap w:val="0"/>
            <w:vAlign w:val="top"/>
          </w:tcPr>
          <w:p w14:paraId="7D054404">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0A21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26D42E34">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项目名称</w:t>
            </w:r>
          </w:p>
        </w:tc>
        <w:tc>
          <w:tcPr>
            <w:tcW w:w="6524" w:type="dxa"/>
            <w:noWrap w:val="0"/>
            <w:vAlign w:val="top"/>
          </w:tcPr>
          <w:p w14:paraId="54B58D88">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170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355D76D6">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项目所在地</w:t>
            </w:r>
          </w:p>
        </w:tc>
        <w:tc>
          <w:tcPr>
            <w:tcW w:w="6524" w:type="dxa"/>
            <w:noWrap w:val="0"/>
            <w:vAlign w:val="top"/>
          </w:tcPr>
          <w:p w14:paraId="799044C4">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EA2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2C36FB6F">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发包人名称</w:t>
            </w:r>
          </w:p>
        </w:tc>
        <w:tc>
          <w:tcPr>
            <w:tcW w:w="6524" w:type="dxa"/>
            <w:noWrap w:val="0"/>
            <w:vAlign w:val="top"/>
          </w:tcPr>
          <w:p w14:paraId="12F76665">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33D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745CDAB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发包人地址</w:t>
            </w:r>
          </w:p>
        </w:tc>
        <w:tc>
          <w:tcPr>
            <w:tcW w:w="6524" w:type="dxa"/>
            <w:noWrap w:val="0"/>
            <w:vAlign w:val="top"/>
          </w:tcPr>
          <w:p w14:paraId="1F3987E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52C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02B76342">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发包人电话</w:t>
            </w:r>
          </w:p>
        </w:tc>
        <w:tc>
          <w:tcPr>
            <w:tcW w:w="6524" w:type="dxa"/>
            <w:noWrap w:val="0"/>
            <w:vAlign w:val="top"/>
          </w:tcPr>
          <w:p w14:paraId="021436C1">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7C6A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trPr>
        <w:tc>
          <w:tcPr>
            <w:tcW w:w="2367" w:type="dxa"/>
            <w:noWrap w:val="0"/>
            <w:vAlign w:val="center"/>
          </w:tcPr>
          <w:p w14:paraId="2EE9AA6C">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合同价格</w:t>
            </w:r>
          </w:p>
        </w:tc>
        <w:tc>
          <w:tcPr>
            <w:tcW w:w="6524" w:type="dxa"/>
            <w:noWrap w:val="0"/>
            <w:vAlign w:val="top"/>
          </w:tcPr>
          <w:p w14:paraId="4047D51F">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064F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2367" w:type="dxa"/>
            <w:noWrap w:val="0"/>
            <w:vAlign w:val="center"/>
          </w:tcPr>
          <w:p w14:paraId="03D8465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开工日期</w:t>
            </w:r>
          </w:p>
        </w:tc>
        <w:tc>
          <w:tcPr>
            <w:tcW w:w="6524" w:type="dxa"/>
            <w:noWrap w:val="0"/>
            <w:vAlign w:val="top"/>
          </w:tcPr>
          <w:p w14:paraId="1AC90539">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0603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5E804E76">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交工日期</w:t>
            </w:r>
          </w:p>
        </w:tc>
        <w:tc>
          <w:tcPr>
            <w:tcW w:w="6524" w:type="dxa"/>
            <w:noWrap w:val="0"/>
            <w:vAlign w:val="top"/>
          </w:tcPr>
          <w:p w14:paraId="215F8DFA">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ED3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707B351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承担的工作</w:t>
            </w:r>
          </w:p>
        </w:tc>
        <w:tc>
          <w:tcPr>
            <w:tcW w:w="6524" w:type="dxa"/>
            <w:noWrap w:val="0"/>
            <w:vAlign w:val="top"/>
          </w:tcPr>
          <w:p w14:paraId="152CF1BE">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7151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2104DE03">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工程质量</w:t>
            </w:r>
          </w:p>
        </w:tc>
        <w:tc>
          <w:tcPr>
            <w:tcW w:w="6524" w:type="dxa"/>
            <w:noWrap w:val="0"/>
            <w:vAlign w:val="top"/>
          </w:tcPr>
          <w:p w14:paraId="3E9772A7">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6150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2367" w:type="dxa"/>
            <w:noWrap w:val="0"/>
            <w:vAlign w:val="center"/>
          </w:tcPr>
          <w:p w14:paraId="6BD1E8A1">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项目经理</w:t>
            </w:r>
          </w:p>
        </w:tc>
        <w:tc>
          <w:tcPr>
            <w:tcW w:w="6524" w:type="dxa"/>
            <w:noWrap w:val="0"/>
            <w:vAlign w:val="top"/>
          </w:tcPr>
          <w:p w14:paraId="3D4B8B2C">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B23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2AFDE1F4">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项目总工</w:t>
            </w:r>
          </w:p>
        </w:tc>
        <w:tc>
          <w:tcPr>
            <w:tcW w:w="6524" w:type="dxa"/>
            <w:noWrap w:val="0"/>
            <w:vAlign w:val="top"/>
          </w:tcPr>
          <w:p w14:paraId="374E6941">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966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4B3CA3AC">
            <w:pPr>
              <w:pageBreakBefore w:val="0"/>
              <w:kinsoku/>
              <w:wordWrap w:val="0"/>
              <w:topLinePunct/>
              <w:bidi w:val="0"/>
              <w:spacing w:line="440" w:lineRule="exact"/>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rPr>
              <w:t>总监理工程师及</w:t>
            </w:r>
            <w:r>
              <w:rPr>
                <w:rFonts w:hint="eastAsia" w:cs="Times New Roman"/>
                <w:color w:val="auto"/>
                <w:sz w:val="20"/>
                <w:szCs w:val="20"/>
                <w:highlight w:val="none"/>
                <w:lang w:val="en-US" w:eastAsia="zh-CN"/>
              </w:rPr>
              <w:t>手机号</w:t>
            </w:r>
          </w:p>
        </w:tc>
        <w:tc>
          <w:tcPr>
            <w:tcW w:w="6524" w:type="dxa"/>
            <w:noWrap w:val="0"/>
            <w:vAlign w:val="top"/>
          </w:tcPr>
          <w:p w14:paraId="5CCEB541">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FE5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367" w:type="dxa"/>
            <w:noWrap w:val="0"/>
            <w:vAlign w:val="center"/>
          </w:tcPr>
          <w:p w14:paraId="07EF052F">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项目描述</w:t>
            </w:r>
          </w:p>
        </w:tc>
        <w:tc>
          <w:tcPr>
            <w:tcW w:w="6524" w:type="dxa"/>
            <w:noWrap w:val="0"/>
            <w:vAlign w:val="top"/>
          </w:tcPr>
          <w:p w14:paraId="5A85FCB2">
            <w:pPr>
              <w:pageBreakBefore w:val="0"/>
              <w:kinsoku/>
              <w:wordWrap w:val="0"/>
              <w:topLinePunct/>
              <w:bidi w:val="0"/>
              <w:spacing w:line="440" w:lineRule="exact"/>
              <w:rPr>
                <w:rFonts w:hint="default" w:ascii="Times New Roman" w:hAnsi="Times New Roman" w:cs="Times New Roman"/>
                <w:color w:val="auto"/>
                <w:sz w:val="20"/>
                <w:szCs w:val="20"/>
                <w:highlight w:val="none"/>
              </w:rPr>
            </w:pPr>
          </w:p>
          <w:p w14:paraId="33EF9F4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716D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01AB4BF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备注</w:t>
            </w:r>
          </w:p>
        </w:tc>
        <w:tc>
          <w:tcPr>
            <w:tcW w:w="6524" w:type="dxa"/>
            <w:noWrap w:val="0"/>
            <w:vAlign w:val="top"/>
          </w:tcPr>
          <w:p w14:paraId="06CBDB3F">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bl>
    <w:p w14:paraId="1F87F4D0">
      <w:pPr>
        <w:pageBreakBefore w:val="0"/>
        <w:kinsoku/>
        <w:wordWrap w:val="0"/>
        <w:bidi w:val="0"/>
        <w:spacing w:line="400" w:lineRule="atLeast"/>
        <w:ind w:left="735"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注：1.每张表格只填写一个项目，并标明序号。</w:t>
      </w:r>
    </w:p>
    <w:p w14:paraId="2FEF3C72">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第3.5.3项的要求在本表后附相关证明材料。</w:t>
      </w:r>
    </w:p>
    <w:p w14:paraId="7EB1C27A">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3.如近年来，投标人法人机构发生合法变更或重组或法人名称变更时，应提供相关部门的合法批件或其他相关证明材料来证明其所附业绩的继承性。</w:t>
      </w:r>
    </w:p>
    <w:p w14:paraId="767AB521">
      <w:pPr>
        <w:pageBreakBefore w:val="0"/>
        <w:kinsoku/>
        <w:wordWrap w:val="0"/>
        <w:bidi w:val="0"/>
        <w:spacing w:line="400" w:lineRule="atLeast"/>
        <w:ind w:left="609" w:leftChars="190" w:hanging="210" w:hanging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前附表附录3要求及第三章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0637D090">
      <w:pPr>
        <w:pageBreakBefore w:val="0"/>
        <w:kinsoku/>
        <w:wordWrap w:val="0"/>
        <w:bidi w:val="0"/>
        <w:spacing w:line="280" w:lineRule="exact"/>
        <w:rPr>
          <w:rFonts w:hint="default" w:ascii="Times New Roman" w:hAnsi="Times New Roman" w:eastAsia="黑体" w:cs="Times New Roman"/>
          <w:color w:val="auto"/>
          <w:sz w:val="23"/>
          <w:szCs w:val="23"/>
          <w:highlight w:val="none"/>
        </w:rPr>
      </w:pPr>
      <w:r>
        <w:rPr>
          <w:rFonts w:hint="default" w:ascii="Times New Roman" w:hAnsi="Times New Roman" w:eastAsia="黑体" w:cs="Times New Roman"/>
          <w:color w:val="auto"/>
          <w:sz w:val="23"/>
          <w:szCs w:val="23"/>
          <w:highlight w:val="none"/>
        </w:rPr>
        <w:br w:type="page"/>
      </w:r>
    </w:p>
    <w:p w14:paraId="25FFCC75">
      <w:pPr>
        <w:pStyle w:val="2"/>
        <w:pageBreakBefore w:val="0"/>
        <w:numPr>
          <w:ilvl w:val="0"/>
          <w:numId w:val="5"/>
        </w:numPr>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84" w:name="_Toc17918"/>
      <w:bookmarkStart w:id="1985" w:name="_Toc26533"/>
      <w:bookmarkStart w:id="1986" w:name="_Toc2693"/>
      <w:bookmarkStart w:id="1987" w:name="_Toc234833285"/>
      <w:r>
        <w:rPr>
          <w:rFonts w:hint="default" w:ascii="Times New Roman" w:hAnsi="Times New Roman" w:eastAsia="黑体" w:cs="Times New Roman"/>
          <w:b w:val="0"/>
          <w:color w:val="auto"/>
          <w:sz w:val="24"/>
          <w:szCs w:val="24"/>
          <w:highlight w:val="none"/>
        </w:rPr>
        <w:t>投标人的信誉情况表</w:t>
      </w:r>
      <w:bookmarkEnd w:id="1984"/>
      <w:bookmarkEnd w:id="1985"/>
      <w:bookmarkEnd w:id="1986"/>
    </w:p>
    <w:p w14:paraId="35EE932B">
      <w:pPr>
        <w:keepNext/>
        <w:keepLines/>
        <w:spacing w:before="80" w:after="64"/>
        <w:ind w:firstLine="566"/>
        <w:jc w:val="center"/>
        <w:rPr>
          <w:rFonts w:hint="default" w:eastAsia="黑体" w:cs="Times New Roman"/>
          <w:bCs/>
          <w:color w:val="auto"/>
          <w:kern w:val="0"/>
          <w:sz w:val="28"/>
          <w:szCs w:val="28"/>
          <w:highlight w:val="none"/>
          <w:lang w:val="en-US" w:eastAsia="zh-CN" w:bidi="zh-CN"/>
        </w:rPr>
      </w:pPr>
      <w:r>
        <w:rPr>
          <w:rFonts w:hint="eastAsia" w:eastAsia="黑体" w:cs="Times New Roman"/>
          <w:bCs/>
          <w:color w:val="auto"/>
          <w:kern w:val="0"/>
          <w:sz w:val="28"/>
          <w:szCs w:val="28"/>
          <w:highlight w:val="none"/>
          <w:lang w:val="en-US" w:eastAsia="zh-CN" w:bidi="zh-CN"/>
        </w:rPr>
        <w:t>5-1</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BC0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3DE9AB8D">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 目</w:t>
            </w:r>
          </w:p>
        </w:tc>
        <w:tc>
          <w:tcPr>
            <w:tcW w:w="4261" w:type="dxa"/>
            <w:noWrap w:val="0"/>
            <w:vAlign w:val="center"/>
          </w:tcPr>
          <w:p w14:paraId="5B53E61B">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投标人情况说明</w:t>
            </w:r>
          </w:p>
        </w:tc>
      </w:tr>
      <w:tr w14:paraId="7DFE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7DBA19F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53B4301">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303C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2B4E172">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3D4CA4D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5770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B22E440">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2688841A">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4FC1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3CBDE0">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04086B6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5B15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177543E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5EBD92C1">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2F61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51F34C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52C18646">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6330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4F70C72A">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0AB0FAAE">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349A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18A8376A">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7A5D2D3D">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bl>
    <w:p w14:paraId="27DEDE1A">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注：1.投标人应按照招标文件第二章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前附表附录4和</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正文第1.4.4项规定，逐条说明其信誉情况。</w:t>
      </w:r>
      <w:bookmarkEnd w:id="1987"/>
    </w:p>
    <w:p w14:paraId="400AEA43">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bookmarkStart w:id="1988" w:name="_Hlk493477915"/>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第3.5.4项的要求在本表后附相关证明材料。</w:t>
      </w:r>
      <w:bookmarkEnd w:id="1988"/>
    </w:p>
    <w:p w14:paraId="57DD511D">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3.以联合体形式参与投标的，联合体各成员应分别填写。</w:t>
      </w:r>
    </w:p>
    <w:p w14:paraId="0FD32F4B">
      <w:pPr>
        <w:pStyle w:val="2"/>
        <w:pageBreakBefore w:val="0"/>
        <w:kinsoku/>
        <w:wordWrap w:val="0"/>
        <w:bidi w:val="0"/>
        <w:spacing w:before="0" w:after="0" w:line="380" w:lineRule="atLeast"/>
        <w:jc w:val="center"/>
        <w:outlineLvl w:val="9"/>
        <w:rPr>
          <w:rFonts w:hint="default" w:ascii="Times New Roman" w:hAnsi="Times New Roman" w:cs="Times New Roman"/>
          <w:b w:val="0"/>
          <w:bCs w:val="0"/>
          <w:color w:val="auto"/>
          <w:kern w:val="2"/>
          <w:sz w:val="21"/>
          <w:szCs w:val="21"/>
          <w:highlight w:val="none"/>
          <w:lang w:val="en-US" w:eastAsia="zh-CN"/>
        </w:rPr>
        <w:sectPr>
          <w:headerReference r:id="rId44" w:type="default"/>
          <w:footerReference r:id="rId45"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6EA928E2">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en-US" w:bidi="zh-CN"/>
        </w:rPr>
      </w:pPr>
      <w:r>
        <w:rPr>
          <w:rFonts w:hint="eastAsia" w:eastAsia="黑体" w:cs="Times New Roman"/>
          <w:bCs/>
          <w:color w:val="auto"/>
          <w:kern w:val="0"/>
          <w:sz w:val="28"/>
          <w:szCs w:val="28"/>
          <w:highlight w:val="none"/>
          <w:lang w:val="en-US" w:bidi="zh-CN"/>
        </w:rPr>
        <w:t>5-2</w:t>
      </w:r>
    </w:p>
    <w:tbl>
      <w:tblPr>
        <w:tblStyle w:val="3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598"/>
        <w:gridCol w:w="1952"/>
        <w:gridCol w:w="1952"/>
        <w:gridCol w:w="1953"/>
      </w:tblGrid>
      <w:tr w14:paraId="77A6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52" w:type="pct"/>
            <w:noWrap w:val="0"/>
            <w:vAlign w:val="center"/>
          </w:tcPr>
          <w:p w14:paraId="622ECF6E">
            <w:pPr>
              <w:pageBreakBefore w:val="0"/>
              <w:kinsoku/>
              <w:wordWrap w:val="0"/>
              <w:topLinePunct/>
              <w:bidi w:val="0"/>
              <w:spacing w:line="400" w:lineRule="atLeast"/>
              <w:jc w:val="center"/>
              <w:rPr>
                <w:rFonts w:hint="eastAsia" w:ascii="Times New Roman" w:hAnsi="Times New Roman" w:eastAsia="宋体" w:cs="Times New Roman"/>
                <w:bCs/>
                <w:color w:val="auto"/>
                <w:szCs w:val="21"/>
                <w:highlight w:val="none"/>
                <w:lang w:eastAsia="zh-CN"/>
              </w:rPr>
            </w:pPr>
            <w:r>
              <w:rPr>
                <w:rFonts w:hint="eastAsia" w:cs="Times New Roman"/>
                <w:bCs/>
                <w:color w:val="auto"/>
                <w:szCs w:val="21"/>
                <w:highlight w:val="none"/>
                <w:lang w:val="en-US" w:eastAsia="zh-CN"/>
              </w:rPr>
              <w:t>评年度价</w:t>
            </w:r>
          </w:p>
        </w:tc>
        <w:tc>
          <w:tcPr>
            <w:tcW w:w="910" w:type="pct"/>
            <w:noWrap w:val="0"/>
            <w:vAlign w:val="center"/>
          </w:tcPr>
          <w:p w14:paraId="0F803C1D">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评价机构</w:t>
            </w:r>
          </w:p>
        </w:tc>
        <w:tc>
          <w:tcPr>
            <w:tcW w:w="1112" w:type="pct"/>
            <w:noWrap w:val="0"/>
            <w:vAlign w:val="center"/>
          </w:tcPr>
          <w:p w14:paraId="5A8E0F9F">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信用评价等级</w:t>
            </w:r>
          </w:p>
        </w:tc>
        <w:tc>
          <w:tcPr>
            <w:tcW w:w="1112" w:type="pct"/>
            <w:noWrap w:val="0"/>
            <w:vAlign w:val="center"/>
          </w:tcPr>
          <w:p w14:paraId="1AE7FC8D">
            <w:pPr>
              <w:pageBreakBefore w:val="0"/>
              <w:kinsoku/>
              <w:wordWrap w:val="0"/>
              <w:topLinePunct/>
              <w:bidi w:val="0"/>
              <w:spacing w:line="400" w:lineRule="atLeast"/>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评价信息公示网站地址</w:t>
            </w:r>
          </w:p>
        </w:tc>
        <w:tc>
          <w:tcPr>
            <w:tcW w:w="1112" w:type="pct"/>
            <w:noWrap w:val="0"/>
            <w:vAlign w:val="center"/>
          </w:tcPr>
          <w:p w14:paraId="33160C4D">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有效期</w:t>
            </w:r>
          </w:p>
        </w:tc>
      </w:tr>
      <w:tr w14:paraId="3A97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1F000C11">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527E1FB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7FF909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EC30AE1">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EE065D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5C36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3ED1CAB6">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2C74612D">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569E108">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F76533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B9436B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07EF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362A3EB5">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7744212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1D9B9D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329724B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A493818">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69D9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328C1BB3">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291AA96B">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7D3A53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86194BE">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424BA6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3D14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6F8E7AB7">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4A169F98">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997E3B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7A08DF65">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BC1549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3995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7BD2DB5B">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1A29936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487180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38B3E767">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D70ED8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5017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48DC925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6169F09B">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1AB8FB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2BDDE8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061400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3910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7A05491D">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0FB1158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350495D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AB2D30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395E245">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bl>
    <w:p w14:paraId="693F5ED4">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1016A64D">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pPr>
      <w:r>
        <w:rPr>
          <w:rFonts w:hint="default" w:ascii="Times New Roman" w:hAnsi="Times New Roman" w:eastAsia="黑体" w:cs="Times New Roman"/>
          <w:bCs/>
          <w:color w:val="auto"/>
          <w:kern w:val="0"/>
          <w:sz w:val="28"/>
          <w:szCs w:val="28"/>
          <w:highlight w:val="none"/>
          <w:lang w:val="zh-CN" w:bidi="zh-CN"/>
        </w:rPr>
        <w:t>无行贿犯罪行为承诺函（格式）</w:t>
      </w:r>
    </w:p>
    <w:p w14:paraId="08994C6A">
      <w:pPr>
        <w:spacing w:line="360" w:lineRule="auto"/>
        <w:ind w:firstLine="480" w:firstLineChars="200"/>
        <w:rPr>
          <w:rFonts w:hint="default" w:ascii="Times New Roman" w:hAnsi="Times New Roman" w:cs="Times New Roman"/>
          <w:color w:val="auto"/>
          <w:sz w:val="24"/>
          <w:szCs w:val="22"/>
          <w:highlight w:val="none"/>
        </w:rPr>
      </w:pPr>
    </w:p>
    <w:p w14:paraId="69332321">
      <w:pPr>
        <w:spacing w:line="360" w:lineRule="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致：</w:t>
      </w:r>
      <w:r>
        <w:rPr>
          <w:rFonts w:hint="default" w:ascii="Times New Roman" w:hAnsi="Times New Roman" w:cs="Times New Roman"/>
          <w:color w:val="auto"/>
          <w:sz w:val="24"/>
          <w:szCs w:val="22"/>
          <w:highlight w:val="none"/>
          <w:u w:val="single"/>
        </w:rPr>
        <w:t xml:space="preserve">  （招标人全称）  </w:t>
      </w:r>
      <w:r>
        <w:rPr>
          <w:rFonts w:hint="default" w:ascii="Times New Roman" w:hAnsi="Times New Roman" w:cs="Times New Roman"/>
          <w:color w:val="auto"/>
          <w:sz w:val="24"/>
          <w:szCs w:val="22"/>
          <w:highlight w:val="none"/>
        </w:rPr>
        <w:t>：</w:t>
      </w:r>
    </w:p>
    <w:p w14:paraId="06F18A6A">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我单位承诺：在近三年内（</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年</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月</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日至投标文件递交截止日），</w:t>
      </w:r>
      <w:r>
        <w:rPr>
          <w:rFonts w:hint="default" w:ascii="Times New Roman" w:hAnsi="Times New Roman" w:cs="Times New Roman"/>
          <w:color w:val="auto"/>
          <w:sz w:val="24"/>
          <w:szCs w:val="22"/>
          <w:highlight w:val="none"/>
          <w:u w:val="single"/>
        </w:rPr>
        <w:t xml:space="preserve">  （投标人单位名称及统一社会信用代码）  </w:t>
      </w:r>
      <w:r>
        <w:rPr>
          <w:rFonts w:hint="default" w:ascii="Times New Roman" w:hAnsi="Times New Roman" w:cs="Times New Roman"/>
          <w:color w:val="auto"/>
          <w:sz w:val="24"/>
          <w:szCs w:val="22"/>
          <w:highlight w:val="none"/>
        </w:rPr>
        <w:t>及法定代表人</w:t>
      </w:r>
      <w:r>
        <w:rPr>
          <w:rFonts w:hint="default" w:ascii="Times New Roman" w:hAnsi="Times New Roman" w:cs="Times New Roman"/>
          <w:color w:val="auto"/>
          <w:sz w:val="24"/>
          <w:szCs w:val="22"/>
          <w:highlight w:val="none"/>
          <w:u w:val="single"/>
        </w:rPr>
        <w:t xml:space="preserve">  （法定代表人姓名及身份证号码）  </w:t>
      </w:r>
      <w:r>
        <w:rPr>
          <w:rFonts w:hint="eastAsia" w:cs="Times New Roman"/>
          <w:color w:val="auto"/>
          <w:sz w:val="24"/>
          <w:szCs w:val="22"/>
          <w:highlight w:val="none"/>
          <w:lang w:val="en-US" w:eastAsia="zh-CN"/>
        </w:rPr>
        <w:t>手机号码</w:t>
      </w:r>
      <w:r>
        <w:rPr>
          <w:rFonts w:hint="eastAsia" w:cs="Times New Roman"/>
          <w:color w:val="auto"/>
          <w:sz w:val="24"/>
          <w:szCs w:val="22"/>
          <w:highlight w:val="none"/>
          <w:u w:val="single"/>
          <w:lang w:val="en-US" w:eastAsia="zh-CN"/>
        </w:rPr>
        <w:t xml:space="preserve">           </w:t>
      </w:r>
      <w:r>
        <w:rPr>
          <w:rFonts w:hint="eastAsia" w:cs="Times New Roman"/>
          <w:color w:val="auto"/>
          <w:sz w:val="24"/>
          <w:szCs w:val="22"/>
          <w:highlight w:val="none"/>
          <w:u w:val="none"/>
          <w:lang w:val="en-US" w:eastAsia="zh-CN"/>
        </w:rPr>
        <w:t>，</w:t>
      </w:r>
      <w:r>
        <w:rPr>
          <w:rFonts w:hint="default" w:ascii="Times New Roman" w:hAnsi="Times New Roman" w:cs="Times New Roman"/>
          <w:color w:val="auto"/>
          <w:sz w:val="24"/>
          <w:szCs w:val="22"/>
          <w:highlight w:val="none"/>
        </w:rPr>
        <w:t>拟委任的项目</w:t>
      </w:r>
      <w:r>
        <w:rPr>
          <w:rFonts w:hint="default" w:ascii="Times New Roman" w:hAnsi="Times New Roman" w:cs="Times New Roman"/>
          <w:color w:val="auto"/>
          <w:sz w:val="24"/>
          <w:szCs w:val="22"/>
          <w:highlight w:val="none"/>
          <w:lang w:val="en-US" w:eastAsia="zh-CN"/>
        </w:rPr>
        <w:t>经理</w:t>
      </w:r>
      <w:r>
        <w:rPr>
          <w:rFonts w:hint="default" w:ascii="Times New Roman" w:hAnsi="Times New Roman" w:cs="Times New Roman"/>
          <w:color w:val="auto"/>
          <w:sz w:val="24"/>
          <w:szCs w:val="22"/>
          <w:highlight w:val="none"/>
          <w:u w:val="single"/>
        </w:rPr>
        <w:t xml:space="preserve">   （项目</w:t>
      </w:r>
      <w:r>
        <w:rPr>
          <w:rFonts w:hint="default" w:ascii="Times New Roman" w:hAnsi="Times New Roman" w:cs="Times New Roman"/>
          <w:color w:val="auto"/>
          <w:sz w:val="24"/>
          <w:szCs w:val="22"/>
          <w:highlight w:val="none"/>
          <w:u w:val="single"/>
          <w:lang w:val="en-US" w:eastAsia="zh-CN"/>
        </w:rPr>
        <w:t>经理</w:t>
      </w:r>
      <w:r>
        <w:rPr>
          <w:rFonts w:hint="default" w:ascii="Times New Roman" w:hAnsi="Times New Roman" w:cs="Times New Roman"/>
          <w:color w:val="auto"/>
          <w:sz w:val="24"/>
          <w:szCs w:val="22"/>
          <w:highlight w:val="none"/>
          <w:u w:val="single"/>
        </w:rPr>
        <w:t xml:space="preserve">姓名及身份证号码）   </w:t>
      </w:r>
      <w:r>
        <w:rPr>
          <w:rFonts w:hint="eastAsia" w:cs="Times New Roman"/>
          <w:color w:val="auto"/>
          <w:sz w:val="24"/>
          <w:szCs w:val="22"/>
          <w:highlight w:val="none"/>
          <w:lang w:val="en-US" w:eastAsia="zh-CN"/>
        </w:rPr>
        <w:t>手机号码</w:t>
      </w:r>
      <w:r>
        <w:rPr>
          <w:rFonts w:hint="eastAsia" w:cs="Times New Roman"/>
          <w:color w:val="auto"/>
          <w:sz w:val="24"/>
          <w:szCs w:val="22"/>
          <w:highlight w:val="none"/>
          <w:u w:val="single"/>
          <w:lang w:val="en-US" w:eastAsia="zh-CN"/>
        </w:rPr>
        <w:t xml:space="preserve">           </w:t>
      </w:r>
      <w:r>
        <w:rPr>
          <w:rFonts w:hint="default" w:ascii="Times New Roman" w:hAnsi="Times New Roman" w:cs="Times New Roman"/>
          <w:color w:val="auto"/>
          <w:sz w:val="24"/>
          <w:szCs w:val="22"/>
          <w:highlight w:val="none"/>
        </w:rPr>
        <w:t>均无行贿犯罪行为。</w:t>
      </w:r>
    </w:p>
    <w:p w14:paraId="101B2E3C">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如经招标人或评标委员会核实我单位出具的该承诺存在弄虚作假，承诺不实的情形，</w:t>
      </w:r>
      <w:r>
        <w:rPr>
          <w:rFonts w:hint="eastAsia" w:cs="Times New Roman"/>
          <w:color w:val="auto"/>
          <w:sz w:val="24"/>
          <w:szCs w:val="22"/>
          <w:highlight w:val="none"/>
          <w:lang w:eastAsia="zh-CN"/>
        </w:rPr>
        <w:t>评标委员会</w:t>
      </w:r>
      <w:r>
        <w:rPr>
          <w:rFonts w:hint="default" w:ascii="Times New Roman" w:hAnsi="Times New Roman" w:cs="Times New Roman"/>
          <w:color w:val="auto"/>
          <w:sz w:val="24"/>
          <w:szCs w:val="22"/>
          <w:highlight w:val="none"/>
        </w:rPr>
        <w:t>有权否决我单位投标资格或招标人取消我单位中标资格，并由招标人上报上级行政主管部门，作为不良记录纳入信用信息管理系统。</w:t>
      </w:r>
    </w:p>
    <w:p w14:paraId="7DA3B4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特此承诺！</w:t>
      </w:r>
    </w:p>
    <w:p w14:paraId="241DA15D">
      <w:pPr>
        <w:spacing w:line="360" w:lineRule="auto"/>
        <w:ind w:firstLine="480" w:firstLineChars="200"/>
        <w:rPr>
          <w:rFonts w:hint="default" w:ascii="Times New Roman" w:hAnsi="Times New Roman" w:cs="Times New Roman"/>
          <w:color w:val="auto"/>
          <w:sz w:val="24"/>
          <w:szCs w:val="22"/>
          <w:highlight w:val="none"/>
        </w:rPr>
      </w:pPr>
    </w:p>
    <w:p w14:paraId="6338E71B">
      <w:pPr>
        <w:spacing w:line="360" w:lineRule="auto"/>
        <w:ind w:firstLine="480" w:firstLineChars="200"/>
        <w:rPr>
          <w:rFonts w:hint="default" w:ascii="Times New Roman" w:hAnsi="Times New Roman" w:cs="Times New Roman"/>
          <w:color w:val="auto"/>
          <w:sz w:val="24"/>
          <w:szCs w:val="22"/>
          <w:highlight w:val="none"/>
        </w:rPr>
      </w:pPr>
    </w:p>
    <w:p w14:paraId="28BC3A32">
      <w:pPr>
        <w:spacing w:line="360" w:lineRule="auto"/>
        <w:ind w:left="2520" w:leftChars="1200" w:firstLine="1920" w:firstLineChars="800"/>
        <w:rPr>
          <w:rFonts w:hint="default" w:ascii="Times New Roman" w:hAnsi="Times New Roman" w:cs="Times New Roman"/>
          <w:color w:val="auto"/>
          <w:sz w:val="24"/>
          <w:szCs w:val="22"/>
          <w:highlight w:val="none"/>
        </w:rPr>
      </w:pPr>
    </w:p>
    <w:p w14:paraId="58291720">
      <w:pPr>
        <w:wordWrap w:val="0"/>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color w:val="auto"/>
          <w:sz w:val="24"/>
          <w:szCs w:val="24"/>
          <w:highlight w:val="none"/>
        </w:rPr>
        <w:t xml:space="preserve">   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1E3AC7D3">
      <w:pPr>
        <w:spacing w:line="360" w:lineRule="auto"/>
        <w:ind w:left="2520" w:leftChars="1200" w:firstLine="1920" w:firstLineChars="800"/>
        <w:rPr>
          <w:rFonts w:hint="default" w:ascii="Times New Roman" w:hAnsi="Times New Roman" w:cs="Times New Roman"/>
          <w:color w:val="auto"/>
          <w:sz w:val="24"/>
          <w:szCs w:val="24"/>
          <w:highlight w:val="none"/>
        </w:rPr>
      </w:pPr>
    </w:p>
    <w:p w14:paraId="53A89B65">
      <w:pPr>
        <w:spacing w:line="360" w:lineRule="auto"/>
        <w:ind w:left="2520" w:leftChars="1200" w:firstLine="1920" w:firstLineChars="8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4"/>
          <w:highlight w:val="none"/>
        </w:rPr>
        <w:t>日期：</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p w14:paraId="43A26E93">
      <w:pPr>
        <w:pStyle w:val="16"/>
        <w:rPr>
          <w:rFonts w:hint="default" w:ascii="Times New Roman" w:hAnsi="Times New Roman" w:cs="Times New Roman"/>
          <w:color w:val="auto"/>
          <w:highlight w:val="none"/>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238CA688">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89" w:name="_Toc14547"/>
      <w:bookmarkStart w:id="1990" w:name="_Toc13882"/>
      <w:bookmarkStart w:id="1991" w:name="_Toc24695"/>
      <w:r>
        <w:rPr>
          <w:rFonts w:hint="default" w:ascii="Times New Roman" w:hAnsi="Times New Roman" w:eastAsia="黑体" w:cs="Times New Roman"/>
          <w:b w:val="0"/>
          <w:color w:val="auto"/>
          <w:sz w:val="24"/>
          <w:szCs w:val="24"/>
          <w:highlight w:val="none"/>
        </w:rPr>
        <w:t>（六）拟委任的项目经理和项目总工资历表</w:t>
      </w:r>
      <w:bookmarkEnd w:id="1979"/>
      <w:bookmarkEnd w:id="1989"/>
      <w:bookmarkEnd w:id="1990"/>
      <w:bookmarkEnd w:id="1991"/>
    </w:p>
    <w:p w14:paraId="6ACD8CD5">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6E28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2219E81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noWrap w:val="0"/>
            <w:vAlign w:val="center"/>
          </w:tcPr>
          <w:p w14:paraId="2E3E4AC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05EDFEC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noWrap w:val="0"/>
            <w:vAlign w:val="top"/>
          </w:tcPr>
          <w:p w14:paraId="485594A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5BBD20C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noWrap w:val="0"/>
            <w:vAlign w:val="top"/>
          </w:tcPr>
          <w:p w14:paraId="2BEEDF1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6BB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FF81F8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noWrap w:val="0"/>
            <w:vAlign w:val="center"/>
          </w:tcPr>
          <w:p w14:paraId="6C553E8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11E2A55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noWrap w:val="0"/>
            <w:vAlign w:val="top"/>
          </w:tcPr>
          <w:p w14:paraId="76B95EB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29C1DF2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4E7D0AF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noWrap w:val="0"/>
            <w:vAlign w:val="top"/>
          </w:tcPr>
          <w:p w14:paraId="4A4F996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C5E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5BD9C0A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27F19B8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06C9B1D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20ED622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EBF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2C13C42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1FE4D1AD">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64FA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1A588ED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70F9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0749CC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42DC4B7A">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2F4F96F9">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5CD6DBD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7114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A20063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CD1095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EDAFE3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BC28D3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70B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883D23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35B94E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6F2CFE6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6CBA86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E62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CF7277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34E1D6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409AB28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647A93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95B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81BDE1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67152F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DBC1CB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0231BF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223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4F00E1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3C94DF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66201F3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4937C6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621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D0C722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61E18F8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3B95DE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24ABEA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D4D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447197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06D005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8E96D3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E9E8A8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AE0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FEFE7D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2CF1E1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569E0F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D8E270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18D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80D503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372DAC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ECE236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E50A1C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618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3467EFA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2ECA753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573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57070683">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65176835">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40122DDD">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3165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18EF270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50AC839A">
            <w:pPr>
              <w:pageBreakBefore w:val="0"/>
              <w:widowControl/>
              <w:kinsoku/>
              <w:wordWrap w:val="0"/>
              <w:autoSpaceDE w:val="0"/>
              <w:autoSpaceDN w:val="0"/>
              <w:bidi w:val="0"/>
              <w:spacing w:line="400" w:lineRule="atLeast"/>
              <w:textAlignment w:val="bottom"/>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联系电话（手机号）：</w:t>
            </w:r>
          </w:p>
        </w:tc>
      </w:tr>
    </w:tbl>
    <w:p w14:paraId="749D73C9">
      <w:pPr>
        <w:pStyle w:val="17"/>
        <w:pageBreakBefore w:val="0"/>
        <w:kinsoku/>
        <w:wordWrap w:val="0"/>
        <w:bidi w:val="0"/>
        <w:spacing w:after="0" w:line="400" w:lineRule="atLeast"/>
        <w:ind w:left="699" w:leftChars="0" w:hanging="699" w:hangingChars="333"/>
        <w:rPr>
          <w:rFonts w:hint="default" w:ascii="Times New Roman" w:hAnsi="Times New Roman" w:cs="Times New Roman"/>
          <w:color w:val="auto"/>
          <w:highlight w:val="none"/>
        </w:rPr>
      </w:pPr>
      <w:r>
        <w:rPr>
          <w:rFonts w:hint="default" w:ascii="Times New Roman" w:hAnsi="Times New Roman" w:cs="Times New Roman"/>
          <w:color w:val="auto"/>
          <w:highlight w:val="none"/>
        </w:rPr>
        <w:t>注：1.本表应填写项目经理和项目总工相关情况。</w:t>
      </w:r>
    </w:p>
    <w:p w14:paraId="3A6D54A2">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2.投标人应根据招标文件第二章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第3.5.5项的要求在本表后附相关证明材料。</w:t>
      </w:r>
    </w:p>
    <w:p w14:paraId="48402527">
      <w:pPr>
        <w:pageBreakBefore w:val="0"/>
        <w:kinsoku/>
        <w:wordWrap/>
        <w:bidi w:val="0"/>
        <w:spacing w:line="240" w:lineRule="auto"/>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14:paraId="4AFCF07A">
      <w:pPr>
        <w:pageBreakBefore w:val="0"/>
        <w:kinsoku/>
        <w:wordWrap w:val="0"/>
        <w:overflowPunct/>
        <w:topLinePunct/>
        <w:bidi w:val="0"/>
        <w:spacing w:line="40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主要人员撤离承诺函（如有）</w:t>
      </w:r>
    </w:p>
    <w:p w14:paraId="6E9B8D38">
      <w:pPr>
        <w:pageBreakBefore w:val="0"/>
        <w:kinsoku/>
        <w:wordWrap w:val="0"/>
        <w:overflowPunct/>
        <w:bidi w:val="0"/>
        <w:ind w:firstLine="232"/>
        <w:jc w:val="center"/>
        <w:rPr>
          <w:rFonts w:hint="default" w:ascii="Times New Roman" w:hAnsi="Times New Roman" w:cs="Times New Roman"/>
          <w:color w:val="auto"/>
          <w:sz w:val="28"/>
          <w:szCs w:val="36"/>
          <w:highlight w:val="none"/>
        </w:rPr>
      </w:pPr>
    </w:p>
    <w:p w14:paraId="6902D4A4">
      <w:pPr>
        <w:pageBreakBefore w:val="0"/>
        <w:kinsoku/>
        <w:wordWrap w:val="0"/>
        <w:overflowPunct/>
        <w:bidi w:val="0"/>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1EF63BBE">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我方参加了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本项目</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）投标，我方在此承诺：</w:t>
      </w:r>
    </w:p>
    <w:p w14:paraId="489C8C06">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鉴于我方拟投入的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项目经理</w:t>
      </w:r>
      <w:r>
        <w:rPr>
          <w:rFonts w:hint="default" w:ascii="Times New Roman" w:hAnsi="Times New Roman" w:cs="Times New Roman"/>
          <w:color w:val="auto"/>
          <w:sz w:val="24"/>
          <w:highlight w:val="none"/>
        </w:rPr>
        <w:t>和/或</w:t>
      </w:r>
      <w:r>
        <w:rPr>
          <w:rFonts w:hint="eastAsia" w:cs="Times New Roman"/>
          <w:color w:val="auto"/>
          <w:sz w:val="24"/>
          <w:highlight w:val="none"/>
          <w:lang w:val="en-US" w:eastAsia="zh-CN"/>
        </w:rPr>
        <w:t>项目总工</w:t>
      </w:r>
      <w:r>
        <w:rPr>
          <w:rFonts w:hint="default" w:ascii="Times New Roman" w:hAnsi="Times New Roman" w:cs="Times New Roman"/>
          <w:color w:val="auto"/>
          <w:sz w:val="24"/>
          <w:highlight w:val="none"/>
        </w:rPr>
        <w:t>姓名）目前仍在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（项目名称）上任职，若我方中标，立即将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项目经理</w:t>
      </w:r>
      <w:r>
        <w:rPr>
          <w:rFonts w:hint="default" w:ascii="Times New Roman" w:hAnsi="Times New Roman" w:cs="Times New Roman"/>
          <w:color w:val="auto"/>
          <w:sz w:val="24"/>
          <w:highlight w:val="none"/>
        </w:rPr>
        <w:t>和/或</w:t>
      </w:r>
      <w:r>
        <w:rPr>
          <w:rFonts w:hint="eastAsia" w:cs="Times New Roman"/>
          <w:color w:val="auto"/>
          <w:sz w:val="24"/>
          <w:highlight w:val="none"/>
          <w:lang w:val="en-US" w:eastAsia="zh-CN"/>
        </w:rPr>
        <w:t>项目总工</w:t>
      </w:r>
      <w:r>
        <w:rPr>
          <w:rFonts w:hint="default" w:ascii="Times New Roman" w:hAnsi="Times New Roman" w:cs="Times New Roman"/>
          <w:color w:val="auto"/>
          <w:sz w:val="24"/>
          <w:highlight w:val="none"/>
        </w:rPr>
        <w:t>）从上述项目撤离，投入本项目。</w:t>
      </w:r>
    </w:p>
    <w:p w14:paraId="7D453969">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如我方违背了上述承诺，招标人有权取消我方的中标资格，并由招标人将我方的违约行为上报省级交通运输主管部门，作为不良记录纳入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62D4EF8">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p>
    <w:p w14:paraId="3C0C0621">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p>
    <w:p w14:paraId="76CE23DE">
      <w:pPr>
        <w:pageBreakBefore w:val="0"/>
        <w:kinsoku/>
        <w:wordWrap w:val="0"/>
        <w:overflowPunct/>
        <w:bidi w:val="0"/>
        <w:spacing w:line="400" w:lineRule="exact"/>
        <w:ind w:firstLine="2880" w:firstLineChars="1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1BE8E3FB">
      <w:pPr>
        <w:pageBreakBefore w:val="0"/>
        <w:kinsoku/>
        <w:wordWrap w:val="0"/>
        <w:overflowPunct/>
        <w:bidi w:val="0"/>
        <w:spacing w:line="400" w:lineRule="exac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5457F539">
      <w:pPr>
        <w:pageBreakBefore w:val="0"/>
        <w:kinsoku/>
        <w:wordWrap w:val="0"/>
        <w:overflowPunct/>
        <w:bidi w:val="0"/>
        <w:spacing w:line="400" w:lineRule="exact"/>
        <w:ind w:firstLine="3120" w:firstLineChars="1300"/>
        <w:rPr>
          <w:rFonts w:hint="default" w:ascii="Times New Roman" w:hAnsi="Times New Roman" w:cs="Times New Roman"/>
          <w:color w:val="auto"/>
          <w:sz w:val="24"/>
          <w:highlight w:val="none"/>
        </w:rPr>
      </w:pPr>
    </w:p>
    <w:p w14:paraId="0AB40542">
      <w:pPr>
        <w:pageBreakBefore w:val="0"/>
        <w:kinsoku/>
        <w:wordWrap w:val="0"/>
        <w:overflowPunct/>
        <w:bidi w:val="0"/>
        <w:spacing w:line="400" w:lineRule="exact"/>
        <w:ind w:firstLine="3840" w:firstLineChars="1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2B3EEEB">
      <w:pPr>
        <w:pageBreakBefore w:val="0"/>
        <w:kinsoku/>
        <w:wordWrap w:val="0"/>
        <w:overflowPunct/>
        <w:bidi w:val="0"/>
        <w:spacing w:line="400" w:lineRule="exact"/>
        <w:ind w:firstLine="3840" w:firstLineChars="1600"/>
        <w:rPr>
          <w:rFonts w:hint="default" w:ascii="Times New Roman" w:hAnsi="Times New Roman" w:cs="Times New Roman"/>
          <w:color w:val="auto"/>
          <w:sz w:val="24"/>
          <w:highlight w:val="none"/>
        </w:rPr>
      </w:pPr>
    </w:p>
    <w:p w14:paraId="792154AC">
      <w:pPr>
        <w:pageBreakBefore w:val="0"/>
        <w:kinsoku/>
        <w:wordWrap w:val="0"/>
        <w:overflowPunct/>
        <w:bidi w:val="0"/>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注：1、如项目经理和/或项目总工目前仍在其他项目上任职，投标人应提供项目经理和/或项目总工能够从该项目撤离的承诺函。</w:t>
      </w:r>
    </w:p>
    <w:p w14:paraId="16EE8616">
      <w:pPr>
        <w:pageBreakBefore w:val="0"/>
        <w:kinsoku/>
        <w:wordWrap w:val="0"/>
        <w:overflowPunct/>
        <w:bidi w:val="0"/>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2、投标人所提供的承诺函格式和内容须与招标文件提供的格式和内容一致，不得更改招标文件提供的承诺函格式和内容，否则其投标将被否决。</w:t>
      </w:r>
    </w:p>
    <w:p w14:paraId="57AC571B">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p>
    <w:p w14:paraId="2EB0AA4A">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992" w:name="_Toc234833286"/>
      <w:bookmarkStart w:id="1993" w:name="_Toc15670"/>
      <w:bookmarkStart w:id="1994" w:name="_Toc30763"/>
      <w:bookmarkStart w:id="1995" w:name="_Toc26510"/>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七</w:t>
      </w:r>
      <w:r>
        <w:rPr>
          <w:rFonts w:hint="default" w:ascii="Times New Roman" w:hAnsi="Times New Roman" w:eastAsia="黑体" w:cs="Times New Roman"/>
          <w:b w:val="0"/>
          <w:color w:val="auto"/>
          <w:sz w:val="24"/>
          <w:szCs w:val="24"/>
          <w:highlight w:val="none"/>
        </w:rPr>
        <w:t>）拟委任的其他管理和技术人员汇总表</w:t>
      </w:r>
      <w:r>
        <w:rPr>
          <w:rFonts w:hint="default" w:ascii="Times New Roman" w:hAnsi="Times New Roman" w:eastAsia="黑体" w:cs="Times New Roman"/>
          <w:b w:val="0"/>
          <w:color w:val="auto"/>
          <w:sz w:val="24"/>
          <w:szCs w:val="24"/>
          <w:highlight w:val="none"/>
          <w:vertAlign w:val="superscript"/>
        </w:rPr>
        <w:footnoteReference w:id="53"/>
      </w:r>
      <w:bookmarkEnd w:id="1992"/>
      <w:bookmarkEnd w:id="1993"/>
      <w:bookmarkEnd w:id="1994"/>
      <w:bookmarkEnd w:id="1995"/>
    </w:p>
    <w:p w14:paraId="314FD68B">
      <w:pPr>
        <w:pageBreakBefore w:val="0"/>
        <w:kinsoku/>
        <w:wordWrap w:val="0"/>
        <w:bidi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0605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7A354B4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926" w:type="dxa"/>
            <w:noWrap w:val="0"/>
            <w:vAlign w:val="center"/>
          </w:tcPr>
          <w:p w14:paraId="305F4B0B">
            <w:pPr>
              <w:pStyle w:val="75"/>
              <w:pageBreakBefore w:val="0"/>
              <w:kinsoku/>
              <w:wordWrap w:val="0"/>
              <w:autoSpaceDE/>
              <w:autoSpaceDN/>
              <w:bidi w:val="0"/>
              <w:adjustRightInd/>
              <w:snapToGrid/>
              <w:spacing w:line="400" w:lineRule="atLeast"/>
              <w:textAlignment w:val="auto"/>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年龄</w:t>
            </w:r>
          </w:p>
        </w:tc>
        <w:tc>
          <w:tcPr>
            <w:tcW w:w="2682" w:type="dxa"/>
            <w:noWrap w:val="0"/>
            <w:vAlign w:val="center"/>
          </w:tcPr>
          <w:p w14:paraId="06A3D53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拟在本标段工程任职</w:t>
            </w:r>
          </w:p>
        </w:tc>
        <w:tc>
          <w:tcPr>
            <w:tcW w:w="1101" w:type="dxa"/>
            <w:noWrap w:val="0"/>
            <w:vAlign w:val="center"/>
          </w:tcPr>
          <w:p w14:paraId="5F2054E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307" w:type="dxa"/>
            <w:noWrap w:val="0"/>
            <w:vAlign w:val="center"/>
          </w:tcPr>
          <w:p w14:paraId="7AF6D90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1942" w:type="dxa"/>
            <w:noWrap w:val="0"/>
            <w:vAlign w:val="center"/>
          </w:tcPr>
          <w:p w14:paraId="06E50F3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r>
      <w:tr w14:paraId="2006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1D825EA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706C35AF">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764142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742494D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1D6927AC">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3559EB91">
            <w:pPr>
              <w:pageBreakBefore w:val="0"/>
              <w:kinsoku/>
              <w:wordWrap w:val="0"/>
              <w:bidi w:val="0"/>
              <w:spacing w:line="400" w:lineRule="atLeast"/>
              <w:jc w:val="center"/>
              <w:rPr>
                <w:rFonts w:hint="default" w:ascii="Times New Roman" w:hAnsi="Times New Roman" w:cs="Times New Roman"/>
                <w:color w:val="auto"/>
                <w:highlight w:val="none"/>
              </w:rPr>
            </w:pPr>
          </w:p>
        </w:tc>
      </w:tr>
      <w:tr w14:paraId="6D49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51013C9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9079A72">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2F49A40">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7125C43D">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716EACA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8C0079E">
            <w:pPr>
              <w:pageBreakBefore w:val="0"/>
              <w:kinsoku/>
              <w:wordWrap w:val="0"/>
              <w:bidi w:val="0"/>
              <w:spacing w:line="400" w:lineRule="atLeast"/>
              <w:jc w:val="center"/>
              <w:rPr>
                <w:rFonts w:hint="default" w:ascii="Times New Roman" w:hAnsi="Times New Roman" w:cs="Times New Roman"/>
                <w:color w:val="auto"/>
                <w:highlight w:val="none"/>
              </w:rPr>
            </w:pPr>
          </w:p>
        </w:tc>
      </w:tr>
      <w:tr w14:paraId="51D5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22920187">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0F71BEEB">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D763BBA">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3BF4AF2E">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35F5D3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2F0C05F9">
            <w:pPr>
              <w:pageBreakBefore w:val="0"/>
              <w:kinsoku/>
              <w:wordWrap w:val="0"/>
              <w:bidi w:val="0"/>
              <w:spacing w:line="400" w:lineRule="atLeast"/>
              <w:jc w:val="center"/>
              <w:rPr>
                <w:rFonts w:hint="default" w:ascii="Times New Roman" w:hAnsi="Times New Roman" w:cs="Times New Roman"/>
                <w:color w:val="auto"/>
                <w:highlight w:val="none"/>
              </w:rPr>
            </w:pPr>
          </w:p>
        </w:tc>
      </w:tr>
      <w:tr w14:paraId="0166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6F99F367">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759F4B22">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AEB1F99">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7B6F2BC2">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1FC8409">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9E17BF9">
            <w:pPr>
              <w:pageBreakBefore w:val="0"/>
              <w:kinsoku/>
              <w:wordWrap w:val="0"/>
              <w:bidi w:val="0"/>
              <w:spacing w:line="400" w:lineRule="atLeast"/>
              <w:jc w:val="center"/>
              <w:rPr>
                <w:rFonts w:hint="default" w:ascii="Times New Roman" w:hAnsi="Times New Roman" w:cs="Times New Roman"/>
                <w:color w:val="auto"/>
                <w:highlight w:val="none"/>
              </w:rPr>
            </w:pPr>
          </w:p>
        </w:tc>
      </w:tr>
      <w:tr w14:paraId="00D4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6ABED706">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17F4B3D">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2308944">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7766A29">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51CEA12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F5E2E85">
            <w:pPr>
              <w:pageBreakBefore w:val="0"/>
              <w:kinsoku/>
              <w:wordWrap w:val="0"/>
              <w:bidi w:val="0"/>
              <w:spacing w:line="400" w:lineRule="atLeast"/>
              <w:jc w:val="center"/>
              <w:rPr>
                <w:rFonts w:hint="default" w:ascii="Times New Roman" w:hAnsi="Times New Roman" w:cs="Times New Roman"/>
                <w:color w:val="auto"/>
                <w:highlight w:val="none"/>
              </w:rPr>
            </w:pPr>
          </w:p>
        </w:tc>
      </w:tr>
      <w:tr w14:paraId="5696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2BD90631">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1A6557C">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9C29DD7">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26135B4F">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2D5726FF">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68A355EE">
            <w:pPr>
              <w:pageBreakBefore w:val="0"/>
              <w:kinsoku/>
              <w:wordWrap w:val="0"/>
              <w:bidi w:val="0"/>
              <w:spacing w:line="400" w:lineRule="atLeast"/>
              <w:jc w:val="center"/>
              <w:rPr>
                <w:rFonts w:hint="default" w:ascii="Times New Roman" w:hAnsi="Times New Roman" w:cs="Times New Roman"/>
                <w:color w:val="auto"/>
                <w:highlight w:val="none"/>
              </w:rPr>
            </w:pPr>
          </w:p>
        </w:tc>
      </w:tr>
      <w:tr w14:paraId="600E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2E4E877F">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119E3F51">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2D2CB7B">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5813E6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574C9440">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D475E65">
            <w:pPr>
              <w:pageBreakBefore w:val="0"/>
              <w:kinsoku/>
              <w:wordWrap w:val="0"/>
              <w:bidi w:val="0"/>
              <w:spacing w:line="400" w:lineRule="atLeast"/>
              <w:jc w:val="center"/>
              <w:rPr>
                <w:rFonts w:hint="default" w:ascii="Times New Roman" w:hAnsi="Times New Roman" w:cs="Times New Roman"/>
                <w:color w:val="auto"/>
                <w:highlight w:val="none"/>
              </w:rPr>
            </w:pPr>
          </w:p>
        </w:tc>
      </w:tr>
      <w:tr w14:paraId="75C8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0EEC3AA8">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464E61D4">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18F66751">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AC459F9">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22A7B137">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1050315">
            <w:pPr>
              <w:pageBreakBefore w:val="0"/>
              <w:kinsoku/>
              <w:wordWrap w:val="0"/>
              <w:bidi w:val="0"/>
              <w:spacing w:line="400" w:lineRule="atLeast"/>
              <w:jc w:val="center"/>
              <w:rPr>
                <w:rFonts w:hint="default" w:ascii="Times New Roman" w:hAnsi="Times New Roman" w:cs="Times New Roman"/>
                <w:color w:val="auto"/>
                <w:highlight w:val="none"/>
              </w:rPr>
            </w:pPr>
          </w:p>
        </w:tc>
      </w:tr>
      <w:tr w14:paraId="3A91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18CA572B">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10BA6ABB">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D75D9B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CF07AD6">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AAA6015">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57D021C">
            <w:pPr>
              <w:pageBreakBefore w:val="0"/>
              <w:kinsoku/>
              <w:wordWrap w:val="0"/>
              <w:bidi w:val="0"/>
              <w:spacing w:line="400" w:lineRule="atLeast"/>
              <w:jc w:val="center"/>
              <w:rPr>
                <w:rFonts w:hint="default" w:ascii="Times New Roman" w:hAnsi="Times New Roman" w:cs="Times New Roman"/>
                <w:color w:val="auto"/>
                <w:highlight w:val="none"/>
              </w:rPr>
            </w:pPr>
          </w:p>
        </w:tc>
      </w:tr>
      <w:tr w14:paraId="717C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53AA52EB">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12F2F34">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9C11B3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2A8ADC8">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5D5322B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F033A7E">
            <w:pPr>
              <w:pageBreakBefore w:val="0"/>
              <w:kinsoku/>
              <w:wordWrap w:val="0"/>
              <w:bidi w:val="0"/>
              <w:spacing w:line="400" w:lineRule="atLeast"/>
              <w:jc w:val="center"/>
              <w:rPr>
                <w:rFonts w:hint="default" w:ascii="Times New Roman" w:hAnsi="Times New Roman" w:cs="Times New Roman"/>
                <w:color w:val="auto"/>
                <w:highlight w:val="none"/>
              </w:rPr>
            </w:pPr>
          </w:p>
        </w:tc>
      </w:tr>
      <w:tr w14:paraId="1350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18E3D5E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4C52162D">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0A5432F">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B023FBD">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2DD86D5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37AB8AA">
            <w:pPr>
              <w:pageBreakBefore w:val="0"/>
              <w:kinsoku/>
              <w:wordWrap w:val="0"/>
              <w:bidi w:val="0"/>
              <w:spacing w:line="400" w:lineRule="atLeast"/>
              <w:jc w:val="center"/>
              <w:rPr>
                <w:rFonts w:hint="default" w:ascii="Times New Roman" w:hAnsi="Times New Roman" w:cs="Times New Roman"/>
                <w:color w:val="auto"/>
                <w:highlight w:val="none"/>
              </w:rPr>
            </w:pPr>
          </w:p>
        </w:tc>
      </w:tr>
      <w:tr w14:paraId="3B04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A436489">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9643888">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3EFAB37">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72F0071">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206B9FA7">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87A3A8A">
            <w:pPr>
              <w:pageBreakBefore w:val="0"/>
              <w:kinsoku/>
              <w:wordWrap w:val="0"/>
              <w:bidi w:val="0"/>
              <w:spacing w:line="400" w:lineRule="atLeast"/>
              <w:jc w:val="center"/>
              <w:rPr>
                <w:rFonts w:hint="default" w:ascii="Times New Roman" w:hAnsi="Times New Roman" w:cs="Times New Roman"/>
                <w:color w:val="auto"/>
                <w:highlight w:val="none"/>
              </w:rPr>
            </w:pPr>
          </w:p>
        </w:tc>
      </w:tr>
      <w:tr w14:paraId="3EBF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369CABA5">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4239E648">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646A9497">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7B50980">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AB3C10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35CB450F">
            <w:pPr>
              <w:pageBreakBefore w:val="0"/>
              <w:kinsoku/>
              <w:wordWrap w:val="0"/>
              <w:bidi w:val="0"/>
              <w:spacing w:line="400" w:lineRule="atLeast"/>
              <w:jc w:val="center"/>
              <w:rPr>
                <w:rFonts w:hint="default" w:ascii="Times New Roman" w:hAnsi="Times New Roman" w:cs="Times New Roman"/>
                <w:color w:val="auto"/>
                <w:highlight w:val="none"/>
              </w:rPr>
            </w:pPr>
          </w:p>
        </w:tc>
      </w:tr>
    </w:tbl>
    <w:p w14:paraId="2B420E68">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注：本表填报的人员应满足招标文件第二章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前附表附录6的要求。</w:t>
      </w:r>
    </w:p>
    <w:p w14:paraId="2BC5013C">
      <w:pPr>
        <w:pageBreakBefore w:val="0"/>
        <w:kinsoku/>
        <w:wordWrap w:val="0"/>
        <w:bidi w:val="0"/>
        <w:spacing w:line="400" w:lineRule="atLeast"/>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br w:type="page"/>
      </w:r>
    </w:p>
    <w:p w14:paraId="6F1FCDE1">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96" w:name="_Toc234833287"/>
      <w:bookmarkStart w:id="1997" w:name="_Toc26724"/>
      <w:bookmarkStart w:id="1998" w:name="_Toc4744"/>
      <w:bookmarkStart w:id="1999" w:name="_Toc31833"/>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八</w:t>
      </w:r>
      <w:r>
        <w:rPr>
          <w:rFonts w:hint="default" w:ascii="Times New Roman" w:hAnsi="Times New Roman" w:eastAsia="黑体" w:cs="Times New Roman"/>
          <w:b w:val="0"/>
          <w:color w:val="auto"/>
          <w:sz w:val="24"/>
          <w:szCs w:val="24"/>
          <w:highlight w:val="none"/>
        </w:rPr>
        <w:t>）拟委任的其他管理和技术人员资历表</w:t>
      </w:r>
      <w:r>
        <w:rPr>
          <w:rFonts w:hint="default" w:ascii="Times New Roman" w:hAnsi="Times New Roman" w:eastAsia="黑体" w:cs="Times New Roman"/>
          <w:b w:val="0"/>
          <w:color w:val="auto"/>
          <w:sz w:val="24"/>
          <w:szCs w:val="24"/>
          <w:highlight w:val="none"/>
          <w:vertAlign w:val="superscript"/>
        </w:rPr>
        <w:footnoteReference w:id="54"/>
      </w:r>
      <w:bookmarkEnd w:id="1996"/>
      <w:bookmarkEnd w:id="1997"/>
      <w:bookmarkEnd w:id="1998"/>
      <w:bookmarkEnd w:id="1999"/>
    </w:p>
    <w:p w14:paraId="235F0A43">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61A1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4BBDCF0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51214AA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4A2900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656A754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5C5BB98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08989CC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012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4712FDF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73016C4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46E9AA8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119C061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125BFF0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329628A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132C23C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047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3C8EBDE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0F2BBE4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72160C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6324F1A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39A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1867CE7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2507B66E">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55F8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58F502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537C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85DA2D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57E7CFAD">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0E4ECEA6">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590DE9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415D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DEDBF7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8B7D46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17FF10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EEDE18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D46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2AE416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BA5299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66085DA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371B45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6DD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EF566F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6E372F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2CCF925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60474F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54C7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5BB237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633759C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216D767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BE7DB5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7A7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1B98A0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DA9764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615292D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CECBAD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5A8E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EC9281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74B7D1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24576E4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A51C4A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032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0FEC0C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484A4B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44AC14B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A64FD2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C45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222CE49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37D8A44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571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EBF123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5BF5A9AF">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6B752206">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1DE3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24E5B985">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7F21ECA5">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143E7ADF">
      <w:pPr>
        <w:pStyle w:val="17"/>
        <w:pageBreakBefore w:val="0"/>
        <w:kinsoku/>
        <w:wordWrap w:val="0"/>
        <w:bidi w:val="0"/>
        <w:spacing w:after="0" w:line="400" w:lineRule="atLeast"/>
        <w:ind w:left="588" w:leftChars="0" w:right="-61" w:rightChars="-29" w:hanging="588" w:hangingChars="2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注：1.本表人员应与表（七）中所列人员相一致。</w:t>
      </w:r>
    </w:p>
    <w:p w14:paraId="5AAD8432">
      <w:pPr>
        <w:pStyle w:val="17"/>
        <w:pageBreakBefore w:val="0"/>
        <w:kinsoku/>
        <w:wordWrap w:val="0"/>
        <w:bidi w:val="0"/>
        <w:spacing w:after="0" w:line="40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第3.5.6项的要求在本表后附相关证明材料。</w:t>
      </w:r>
    </w:p>
    <w:p w14:paraId="68555862">
      <w:pPr>
        <w:pStyle w:val="2"/>
        <w:pageBreakBefore w:val="0"/>
        <w:kinsoku/>
        <w:wordWrap w:val="0"/>
        <w:bidi w:val="0"/>
        <w:spacing w:before="0" w:after="0" w:line="40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2000" w:name="_Toc21686"/>
      <w:bookmarkStart w:id="2001" w:name="_Toc26111"/>
      <w:bookmarkStart w:id="2002" w:name="_Toc5789"/>
      <w:bookmarkStart w:id="2003" w:name="_Toc234833288"/>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九</w:t>
      </w:r>
      <w:r>
        <w:rPr>
          <w:rFonts w:hint="default" w:ascii="Times New Roman" w:hAnsi="Times New Roman" w:eastAsia="黑体" w:cs="Times New Roman"/>
          <w:b w:val="0"/>
          <w:color w:val="auto"/>
          <w:sz w:val="24"/>
          <w:szCs w:val="24"/>
          <w:highlight w:val="none"/>
        </w:rPr>
        <w:t>） 拟投入本标段的主要施工机械表</w:t>
      </w:r>
      <w:r>
        <w:rPr>
          <w:rFonts w:hint="default" w:ascii="Times New Roman" w:hAnsi="Times New Roman" w:eastAsia="黑体" w:cs="Times New Roman"/>
          <w:b w:val="0"/>
          <w:color w:val="auto"/>
          <w:sz w:val="24"/>
          <w:szCs w:val="24"/>
          <w:highlight w:val="none"/>
          <w:vertAlign w:val="superscript"/>
        </w:rPr>
        <w:footnoteReference w:id="55"/>
      </w:r>
      <w:bookmarkEnd w:id="2000"/>
      <w:bookmarkEnd w:id="2001"/>
      <w:bookmarkEnd w:id="2002"/>
      <w:bookmarkEnd w:id="2003"/>
    </w:p>
    <w:p w14:paraId="1621942B">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color w:val="auto"/>
          <w:sz w:val="23"/>
          <w:szCs w:val="23"/>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05F6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26092BF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85" w:type="dxa"/>
            <w:vMerge w:val="restart"/>
            <w:noWrap w:val="0"/>
            <w:vAlign w:val="center"/>
          </w:tcPr>
          <w:p w14:paraId="758D8C5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设备名称</w:t>
            </w:r>
          </w:p>
        </w:tc>
        <w:tc>
          <w:tcPr>
            <w:tcW w:w="758" w:type="dxa"/>
            <w:vMerge w:val="restart"/>
            <w:noWrap w:val="0"/>
            <w:vAlign w:val="center"/>
          </w:tcPr>
          <w:p w14:paraId="6546BE6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w:t>
            </w:r>
          </w:p>
          <w:p w14:paraId="699CCF2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670" w:type="dxa"/>
            <w:vMerge w:val="restart"/>
            <w:noWrap w:val="0"/>
            <w:vAlign w:val="center"/>
          </w:tcPr>
          <w:p w14:paraId="380F220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w:t>
            </w:r>
          </w:p>
          <w:p w14:paraId="6A10437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产地</w:t>
            </w:r>
          </w:p>
        </w:tc>
        <w:tc>
          <w:tcPr>
            <w:tcW w:w="659" w:type="dxa"/>
            <w:vMerge w:val="restart"/>
            <w:noWrap w:val="0"/>
            <w:vAlign w:val="center"/>
          </w:tcPr>
          <w:p w14:paraId="1F441D2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w:t>
            </w:r>
          </w:p>
          <w:p w14:paraId="3E820FE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年份</w:t>
            </w:r>
          </w:p>
        </w:tc>
        <w:tc>
          <w:tcPr>
            <w:tcW w:w="941" w:type="dxa"/>
            <w:vMerge w:val="restart"/>
            <w:noWrap w:val="0"/>
            <w:vAlign w:val="center"/>
          </w:tcPr>
          <w:p w14:paraId="00F1796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额定功率（kW）</w:t>
            </w:r>
          </w:p>
        </w:tc>
        <w:tc>
          <w:tcPr>
            <w:tcW w:w="646" w:type="dxa"/>
            <w:vMerge w:val="restart"/>
            <w:noWrap w:val="0"/>
            <w:vAlign w:val="center"/>
          </w:tcPr>
          <w:p w14:paraId="3836FFF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w:t>
            </w:r>
          </w:p>
          <w:p w14:paraId="0DD1C5A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能力</w:t>
            </w:r>
          </w:p>
        </w:tc>
        <w:tc>
          <w:tcPr>
            <w:tcW w:w="2109" w:type="dxa"/>
            <w:gridSpan w:val="4"/>
            <w:noWrap w:val="0"/>
            <w:vAlign w:val="center"/>
          </w:tcPr>
          <w:p w14:paraId="6F29D60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数量（台）</w:t>
            </w:r>
          </w:p>
        </w:tc>
        <w:tc>
          <w:tcPr>
            <w:tcW w:w="948" w:type="dxa"/>
            <w:vMerge w:val="restart"/>
            <w:noWrap w:val="0"/>
            <w:vAlign w:val="center"/>
          </w:tcPr>
          <w:p w14:paraId="19604B9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预计进场时间</w:t>
            </w:r>
          </w:p>
        </w:tc>
      </w:tr>
      <w:tr w14:paraId="60C8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Merge w:val="continue"/>
            <w:noWrap w:val="0"/>
            <w:vAlign w:val="center"/>
          </w:tcPr>
          <w:p w14:paraId="141402D7">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71F9ADB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28E6EE8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5A4824D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7DC0520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0236913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6EC73BE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restart"/>
            <w:noWrap w:val="0"/>
            <w:vAlign w:val="center"/>
          </w:tcPr>
          <w:p w14:paraId="3B198F3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c>
          <w:tcPr>
            <w:tcW w:w="1679" w:type="dxa"/>
            <w:gridSpan w:val="3"/>
            <w:noWrap w:val="0"/>
            <w:vAlign w:val="center"/>
          </w:tcPr>
          <w:p w14:paraId="0899D0D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 中</w:t>
            </w:r>
          </w:p>
        </w:tc>
        <w:tc>
          <w:tcPr>
            <w:tcW w:w="948" w:type="dxa"/>
            <w:vMerge w:val="continue"/>
            <w:noWrap w:val="0"/>
            <w:vAlign w:val="center"/>
          </w:tcPr>
          <w:p w14:paraId="7870717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C1D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4" w:type="dxa"/>
            <w:vMerge w:val="continue"/>
            <w:noWrap w:val="0"/>
            <w:vAlign w:val="center"/>
          </w:tcPr>
          <w:p w14:paraId="3514DB5F">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399AA61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0A49CC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619B913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6B0BA39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3B50398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51F08DE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continue"/>
            <w:noWrap w:val="0"/>
            <w:vAlign w:val="center"/>
          </w:tcPr>
          <w:p w14:paraId="5D3BAAA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5693A0E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自有</w:t>
            </w:r>
          </w:p>
        </w:tc>
        <w:tc>
          <w:tcPr>
            <w:tcW w:w="559" w:type="dxa"/>
            <w:noWrap w:val="0"/>
            <w:vAlign w:val="center"/>
          </w:tcPr>
          <w:p w14:paraId="25B9344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新购</w:t>
            </w:r>
          </w:p>
        </w:tc>
        <w:tc>
          <w:tcPr>
            <w:tcW w:w="561" w:type="dxa"/>
            <w:noWrap w:val="0"/>
            <w:vAlign w:val="center"/>
          </w:tcPr>
          <w:p w14:paraId="70ED201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租赁</w:t>
            </w:r>
          </w:p>
        </w:tc>
        <w:tc>
          <w:tcPr>
            <w:tcW w:w="948" w:type="dxa"/>
            <w:vMerge w:val="continue"/>
            <w:noWrap w:val="0"/>
            <w:vAlign w:val="center"/>
          </w:tcPr>
          <w:p w14:paraId="5EF4245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A44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7D1A30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791CB73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31A3DA8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3F5A3A8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7DCC318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4F1725C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55A87DA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2C27187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7CBE5DE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3049B7E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684A194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581EB0A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8CE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1FDC420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3C4E498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6EEBB7C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24F67DB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3806185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6F234C6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6CA6121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3B72254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1FF199B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28D5821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00F38ED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719AA00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056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CCA52B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DD7248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F1E533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10DCEB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D5CE15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64845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85892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9CCD36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56CB08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5714BFB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5A005D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2958CE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392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340224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74580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6B20226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204C1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1895BA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80B8E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9EFC03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0A071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EA5BE5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95FE48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177DD8F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F4EDBF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8F2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FB47A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9FE54D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E9138E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539173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662087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EEF429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5C91AC4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6F25FB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D50A8C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6CC9D5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91EEF7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5E7BE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7D4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72DA79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1EC040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ADCE24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ECE9D0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22D4CCA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A068DA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32C324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BEEAB6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26EFF3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660781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8F7D9D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537B69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8D6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55D059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7F1425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2B2E97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BE044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413327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2D0CC2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84BAAC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B75710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30C1E5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A6A196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796F63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1B652D9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62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B6B3D0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8B7563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868415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AECBA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D1DB49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8973A3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5A0FFE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2C3084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547833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37E63D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12E706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BCE9FE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21F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9D6A7E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5AF4A9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702681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8F0730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F7890B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59574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DFFEE5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93679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6AC11D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24DD76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1CADB6F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0DFE9C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25A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0DBD4F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88B679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DCB63A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CC9701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C46136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85348E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10A98D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53A4B9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4D6C46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A7D9D3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1980BAC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1832B5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9E7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F7B8E0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1C1BE2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B37CA8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99C83E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BA1A2A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93EF78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E4EAD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668E44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2107E5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929978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3D2ACA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34A61D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367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32189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D13F6C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4A2B8F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AD38E8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75A2BA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E7EA32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CD4E58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61068A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3476C7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1A472F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E7165F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8C9422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856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EEC0BA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7C7EC4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E92B6B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F033F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89005B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28C014A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1AE871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0E927F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CDABE6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967D34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357FC5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C8F76D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59B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B0F8B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49D2E0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76F887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2EADF3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97347B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B35AE2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31852D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42D578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F52794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98D5EA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191395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346BA7F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453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3F357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7B4F64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6645A1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566DD8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45866C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24D966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E37D53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47CC89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8EC484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AE0E79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DD4AAF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1FC8D7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DB0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96608E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964B4B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002B90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7763666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45328D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CF641F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2CD2A0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61487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6977A6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E59E22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D016CE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4DF814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D77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F6A2D8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4E0D75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95DD95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E3BBB0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3D890F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204B7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A64944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A19B28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D977A9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F7768B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C85736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1448A99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19E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6FE215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3C5578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77AC2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0D61E5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2A490C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38AB61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91E61D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238FAF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B3CBE1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6AD73C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3AC571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301784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630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003165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A40ECB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65A0344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44E7DCF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8BF320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86FD3E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5CB1B5F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E5F0BA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194ED6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30AC57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C00232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3D218EC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E96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63186E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141C5B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E92AB2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4F036A4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DCEFA0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77769B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E0BE26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036736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937F54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3FA37E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B389DF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AF744D4">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E5A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5B231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C308BB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4A23A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4B6911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2EC55E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91D92C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59B0AE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5750E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001ADF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0D63D1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36C990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0FBDED94">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17E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105E2E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F01DB8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080237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1C7405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548EC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CBC5A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D5D70D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D2757A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2EA685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F8D1A4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166A24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938363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1F9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BC2567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4B5CB8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7458CD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70EB8E8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143268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24D6B1B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04BC54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7C4B71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C8F045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CA8259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3867DD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3820C8F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4A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BEB081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E7C1AC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437187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10B5E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323103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D32C2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A391DF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A6CCEF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2444BD1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AFB662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8A31AD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3CD67D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4F4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1413A3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C1683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957BDE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758795E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346A2B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C2D8C5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86B30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ACB890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FDDC54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563977F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897C06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510625C">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00F20EF2">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585C6980">
      <w:pPr>
        <w:pageBreakBefore w:val="0"/>
        <w:kinsoku/>
        <w:wordWrap w:val="0"/>
        <w:topLinePunct/>
        <w:bidi w:val="0"/>
        <w:spacing w:line="400" w:lineRule="atLeast"/>
        <w:rPr>
          <w:rFonts w:hint="default" w:ascii="Times New Roman" w:hAnsi="Times New Roman" w:cs="Times New Roman"/>
          <w:color w:val="auto"/>
          <w:sz w:val="23"/>
          <w:szCs w:val="23"/>
          <w:highlight w:val="none"/>
        </w:rPr>
      </w:pPr>
    </w:p>
    <w:p w14:paraId="7F1E24C3">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2004" w:name="_Toc19215"/>
      <w:bookmarkStart w:id="2005" w:name="_Toc27702"/>
      <w:bookmarkStart w:id="2006" w:name="_Toc32334"/>
      <w:bookmarkStart w:id="2007" w:name="_Toc234833289"/>
      <w:r>
        <w:rPr>
          <w:rFonts w:hint="default" w:ascii="Times New Roman" w:hAnsi="Times New Roman" w:eastAsia="黑体" w:cs="Times New Roman"/>
          <w:b w:val="0"/>
          <w:color w:val="auto"/>
          <w:sz w:val="24"/>
          <w:szCs w:val="24"/>
          <w:highlight w:val="none"/>
        </w:rPr>
        <w:t>（十） 拟配备本标段的主要材料试验、测量、质检仪器设备表</w:t>
      </w:r>
      <w:r>
        <w:rPr>
          <w:rFonts w:hint="default" w:ascii="Times New Roman" w:hAnsi="Times New Roman" w:eastAsia="黑体" w:cs="Times New Roman"/>
          <w:b w:val="0"/>
          <w:color w:val="auto"/>
          <w:sz w:val="24"/>
          <w:szCs w:val="24"/>
          <w:highlight w:val="none"/>
          <w:vertAlign w:val="superscript"/>
        </w:rPr>
        <w:footnoteReference w:id="56"/>
      </w:r>
      <w:bookmarkEnd w:id="2004"/>
      <w:bookmarkEnd w:id="2005"/>
      <w:bookmarkEnd w:id="2006"/>
      <w:bookmarkEnd w:id="2007"/>
    </w:p>
    <w:p w14:paraId="1CFE5D59">
      <w:pPr>
        <w:pageBreakBefore w:val="0"/>
        <w:kinsoku/>
        <w:wordWrap w:val="0"/>
        <w:bidi w:val="0"/>
        <w:spacing w:line="400" w:lineRule="atLeast"/>
        <w:rPr>
          <w:rFonts w:hint="default" w:ascii="Times New Roman" w:hAnsi="Times New Roman" w:cs="Times New Roman"/>
          <w:color w:val="auto"/>
          <w:sz w:val="20"/>
          <w:szCs w:val="20"/>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53CA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2AF2577">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17" w:type="dxa"/>
            <w:noWrap w:val="0"/>
            <w:vAlign w:val="center"/>
          </w:tcPr>
          <w:p w14:paraId="005B220A">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仪器设备名称</w:t>
            </w:r>
          </w:p>
        </w:tc>
        <w:tc>
          <w:tcPr>
            <w:tcW w:w="1030" w:type="dxa"/>
            <w:noWrap w:val="0"/>
            <w:vAlign w:val="center"/>
          </w:tcPr>
          <w:p w14:paraId="38F93D41">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型号规格</w:t>
            </w:r>
          </w:p>
        </w:tc>
        <w:tc>
          <w:tcPr>
            <w:tcW w:w="1016" w:type="dxa"/>
            <w:noWrap w:val="0"/>
            <w:vAlign w:val="center"/>
          </w:tcPr>
          <w:p w14:paraId="37FF576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026" w:type="dxa"/>
            <w:noWrap w:val="0"/>
            <w:vAlign w:val="center"/>
          </w:tcPr>
          <w:p w14:paraId="571488C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国别产地</w:t>
            </w:r>
          </w:p>
        </w:tc>
        <w:tc>
          <w:tcPr>
            <w:tcW w:w="1026" w:type="dxa"/>
            <w:noWrap w:val="0"/>
            <w:vAlign w:val="center"/>
          </w:tcPr>
          <w:p w14:paraId="1B3E4126">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制造年份</w:t>
            </w:r>
          </w:p>
        </w:tc>
        <w:tc>
          <w:tcPr>
            <w:tcW w:w="1693" w:type="dxa"/>
            <w:noWrap w:val="0"/>
            <w:vAlign w:val="center"/>
          </w:tcPr>
          <w:p w14:paraId="5814E9B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用途</w:t>
            </w:r>
          </w:p>
        </w:tc>
        <w:tc>
          <w:tcPr>
            <w:tcW w:w="697" w:type="dxa"/>
            <w:noWrap w:val="0"/>
            <w:vAlign w:val="center"/>
          </w:tcPr>
          <w:p w14:paraId="409A0EC8">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4926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74933B6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16F449B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66BE386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758C3B7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6F9EFB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7876632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574CDBB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2BA4F32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4C5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9CE988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7609C2A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66069D8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08B8A4B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46AC41E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0701B14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682EC39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71B6B7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522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4D8FE0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5D6C03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72766F5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D7606C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A99946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93ADC1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2305E1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6B40D9A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0A3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8B0D26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DA2544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95667A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B473C0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5AB950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182877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C3C986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270922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CB9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64EE1A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0CE9B83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01EE2CA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908331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26E6D6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65C974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4C3AF5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61113E7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6F86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6C4703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196E92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726AF37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724170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198509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E77726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7A75114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600BA53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623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B7F148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6B2C81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C6FA68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AAB453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508024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F5EEF6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B04159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9ABA98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2C82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0227B5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8C652E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A40CD5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E7077F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809D9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7ABEC7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B443CB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E160B6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009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A3FB29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AE2C0E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34452C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D5033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D8AED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1B4ED4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65B513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799C57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E12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4E525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44BD3A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3BD788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28283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214A66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5A516E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7BA078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95345D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4CD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CC053E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26D35A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2104C35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A13E5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5C6965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C5CE30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5CF081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1E1CD37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012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FCB365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7351EB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6EBA46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65AEA5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77C49D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9DD992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AB0D89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573BE9C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191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5B357F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006EC4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289FBD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F37CDD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E4F8F1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D443EF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0F3F4BD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D93792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816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07DE49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BB0E25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7498CE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81E516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7187A4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8ACB85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3A9EA0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49A98C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ECC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4C20A7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1114DE6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D92953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18DEA1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BC99E2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39591E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39D838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F830A6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A78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DBAC25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59D373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929AE2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08476E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4CB423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74F0E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750A25C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6B9D283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bl>
    <w:p w14:paraId="2E8AA4E9">
      <w:pPr>
        <w:pStyle w:val="17"/>
        <w:pageBreakBefore w:val="0"/>
        <w:kinsoku/>
        <w:wordWrap w:val="0"/>
        <w:bidi w:val="0"/>
        <w:spacing w:after="0" w:line="400" w:lineRule="atLeast"/>
        <w:ind w:left="735" w:leftChars="0"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5CD1C260">
      <w:pPr>
        <w:keepNext/>
        <w:keepLines w:val="0"/>
        <w:pageBreakBefore w:val="0"/>
        <w:widowControl w:val="0"/>
        <w:kinsoku/>
        <w:wordWrap/>
        <w:overflowPunct/>
        <w:topLinePunct/>
        <w:autoSpaceDE/>
        <w:autoSpaceDN/>
        <w:bidi w:val="0"/>
        <w:adjustRightInd w:val="0"/>
        <w:snapToGrid/>
        <w:spacing w:line="440" w:lineRule="exact"/>
        <w:jc w:val="center"/>
        <w:textAlignment w:val="baseline"/>
        <w:outlineLvl w:val="1"/>
        <w:rPr>
          <w:rFonts w:hint="default" w:ascii="Times New Roman" w:hAnsi="Times New Roman" w:eastAsia="黑体" w:cs="Times New Roman"/>
          <w:color w:val="auto"/>
          <w:kern w:val="0"/>
          <w:sz w:val="28"/>
          <w:szCs w:val="20"/>
          <w:highlight w:val="none"/>
        </w:rPr>
      </w:pPr>
      <w:r>
        <w:rPr>
          <w:rFonts w:hint="default" w:ascii="Times New Roman" w:hAnsi="Times New Roman" w:cs="Times New Roman"/>
          <w:color w:val="auto"/>
          <w:sz w:val="24"/>
          <w:highlight w:val="none"/>
        </w:rPr>
        <w:br w:type="page"/>
      </w:r>
      <w:bookmarkStart w:id="2008" w:name="_Toc8012"/>
      <w:bookmarkStart w:id="2009" w:name="_Toc15816"/>
      <w:bookmarkStart w:id="2010" w:name="_Toc5710"/>
      <w:bookmarkStart w:id="2011" w:name="_Toc13139"/>
      <w:bookmarkStart w:id="2012" w:name="_Toc234833291"/>
      <w:r>
        <w:rPr>
          <w:rFonts w:hint="eastAsia" w:eastAsia="黑体" w:cs="Times New Roman"/>
          <w:color w:val="auto"/>
          <w:sz w:val="28"/>
          <w:szCs w:val="28"/>
          <w:highlight w:val="none"/>
          <w:lang w:val="en-US" w:eastAsia="zh-CN"/>
        </w:rPr>
        <w:t>九</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color w:val="auto"/>
          <w:kern w:val="0"/>
          <w:sz w:val="28"/>
          <w:szCs w:val="20"/>
          <w:highlight w:val="none"/>
        </w:rPr>
        <w:t>投标人告知承诺函</w:t>
      </w:r>
      <w:bookmarkEnd w:id="2008"/>
      <w:bookmarkEnd w:id="2009"/>
      <w:bookmarkEnd w:id="2010"/>
      <w:bookmarkEnd w:id="2011"/>
      <w:r>
        <w:rPr>
          <w:rFonts w:hint="default" w:ascii="Times New Roman" w:hAnsi="Times New Roman" w:eastAsia="宋体" w:cs="Times New Roman"/>
          <w:color w:val="auto"/>
          <w:kern w:val="0"/>
          <w:sz w:val="24"/>
          <w:highlight w:val="none"/>
          <w:u w:val="single"/>
          <w:vertAlign w:val="superscript"/>
          <w:lang w:val="zh-CN" w:bidi="zh-CN"/>
        </w:rPr>
        <w:footnoteReference w:id="57"/>
      </w:r>
    </w:p>
    <w:p w14:paraId="247E0F49">
      <w:pPr>
        <w:spacing w:line="380" w:lineRule="exact"/>
        <w:rPr>
          <w:rFonts w:hint="default" w:ascii="Times New Roman" w:hAnsi="Times New Roman" w:cs="Times New Roman"/>
          <w:color w:val="auto"/>
          <w:sz w:val="24"/>
          <w:highlight w:val="none"/>
          <w:u w:val="single"/>
        </w:rPr>
      </w:pPr>
    </w:p>
    <w:p w14:paraId="5042BF46">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（监管部门名称）：</w:t>
      </w:r>
    </w:p>
    <w:p w14:paraId="528BCCDC">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我单位参与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u w:val="none"/>
          <w:lang w:val="en-US" w:eastAsia="zh-CN"/>
        </w:rPr>
        <w:t>施工</w:t>
      </w:r>
      <w:r>
        <w:rPr>
          <w:rFonts w:hint="default" w:ascii="Times New Roman" w:hAnsi="Times New Roman" w:cs="Times New Roman"/>
          <w:color w:val="auto"/>
          <w:sz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1E6AF23B">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一、我单位和我本人遵循公开、公平、公正、诚实守信的原则，依法依规参与本项目投标。</w:t>
      </w:r>
    </w:p>
    <w:p w14:paraId="3EF9DB42">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二、我单位具有参与本次投标的资质和能力，公司运营状况良好，不存在挂靠投标、不受让、租借、出租、出借资格或资质证书，无处罚期内的不良行为。</w:t>
      </w:r>
    </w:p>
    <w:p w14:paraId="489DBC48">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三、我单位在本项目投标过程中从招标公告列明的渠道获取招标文件，没有通过其他不正当渠道获取招标文件。</w:t>
      </w:r>
    </w:p>
    <w:p w14:paraId="158ACB1F">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四、我单位承诺投标文件由本单位员工独立编制，严格遵守保密义务。所提供的一切投标相关材料都是真实、有效、合法的。</w:t>
      </w:r>
    </w:p>
    <w:p w14:paraId="377DAC8B">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五、我单位不与其他投标人相互串通投标报价，不恶意压低或抬高投标报价，不排挤其他投标人的公平竞争，不损害招标人或其他投标人的合法权益。</w:t>
      </w:r>
    </w:p>
    <w:p w14:paraId="1B2F70BA">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六、我单位不与招标人或招标代理机构串通投标，损害国家利益、社会公共利益或者他人的合法权益。</w:t>
      </w:r>
    </w:p>
    <w:p w14:paraId="6AAA5E7E">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七、我单位不向招标人或者评标委员会成员行贿以牟取中标，不在开标后进行虚假恶意投诉。</w:t>
      </w:r>
    </w:p>
    <w:p w14:paraId="4F9CE41E">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八、我单位和我个人清楚并知晓《中华人民共和国刑法》第二百二十三条</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的规定。</w:t>
      </w:r>
    </w:p>
    <w:p w14:paraId="77A2A080">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九、我单位如在本项目招标投标活动评标工作中存在串通投标、弄虚作假等行为的，本单位及本人自愿承担法律责任，接受相应刑事、纪律和行政处罚以及失信惩戒。</w:t>
      </w:r>
    </w:p>
    <w:p w14:paraId="73EF53E3">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十、本承诺函由我单位盖章及法定代表人（授权委托人）本人</w:t>
      </w:r>
      <w:r>
        <w:rPr>
          <w:rFonts w:hint="eastAsia" w:cs="Times New Roman"/>
          <w:color w:val="auto"/>
          <w:sz w:val="24"/>
          <w:highlight w:val="none"/>
          <w:lang w:val="en-US" w:eastAsia="zh-CN"/>
        </w:rPr>
        <w:t>电子</w:t>
      </w:r>
      <w:r>
        <w:rPr>
          <w:rFonts w:hint="default" w:ascii="Times New Roman" w:hAnsi="Times New Roman" w:cs="Times New Roman"/>
          <w:color w:val="auto"/>
          <w:sz w:val="24"/>
          <w:highlight w:val="none"/>
        </w:rPr>
        <w:t>确认。</w:t>
      </w:r>
    </w:p>
    <w:p w14:paraId="5D45B077">
      <w:pPr>
        <w:spacing w:line="380" w:lineRule="exact"/>
        <w:ind w:firstLine="480" w:firstLineChars="200"/>
        <w:rPr>
          <w:rFonts w:hint="default" w:ascii="Times New Roman" w:hAnsi="Times New Roman" w:cs="Times New Roman"/>
          <w:color w:val="auto"/>
          <w:sz w:val="24"/>
          <w:highlight w:val="none"/>
        </w:rPr>
      </w:pPr>
    </w:p>
    <w:p w14:paraId="7FDD65BF">
      <w:pPr>
        <w:widowControl/>
        <w:spacing w:line="380" w:lineRule="exact"/>
        <w:jc w:val="right"/>
        <w:rPr>
          <w:rFonts w:hint="default" w:ascii="Times New Roman" w:hAnsi="Times New Roman" w:cs="Times New Roman"/>
          <w:color w:val="auto"/>
          <w:kern w:val="0"/>
          <w:sz w:val="24"/>
          <w:highlight w:val="none"/>
          <w:u w:val="single"/>
          <w:lang w:val="zh-CN" w:bidi="zh-CN"/>
        </w:rPr>
      </w:pPr>
      <w:r>
        <w:rPr>
          <w:rFonts w:hint="default" w:ascii="Times New Roman" w:hAnsi="Times New Roman" w:cs="Times New Roman"/>
          <w:color w:val="auto"/>
          <w:kern w:val="0"/>
          <w:sz w:val="24"/>
          <w:highlight w:val="none"/>
          <w:lang w:val="zh-CN" w:bidi="zh-CN"/>
        </w:rPr>
        <w:t>投标人：</w:t>
      </w:r>
      <w:r>
        <w:rPr>
          <w:rFonts w:hint="default" w:ascii="Times New Roman" w:hAnsi="Times New Roman" w:cs="Times New Roman"/>
          <w:color w:val="auto"/>
          <w:kern w:val="0"/>
          <w:sz w:val="24"/>
          <w:highlight w:val="none"/>
          <w:u w:val="single"/>
          <w:lang w:val="zh-CN" w:bidi="zh-CN"/>
        </w:rPr>
        <w:t>投标人全称（加盖单位</w:t>
      </w:r>
      <w:r>
        <w:rPr>
          <w:rFonts w:hint="default" w:ascii="Times New Roman" w:hAnsi="Times New Roman" w:cs="Times New Roman"/>
          <w:color w:val="auto"/>
          <w:kern w:val="0"/>
          <w:sz w:val="24"/>
          <w:highlight w:val="none"/>
          <w:u w:val="single"/>
          <w:lang w:val="en-US" w:bidi="zh-CN"/>
        </w:rPr>
        <w:t>电子印</w:t>
      </w:r>
      <w:r>
        <w:rPr>
          <w:rFonts w:hint="default" w:ascii="Times New Roman" w:hAnsi="Times New Roman" w:cs="Times New Roman"/>
          <w:color w:val="auto"/>
          <w:kern w:val="0"/>
          <w:sz w:val="24"/>
          <w:highlight w:val="none"/>
          <w:u w:val="single"/>
          <w:lang w:val="zh-CN" w:bidi="zh-CN"/>
        </w:rPr>
        <w:t>章）</w:t>
      </w:r>
    </w:p>
    <w:p w14:paraId="717382CE">
      <w:pPr>
        <w:keepNext w:val="0"/>
        <w:keepLines w:val="0"/>
        <w:pageBreakBefore w:val="0"/>
        <w:widowControl/>
        <w:kinsoku/>
        <w:wordWrap w:val="0"/>
        <w:overflowPunct/>
        <w:topLinePunct w:val="0"/>
        <w:autoSpaceDE/>
        <w:autoSpaceDN/>
        <w:bidi w:val="0"/>
        <w:adjustRightInd/>
        <w:snapToGrid/>
        <w:spacing w:line="380" w:lineRule="exact"/>
        <w:jc w:val="right"/>
        <w:textAlignment w:val="auto"/>
        <w:outlineLvl w:val="9"/>
        <w:rPr>
          <w:rFonts w:hint="default" w:ascii="Times New Roman" w:hAnsi="Times New Roman" w:cs="Times New Roman"/>
          <w:color w:val="auto"/>
          <w:kern w:val="0"/>
          <w:sz w:val="24"/>
          <w:highlight w:val="none"/>
          <w:lang w:val="zh-CN" w:bidi="zh-CN"/>
        </w:rPr>
      </w:pPr>
      <w:r>
        <w:rPr>
          <w:rFonts w:hint="default" w:ascii="Times New Roman" w:hAnsi="Times New Roman" w:cs="Times New Roman"/>
          <w:color w:val="auto"/>
          <w:kern w:val="0"/>
          <w:sz w:val="24"/>
          <w:highlight w:val="none"/>
          <w:lang w:val="zh-CN" w:bidi="zh-CN"/>
        </w:rPr>
        <w:t>法定代表人（或授权委托人）：</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r>
        <w:rPr>
          <w:rFonts w:hint="default" w:ascii="Times New Roman" w:hAnsi="Times New Roman" w:cs="Times New Roman"/>
          <w:color w:val="auto"/>
          <w:kern w:val="0"/>
          <w:sz w:val="24"/>
          <w:highlight w:val="none"/>
          <w:lang w:val="zh-CN" w:bidi="zh-CN"/>
        </w:rPr>
        <w:t>）</w:t>
      </w:r>
    </w:p>
    <w:p w14:paraId="2A8479B1">
      <w:pPr>
        <w:widowControl/>
        <w:wordWrap w:val="0"/>
        <w:spacing w:line="380" w:lineRule="exact"/>
        <w:jc w:val="right"/>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kern w:val="0"/>
          <w:sz w:val="24"/>
          <w:highlight w:val="none"/>
          <w:lang w:val="zh-CN" w:bidi="zh-CN"/>
        </w:rPr>
        <w:t>承诺日期：</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年</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月</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日</w:t>
      </w:r>
    </w:p>
    <w:p w14:paraId="2CB15B56">
      <w:pPr>
        <w:pStyle w:val="2"/>
        <w:pageBreakBefore w:val="0"/>
        <w:kinsoku/>
        <w:wordWrap w:val="0"/>
        <w:overflowPunct/>
        <w:bidi w:val="0"/>
        <w:spacing w:before="0" w:after="0" w:line="380" w:lineRule="atLeast"/>
        <w:jc w:val="center"/>
        <w:outlineLvl w:val="9"/>
        <w:rPr>
          <w:rFonts w:hint="default" w:ascii="Times New Roman" w:hAnsi="Times New Roman" w:cs="Times New Roman"/>
          <w:b w:val="0"/>
          <w:color w:val="auto"/>
          <w:sz w:val="28"/>
          <w:szCs w:val="28"/>
          <w:highlight w:val="none"/>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6641EBCB">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lang w:eastAsia="zh-CN"/>
        </w:rPr>
      </w:pPr>
      <w:bookmarkStart w:id="2013" w:name="_Toc29420"/>
      <w:bookmarkStart w:id="2014" w:name="_Toc3120"/>
      <w:bookmarkStart w:id="2015" w:name="_Toc18802"/>
      <w:r>
        <w:rPr>
          <w:rFonts w:hint="eastAsia" w:cs="Times New Roman"/>
          <w:color w:val="auto"/>
          <w:sz w:val="28"/>
          <w:szCs w:val="28"/>
          <w:highlight w:val="none"/>
          <w:lang w:val="en-US" w:eastAsia="zh-CN"/>
        </w:rPr>
        <w:t>十</w:t>
      </w:r>
      <w:r>
        <w:rPr>
          <w:rFonts w:hint="default" w:ascii="Times New Roman" w:hAnsi="Times New Roman" w:eastAsia="黑体" w:cs="Times New Roman"/>
          <w:b w:val="0"/>
          <w:color w:val="auto"/>
          <w:sz w:val="28"/>
          <w:szCs w:val="28"/>
          <w:highlight w:val="none"/>
        </w:rPr>
        <w:t>、其他</w:t>
      </w:r>
      <w:bookmarkEnd w:id="2012"/>
      <w:r>
        <w:rPr>
          <w:rFonts w:hint="default" w:ascii="Times New Roman" w:hAnsi="Times New Roman" w:eastAsia="黑体" w:cs="Times New Roman"/>
          <w:b w:val="0"/>
          <w:color w:val="auto"/>
          <w:sz w:val="28"/>
          <w:szCs w:val="28"/>
          <w:highlight w:val="none"/>
          <w:lang w:eastAsia="zh-CN"/>
        </w:rPr>
        <w:t>资料</w:t>
      </w:r>
      <w:bookmarkEnd w:id="2013"/>
      <w:bookmarkEnd w:id="2014"/>
      <w:bookmarkEnd w:id="2015"/>
    </w:p>
    <w:p w14:paraId="6727E08F">
      <w:pPr>
        <w:rPr>
          <w:rFonts w:hint="default" w:ascii="Times New Roman" w:hAnsi="Times New Roman" w:eastAsia="黑体" w:cs="Times New Roman"/>
          <w:b w:val="0"/>
          <w:color w:val="auto"/>
          <w:sz w:val="28"/>
          <w:szCs w:val="28"/>
          <w:highlight w:val="none"/>
          <w:lang w:eastAsia="zh-CN"/>
        </w:rPr>
      </w:pPr>
      <w:r>
        <w:rPr>
          <w:rFonts w:hint="default" w:ascii="Times New Roman" w:hAnsi="Times New Roman" w:eastAsia="黑体" w:cs="Times New Roman"/>
          <w:b w:val="0"/>
          <w:color w:val="auto"/>
          <w:sz w:val="28"/>
          <w:szCs w:val="28"/>
          <w:highlight w:val="none"/>
          <w:lang w:eastAsia="zh-CN"/>
        </w:rPr>
        <w:br w:type="page"/>
      </w:r>
    </w:p>
    <w:p w14:paraId="5E3D3488">
      <w:pPr>
        <w:keepNext/>
        <w:keepLines/>
        <w:spacing w:before="80" w:after="64"/>
        <w:ind w:firstLine="566"/>
        <w:jc w:val="center"/>
        <w:rPr>
          <w:rFonts w:eastAsia="黑体"/>
          <w:bCs/>
          <w:kern w:val="0"/>
          <w:sz w:val="28"/>
          <w:szCs w:val="28"/>
          <w:lang w:val="zh-CN" w:bidi="zh-CN"/>
        </w:rPr>
      </w:pPr>
      <w:r>
        <w:rPr>
          <w:rFonts w:hint="eastAsia" w:eastAsia="黑体"/>
          <w:bCs/>
          <w:kern w:val="0"/>
          <w:sz w:val="28"/>
          <w:szCs w:val="28"/>
          <w:lang w:val="zh-CN" w:bidi="zh-CN"/>
        </w:rPr>
        <w:t>（</w:t>
      </w:r>
      <w:r>
        <w:rPr>
          <w:rFonts w:hint="eastAsia" w:eastAsia="黑体"/>
          <w:bCs/>
          <w:kern w:val="0"/>
          <w:sz w:val="28"/>
          <w:szCs w:val="28"/>
          <w:lang w:val="en-US" w:bidi="zh-CN"/>
        </w:rPr>
        <w:t>一</w:t>
      </w:r>
      <w:r>
        <w:rPr>
          <w:rFonts w:hint="eastAsia" w:eastAsia="黑体"/>
          <w:bCs/>
          <w:kern w:val="0"/>
          <w:sz w:val="28"/>
          <w:szCs w:val="28"/>
          <w:lang w:val="zh-CN" w:bidi="zh-CN"/>
        </w:rPr>
        <w:t>）</w:t>
      </w:r>
      <w:r>
        <w:rPr>
          <w:rFonts w:eastAsia="黑体"/>
          <w:bCs/>
          <w:kern w:val="0"/>
          <w:sz w:val="28"/>
          <w:szCs w:val="28"/>
          <w:lang w:val="zh-CN" w:bidi="zh-CN"/>
        </w:rPr>
        <w:t>无行贿犯罪行为承诺函（格式）</w:t>
      </w:r>
    </w:p>
    <w:p w14:paraId="5E6D2405">
      <w:pPr>
        <w:spacing w:line="360" w:lineRule="auto"/>
        <w:ind w:firstLine="480" w:firstLineChars="200"/>
        <w:rPr>
          <w:sz w:val="24"/>
          <w:szCs w:val="22"/>
        </w:rPr>
      </w:pPr>
    </w:p>
    <w:p w14:paraId="1C904BC1">
      <w:pPr>
        <w:spacing w:line="360" w:lineRule="auto"/>
        <w:rPr>
          <w:sz w:val="24"/>
          <w:szCs w:val="22"/>
        </w:rPr>
      </w:pPr>
      <w:r>
        <w:rPr>
          <w:sz w:val="24"/>
          <w:szCs w:val="22"/>
        </w:rPr>
        <w:t>致：</w:t>
      </w:r>
      <w:r>
        <w:rPr>
          <w:sz w:val="24"/>
          <w:szCs w:val="22"/>
          <w:u w:val="single"/>
        </w:rPr>
        <w:t xml:space="preserve">  （招标人全称）  </w:t>
      </w:r>
      <w:r>
        <w:rPr>
          <w:sz w:val="24"/>
          <w:szCs w:val="22"/>
        </w:rPr>
        <w:t>：</w:t>
      </w:r>
    </w:p>
    <w:p w14:paraId="0E390E9F">
      <w:pPr>
        <w:spacing w:line="360" w:lineRule="auto"/>
        <w:ind w:firstLine="480" w:firstLineChars="200"/>
        <w:rPr>
          <w:sz w:val="24"/>
          <w:szCs w:val="22"/>
        </w:rPr>
      </w:pPr>
      <w:r>
        <w:rPr>
          <w:sz w:val="24"/>
          <w:szCs w:val="22"/>
        </w:rPr>
        <w:t>我单位承诺：在近三年内（</w:t>
      </w:r>
      <w:r>
        <w:rPr>
          <w:sz w:val="24"/>
          <w:szCs w:val="22"/>
          <w:u w:val="single"/>
        </w:rPr>
        <w:t xml:space="preserve"> </w:t>
      </w:r>
      <w:r>
        <w:rPr>
          <w:rFonts w:hint="eastAsia"/>
          <w:sz w:val="24"/>
          <w:szCs w:val="22"/>
          <w:u w:val="single"/>
          <w:lang w:val="en-US" w:eastAsia="zh-CN"/>
        </w:rPr>
        <w:t>2023</w:t>
      </w:r>
      <w:r>
        <w:rPr>
          <w:sz w:val="24"/>
          <w:szCs w:val="22"/>
          <w:u w:val="single"/>
        </w:rPr>
        <w:t xml:space="preserve"> </w:t>
      </w:r>
      <w:r>
        <w:rPr>
          <w:sz w:val="24"/>
          <w:szCs w:val="22"/>
        </w:rPr>
        <w:t>年</w:t>
      </w:r>
      <w:r>
        <w:rPr>
          <w:sz w:val="24"/>
          <w:szCs w:val="22"/>
          <w:u w:val="single"/>
        </w:rPr>
        <w:t xml:space="preserve">  </w:t>
      </w:r>
      <w:r>
        <w:rPr>
          <w:rFonts w:hint="eastAsia"/>
          <w:sz w:val="24"/>
          <w:szCs w:val="22"/>
          <w:u w:val="single"/>
          <w:lang w:val="en-US" w:eastAsia="zh-CN"/>
        </w:rPr>
        <w:t>1</w:t>
      </w:r>
      <w:r>
        <w:rPr>
          <w:sz w:val="24"/>
          <w:szCs w:val="22"/>
          <w:u w:val="single"/>
        </w:rPr>
        <w:t xml:space="preserve"> </w:t>
      </w:r>
      <w:r>
        <w:rPr>
          <w:sz w:val="24"/>
          <w:szCs w:val="22"/>
        </w:rPr>
        <w:t>月</w:t>
      </w:r>
      <w:r>
        <w:rPr>
          <w:sz w:val="24"/>
          <w:szCs w:val="22"/>
          <w:u w:val="single"/>
        </w:rPr>
        <w:t xml:space="preserve">  </w:t>
      </w:r>
      <w:r>
        <w:rPr>
          <w:rFonts w:hint="eastAsia"/>
          <w:sz w:val="24"/>
          <w:szCs w:val="22"/>
          <w:u w:val="single"/>
          <w:lang w:val="en-US" w:eastAsia="zh-CN"/>
        </w:rPr>
        <w:t>1</w:t>
      </w:r>
      <w:r>
        <w:rPr>
          <w:sz w:val="24"/>
          <w:szCs w:val="22"/>
          <w:u w:val="single"/>
        </w:rPr>
        <w:t xml:space="preserve"> </w:t>
      </w:r>
      <w:r>
        <w:rPr>
          <w:sz w:val="24"/>
          <w:szCs w:val="22"/>
        </w:rPr>
        <w:t>日至投标文件递交截止日），</w:t>
      </w:r>
      <w:r>
        <w:rPr>
          <w:sz w:val="24"/>
          <w:szCs w:val="22"/>
          <w:u w:val="single"/>
        </w:rPr>
        <w:t xml:space="preserve">  （投标人单位名称及统一社会信用代码）  </w:t>
      </w:r>
      <w:r>
        <w:rPr>
          <w:sz w:val="24"/>
          <w:szCs w:val="22"/>
        </w:rPr>
        <w:t>及法定代表人</w:t>
      </w:r>
      <w:r>
        <w:rPr>
          <w:sz w:val="24"/>
          <w:szCs w:val="22"/>
          <w:u w:val="single"/>
        </w:rPr>
        <w:t xml:space="preserve">  （法定代表人姓名及身份证号码）  </w:t>
      </w:r>
      <w:r>
        <w:rPr>
          <w:sz w:val="24"/>
          <w:szCs w:val="22"/>
        </w:rPr>
        <w:t>、拟委任的项目经理</w:t>
      </w:r>
      <w:r>
        <w:rPr>
          <w:sz w:val="24"/>
          <w:szCs w:val="22"/>
          <w:u w:val="single"/>
        </w:rPr>
        <w:t xml:space="preserve">   （项目经理姓名及身份证号码）   </w:t>
      </w:r>
      <w:r>
        <w:rPr>
          <w:sz w:val="24"/>
          <w:szCs w:val="22"/>
        </w:rPr>
        <w:t>均无行贿犯罪行为。</w:t>
      </w:r>
    </w:p>
    <w:p w14:paraId="13F160C7">
      <w:pPr>
        <w:spacing w:line="360" w:lineRule="auto"/>
        <w:ind w:firstLine="480" w:firstLineChars="200"/>
        <w:rPr>
          <w:sz w:val="24"/>
          <w:szCs w:val="22"/>
        </w:rPr>
      </w:pPr>
      <w:r>
        <w:rPr>
          <w:sz w:val="24"/>
          <w:szCs w:val="22"/>
        </w:rPr>
        <w:t>如经招标人或评标委员会核实我单位出具的该承诺存在弄虚作假，承诺不实的情形，评标小组有权否决我单位投标资格或招标人取消我单位中标资格，并由招标人上报上级行政主管部门，作为不良记录纳入信用信息管理系统。</w:t>
      </w:r>
    </w:p>
    <w:p w14:paraId="7C326312">
      <w:pPr>
        <w:spacing w:line="360" w:lineRule="auto"/>
        <w:ind w:firstLine="480" w:firstLineChars="200"/>
        <w:rPr>
          <w:sz w:val="24"/>
          <w:szCs w:val="22"/>
        </w:rPr>
      </w:pPr>
      <w:r>
        <w:rPr>
          <w:sz w:val="24"/>
          <w:szCs w:val="22"/>
        </w:rPr>
        <w:t>特此承诺！</w:t>
      </w:r>
    </w:p>
    <w:p w14:paraId="78CC6A79">
      <w:pPr>
        <w:spacing w:line="360" w:lineRule="auto"/>
        <w:ind w:firstLine="480" w:firstLineChars="200"/>
        <w:rPr>
          <w:sz w:val="24"/>
          <w:szCs w:val="22"/>
        </w:rPr>
      </w:pPr>
    </w:p>
    <w:p w14:paraId="2474B8D6">
      <w:pPr>
        <w:spacing w:line="360" w:lineRule="auto"/>
        <w:ind w:firstLine="480" w:firstLineChars="200"/>
        <w:rPr>
          <w:sz w:val="24"/>
          <w:szCs w:val="22"/>
        </w:rPr>
      </w:pPr>
    </w:p>
    <w:p w14:paraId="339C1805">
      <w:pPr>
        <w:spacing w:line="360" w:lineRule="auto"/>
        <w:ind w:left="2520" w:leftChars="1200" w:firstLine="1920" w:firstLineChars="800"/>
        <w:rPr>
          <w:sz w:val="24"/>
          <w:szCs w:val="22"/>
        </w:rPr>
      </w:pPr>
    </w:p>
    <w:p w14:paraId="27F10484">
      <w:pPr>
        <w:wordWrap w:val="0"/>
        <w:topLinePunct/>
        <w:spacing w:line="440" w:lineRule="exact"/>
        <w:rPr>
          <w:sz w:val="24"/>
        </w:rPr>
      </w:pPr>
      <w:r>
        <w:rPr>
          <w:sz w:val="24"/>
          <w:szCs w:val="22"/>
        </w:rPr>
        <w:t xml:space="preserve">                       </w:t>
      </w:r>
      <w:r>
        <w:rPr>
          <w:sz w:val="24"/>
        </w:rPr>
        <w:t xml:space="preserve">   投标人：</w:t>
      </w:r>
      <w:r>
        <w:rPr>
          <w:sz w:val="24"/>
          <w:u w:val="single"/>
        </w:rPr>
        <w:t xml:space="preserve">              </w:t>
      </w:r>
      <w:r>
        <w:rPr>
          <w:sz w:val="24"/>
        </w:rPr>
        <w:t>（全称）（盖单位电子印章）</w:t>
      </w:r>
    </w:p>
    <w:p w14:paraId="34C7546D">
      <w:pPr>
        <w:spacing w:line="360" w:lineRule="auto"/>
        <w:ind w:left="2520" w:leftChars="1200" w:firstLine="1920" w:firstLineChars="800"/>
        <w:rPr>
          <w:sz w:val="24"/>
        </w:rPr>
      </w:pPr>
    </w:p>
    <w:p w14:paraId="3ED02849">
      <w:pPr>
        <w:spacing w:line="360" w:lineRule="auto"/>
        <w:ind w:left="2520" w:leftChars="1200" w:firstLine="1920" w:firstLineChars="800"/>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2A24ADEF">
      <w:pPr>
        <w:rPr>
          <w:sz w:val="24"/>
        </w:rPr>
      </w:pPr>
      <w:r>
        <w:rPr>
          <w:sz w:val="24"/>
        </w:rPr>
        <w:br w:type="page"/>
      </w:r>
    </w:p>
    <w:p w14:paraId="7A1C9CF6">
      <w:pPr>
        <w:keepNext/>
        <w:keepLines/>
        <w:spacing w:before="80" w:after="64"/>
        <w:ind w:firstLine="566"/>
        <w:jc w:val="center"/>
        <w:rPr>
          <w:rFonts w:eastAsia="黑体"/>
          <w:bCs/>
          <w:kern w:val="0"/>
          <w:sz w:val="28"/>
          <w:szCs w:val="28"/>
          <w:lang w:val="zh-CN" w:bidi="zh-CN"/>
        </w:rPr>
      </w:pPr>
      <w:r>
        <w:rPr>
          <w:rFonts w:hint="eastAsia" w:eastAsia="黑体"/>
          <w:bCs/>
          <w:kern w:val="0"/>
          <w:sz w:val="28"/>
          <w:szCs w:val="28"/>
          <w:lang w:bidi="zh-CN"/>
        </w:rPr>
        <w:t>（</w:t>
      </w:r>
      <w:r>
        <w:rPr>
          <w:rFonts w:hint="eastAsia" w:eastAsia="黑体"/>
          <w:bCs/>
          <w:kern w:val="0"/>
          <w:sz w:val="28"/>
          <w:szCs w:val="28"/>
          <w:lang w:val="en-US" w:bidi="zh-CN"/>
        </w:rPr>
        <w:t>二</w:t>
      </w:r>
      <w:r>
        <w:rPr>
          <w:rFonts w:hint="eastAsia" w:eastAsia="黑体"/>
          <w:bCs/>
          <w:kern w:val="0"/>
          <w:sz w:val="28"/>
          <w:szCs w:val="28"/>
          <w:lang w:bidi="zh-CN"/>
        </w:rPr>
        <w:t>）财产未被接管或冻结承诺函</w:t>
      </w:r>
      <w:r>
        <w:rPr>
          <w:rFonts w:eastAsia="黑体"/>
          <w:bCs/>
          <w:kern w:val="0"/>
          <w:sz w:val="28"/>
          <w:szCs w:val="28"/>
          <w:lang w:val="zh-CN" w:bidi="zh-CN"/>
        </w:rPr>
        <w:t>（格式）</w:t>
      </w:r>
    </w:p>
    <w:p w14:paraId="677EDC9F">
      <w:pPr>
        <w:spacing w:line="360" w:lineRule="auto"/>
        <w:ind w:firstLine="480" w:firstLineChars="200"/>
        <w:rPr>
          <w:sz w:val="24"/>
          <w:szCs w:val="22"/>
        </w:rPr>
      </w:pPr>
    </w:p>
    <w:p w14:paraId="4631736F">
      <w:pPr>
        <w:spacing w:line="360" w:lineRule="auto"/>
        <w:rPr>
          <w:sz w:val="24"/>
          <w:szCs w:val="22"/>
        </w:rPr>
      </w:pPr>
      <w:r>
        <w:rPr>
          <w:sz w:val="24"/>
          <w:szCs w:val="22"/>
        </w:rPr>
        <w:t>致：</w:t>
      </w:r>
      <w:r>
        <w:rPr>
          <w:sz w:val="24"/>
          <w:szCs w:val="22"/>
          <w:u w:val="single"/>
        </w:rPr>
        <w:t xml:space="preserve">  （招标人全称）  </w:t>
      </w:r>
      <w:r>
        <w:rPr>
          <w:sz w:val="24"/>
          <w:szCs w:val="22"/>
        </w:rPr>
        <w:t>：</w:t>
      </w:r>
    </w:p>
    <w:p w14:paraId="592AA429">
      <w:pPr>
        <w:spacing w:line="360" w:lineRule="auto"/>
        <w:ind w:firstLine="480" w:firstLineChars="200"/>
        <w:rPr>
          <w:sz w:val="24"/>
          <w:szCs w:val="22"/>
        </w:rPr>
      </w:pPr>
      <w:r>
        <w:rPr>
          <w:sz w:val="24"/>
          <w:szCs w:val="22"/>
        </w:rPr>
        <w:t>我</w:t>
      </w:r>
      <w:r>
        <w:rPr>
          <w:sz w:val="24"/>
          <w:szCs w:val="22"/>
          <w:u w:val="single"/>
        </w:rPr>
        <w:t>（</w:t>
      </w:r>
      <w:r>
        <w:rPr>
          <w:rFonts w:hint="eastAsia"/>
          <w:sz w:val="24"/>
          <w:szCs w:val="22"/>
          <w:u w:val="single"/>
        </w:rPr>
        <w:t>投标人名称</w:t>
      </w:r>
      <w:r>
        <w:rPr>
          <w:sz w:val="24"/>
          <w:szCs w:val="22"/>
          <w:u w:val="single"/>
        </w:rPr>
        <w:t>）</w:t>
      </w:r>
      <w:r>
        <w:rPr>
          <w:rFonts w:hint="eastAsia"/>
          <w:sz w:val="24"/>
          <w:szCs w:val="22"/>
          <w:u w:val="single"/>
        </w:rPr>
        <w:t xml:space="preserve">   </w:t>
      </w:r>
      <w:r>
        <w:rPr>
          <w:sz w:val="24"/>
          <w:szCs w:val="22"/>
          <w:u w:val="single"/>
        </w:rPr>
        <w:t xml:space="preserve"> </w:t>
      </w:r>
      <w:r>
        <w:rPr>
          <w:rFonts w:hint="eastAsia"/>
          <w:sz w:val="24"/>
          <w:szCs w:val="22"/>
          <w:u w:val="single"/>
        </w:rPr>
        <w:t>，</w:t>
      </w:r>
      <w:r>
        <w:rPr>
          <w:rFonts w:hint="eastAsia"/>
          <w:sz w:val="24"/>
          <w:szCs w:val="22"/>
        </w:rPr>
        <w:t>现参与</w:t>
      </w:r>
      <w:r>
        <w:rPr>
          <w:rFonts w:hint="eastAsia"/>
          <w:sz w:val="24"/>
          <w:szCs w:val="22"/>
          <w:u w:val="single"/>
        </w:rPr>
        <w:t xml:space="preserve">    （项目名称）     </w:t>
      </w:r>
      <w:r>
        <w:rPr>
          <w:rFonts w:hint="eastAsia"/>
          <w:sz w:val="24"/>
          <w:szCs w:val="22"/>
        </w:rPr>
        <w:t>投标，至开标截止日前在此承诺本公司财产未被接管或冻结，如有隐瞒，愿接受招标人和有关部门的任何处罚。</w:t>
      </w:r>
    </w:p>
    <w:p w14:paraId="684F7AA2">
      <w:pPr>
        <w:spacing w:line="360" w:lineRule="auto"/>
        <w:ind w:firstLine="480" w:firstLineChars="200"/>
        <w:rPr>
          <w:sz w:val="24"/>
          <w:szCs w:val="22"/>
        </w:rPr>
      </w:pPr>
    </w:p>
    <w:p w14:paraId="28E5660D">
      <w:pPr>
        <w:spacing w:line="360" w:lineRule="auto"/>
        <w:ind w:firstLine="480" w:firstLineChars="200"/>
        <w:rPr>
          <w:sz w:val="24"/>
          <w:szCs w:val="22"/>
        </w:rPr>
      </w:pPr>
      <w:r>
        <w:rPr>
          <w:sz w:val="24"/>
          <w:szCs w:val="22"/>
        </w:rPr>
        <w:t>特此承诺！</w:t>
      </w:r>
    </w:p>
    <w:p w14:paraId="16A9B0DE">
      <w:pPr>
        <w:spacing w:line="360" w:lineRule="auto"/>
        <w:ind w:firstLine="480" w:firstLineChars="200"/>
        <w:rPr>
          <w:sz w:val="24"/>
          <w:szCs w:val="22"/>
        </w:rPr>
      </w:pPr>
    </w:p>
    <w:p w14:paraId="2A4B2E82">
      <w:pPr>
        <w:spacing w:line="360" w:lineRule="auto"/>
        <w:ind w:firstLine="480" w:firstLineChars="200"/>
        <w:rPr>
          <w:sz w:val="24"/>
          <w:szCs w:val="22"/>
        </w:rPr>
      </w:pPr>
    </w:p>
    <w:p w14:paraId="77D8B10E">
      <w:pPr>
        <w:spacing w:line="360" w:lineRule="auto"/>
        <w:ind w:left="2520" w:leftChars="1200" w:firstLine="1920" w:firstLineChars="800"/>
        <w:rPr>
          <w:sz w:val="24"/>
          <w:szCs w:val="22"/>
        </w:rPr>
      </w:pPr>
    </w:p>
    <w:p w14:paraId="56463DE3">
      <w:pPr>
        <w:wordWrap w:val="0"/>
        <w:topLinePunct/>
        <w:spacing w:line="440" w:lineRule="exact"/>
        <w:rPr>
          <w:sz w:val="24"/>
        </w:rPr>
      </w:pPr>
      <w:r>
        <w:rPr>
          <w:sz w:val="24"/>
          <w:szCs w:val="22"/>
        </w:rPr>
        <w:t xml:space="preserve">                       </w:t>
      </w:r>
      <w:r>
        <w:rPr>
          <w:sz w:val="24"/>
        </w:rPr>
        <w:t xml:space="preserve">   投标人：</w:t>
      </w:r>
      <w:r>
        <w:rPr>
          <w:sz w:val="24"/>
          <w:u w:val="single"/>
        </w:rPr>
        <w:t xml:space="preserve">              </w:t>
      </w:r>
      <w:r>
        <w:rPr>
          <w:sz w:val="24"/>
        </w:rPr>
        <w:t>（全称）（盖单位章）</w:t>
      </w:r>
    </w:p>
    <w:p w14:paraId="401D39B3">
      <w:pPr>
        <w:pStyle w:val="27"/>
      </w:pPr>
      <w:r>
        <w:rPr>
          <w:rFonts w:hint="eastAsia"/>
        </w:rPr>
        <w:t xml:space="preserve">        </w:t>
      </w:r>
    </w:p>
    <w:p w14:paraId="37CF8103">
      <w:pPr>
        <w:pStyle w:val="27"/>
      </w:pPr>
      <w:r>
        <w:rPr>
          <w:rFonts w:hint="eastAsia"/>
        </w:rPr>
        <w:t xml:space="preserve">                    </w:t>
      </w:r>
      <w:r>
        <w:rPr>
          <w:rFonts w:hint="eastAsia"/>
          <w:b w:val="0"/>
          <w:bCs/>
        </w:rPr>
        <w:t xml:space="preserve">      法定代表人或其委托代理人</w:t>
      </w:r>
      <w:r>
        <w:rPr>
          <w:b w:val="0"/>
          <w:bCs/>
        </w:rPr>
        <w:t>：</w:t>
      </w:r>
      <w:r>
        <w:rPr>
          <w:b w:val="0"/>
          <w:bCs/>
          <w:u w:val="single"/>
        </w:rPr>
        <w:t xml:space="preserve">        </w:t>
      </w:r>
      <w:r>
        <w:rPr>
          <w:b w:val="0"/>
          <w:bCs/>
        </w:rPr>
        <w:t>（</w:t>
      </w:r>
      <w:r>
        <w:rPr>
          <w:rFonts w:hint="eastAsia"/>
          <w:b w:val="0"/>
          <w:bCs/>
        </w:rPr>
        <w:t>签字或盖章</w:t>
      </w:r>
      <w:r>
        <w:rPr>
          <w:b w:val="0"/>
          <w:bCs/>
        </w:rPr>
        <w:t>）</w:t>
      </w:r>
    </w:p>
    <w:p w14:paraId="62220EA3">
      <w:pPr>
        <w:spacing w:line="360" w:lineRule="auto"/>
        <w:ind w:left="2520" w:leftChars="1200" w:firstLine="1920" w:firstLineChars="800"/>
        <w:rPr>
          <w:sz w:val="24"/>
        </w:rPr>
      </w:pPr>
    </w:p>
    <w:p w14:paraId="5D17A749">
      <w:pPr>
        <w:spacing w:line="360" w:lineRule="auto"/>
        <w:ind w:left="2520" w:leftChars="1200" w:firstLine="1920" w:firstLineChars="800"/>
        <w:rPr>
          <w:sz w:val="24"/>
          <w:szCs w:val="22"/>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121DA65E">
      <w:pPr>
        <w:pStyle w:val="16"/>
        <w:rPr>
          <w:rFonts w:hint="eastAsia"/>
        </w:rPr>
      </w:pPr>
    </w:p>
    <w:p w14:paraId="4D6B4521">
      <w:pPr>
        <w:pStyle w:val="16"/>
        <w:rPr>
          <w:highlight w:val="none"/>
        </w:rPr>
      </w:pPr>
      <w:r>
        <w:rPr>
          <w:rFonts w:hint="eastAsia"/>
          <w:highlight w:val="none"/>
        </w:rPr>
        <w:t>注：承诺书后应附“招标公告发布后的银行基本账户任意一笔支出流水信息”的截图，如果银行账户被冻结，将否决投标。</w:t>
      </w:r>
    </w:p>
    <w:p w14:paraId="25B477FA">
      <w:pPr>
        <w:pStyle w:val="16"/>
        <w:sectPr>
          <w:footerReference r:id="rId46" w:type="default"/>
          <w:footnotePr>
            <w:numFmt w:val="decimalEnclosedCircleChinese"/>
            <w:numRestart w:val="eachPage"/>
          </w:footnotePr>
          <w:pgSz w:w="11906" w:h="16838"/>
          <w:pgMar w:top="1588" w:right="1644" w:bottom="1474" w:left="1701" w:header="851" w:footer="851" w:gutter="0"/>
          <w:cols w:space="425" w:num="1"/>
          <w:docGrid w:linePitch="312" w:charSpace="0"/>
        </w:sectPr>
      </w:pPr>
    </w:p>
    <w:p w14:paraId="3390BC36">
      <w:pPr>
        <w:pStyle w:val="2"/>
        <w:wordWrap w:val="0"/>
        <w:spacing w:before="0" w:after="0" w:line="380" w:lineRule="atLeast"/>
        <w:jc w:val="center"/>
        <w:rPr>
          <w:sz w:val="28"/>
          <w:szCs w:val="28"/>
        </w:rPr>
      </w:pPr>
      <w:r>
        <w:rPr>
          <w:rFonts w:hint="eastAsia"/>
          <w:sz w:val="28"/>
          <w:szCs w:val="28"/>
        </w:rPr>
        <w:t>（三）不拖欠农民工工资承诺书</w:t>
      </w:r>
    </w:p>
    <w:p w14:paraId="3A2E1F48">
      <w:pPr>
        <w:rPr>
          <w:rFonts w:asciiTheme="majorEastAsia" w:hAnsiTheme="majorEastAsia" w:eastAsiaTheme="majorEastAsia"/>
          <w:szCs w:val="21"/>
        </w:rPr>
      </w:pPr>
    </w:p>
    <w:p w14:paraId="272D985A">
      <w:pPr>
        <w:spacing w:line="360" w:lineRule="auto"/>
        <w:rPr>
          <w:rFonts w:asciiTheme="majorEastAsia" w:hAnsiTheme="majorEastAsia" w:eastAsiaTheme="majorEastAsia"/>
          <w:sz w:val="24"/>
        </w:rPr>
      </w:pPr>
      <w:r>
        <w:rPr>
          <w:rFonts w:hint="eastAsia" w:asciiTheme="majorEastAsia" w:hAnsiTheme="majorEastAsia" w:eastAsiaTheme="majorEastAsia"/>
          <w:sz w:val="24"/>
          <w:u w:val="single"/>
          <w:lang w:eastAsia="zh-CN"/>
        </w:rPr>
        <w:t>盖州</w:t>
      </w:r>
      <w:r>
        <w:rPr>
          <w:rFonts w:hint="eastAsia" w:asciiTheme="majorEastAsia" w:hAnsiTheme="majorEastAsia" w:eastAsiaTheme="majorEastAsia"/>
          <w:sz w:val="24"/>
          <w:u w:val="single"/>
        </w:rPr>
        <w:t>市交通运输事务服务中心</w:t>
      </w:r>
      <w:r>
        <w:rPr>
          <w:rFonts w:hint="eastAsia" w:asciiTheme="majorEastAsia" w:hAnsiTheme="majorEastAsia" w:eastAsiaTheme="majorEastAsia"/>
          <w:sz w:val="24"/>
        </w:rPr>
        <w:t>：</w:t>
      </w:r>
    </w:p>
    <w:p w14:paraId="368F9839">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我公司若有幸中标</w:t>
      </w:r>
      <w:r>
        <w:rPr>
          <w:rFonts w:hint="eastAsia" w:asciiTheme="majorEastAsia" w:hAnsiTheme="majorEastAsia" w:eastAsiaTheme="majorEastAsia"/>
          <w:sz w:val="24"/>
          <w:u w:val="single"/>
        </w:rPr>
        <w:t xml:space="preserve">        （项目名称）      </w:t>
      </w:r>
      <w:r>
        <w:rPr>
          <w:rFonts w:hint="eastAsia" w:asciiTheme="majorEastAsia" w:hAnsiTheme="majorEastAsia" w:eastAsiaTheme="majorEastAsia"/>
          <w:sz w:val="24"/>
        </w:rPr>
        <w:t>项目，按照国务院《保障农民工工资支付条例》（国务院令第724号）以及国家、省、市关于解决企业拖欠农民工工资问题的相关文件要求，为切实做好农民工工资“治欠保支”工作，我公司（项目经理部）将积极落实“三制一金”制度，及时签订劳动合同，建立相关管理台账，规范管理农民工考勤和工资支付工作，按时足额支付农民工工资，并加强分包队伍管理。特作出以下承诺：</w:t>
      </w:r>
    </w:p>
    <w:p w14:paraId="1C019418">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一、保证不拖欠我公司（项目经理部）直接雇佣的农民工工资，保证项目分包队伍不拖欠农民工工资。</w:t>
      </w:r>
    </w:p>
    <w:p w14:paraId="09C9A928">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二、若我公司（项目经理部）或项目分包队伍发生拖欠农民工工资问题，我公司同意贵单位从本项目履约担保银行提取或在工程结算价款、质量保证金中扣除相应资金用于支付所拖欠的农民工工资，同时无条件接受相关部门的处罚。</w:t>
      </w:r>
    </w:p>
    <w:p w14:paraId="61970258">
      <w:pPr>
        <w:spacing w:before="240" w:beforeLines="100" w:line="360" w:lineRule="auto"/>
        <w:ind w:firstLine="3840" w:firstLineChars="1600"/>
        <w:rPr>
          <w:rFonts w:asciiTheme="majorEastAsia" w:hAnsiTheme="majorEastAsia" w:eastAsiaTheme="majorEastAsia"/>
          <w:sz w:val="24"/>
        </w:rPr>
      </w:pPr>
    </w:p>
    <w:p w14:paraId="74645BCC">
      <w:pPr>
        <w:widowControl/>
        <w:spacing w:line="360" w:lineRule="auto"/>
        <w:ind w:left="340" w:leftChars="162" w:firstLine="4080" w:firstLineChars="1700"/>
        <w:textAlignment w:val="bottom"/>
        <w:rPr>
          <w:rFonts w:asciiTheme="majorEastAsia" w:hAnsiTheme="majorEastAsia" w:eastAsiaTheme="majorEastAsia"/>
          <w:sz w:val="24"/>
        </w:rPr>
      </w:pPr>
      <w:r>
        <w:rPr>
          <w:rFonts w:hint="eastAsia" w:asciiTheme="majorEastAsia" w:hAnsiTheme="majorEastAsia" w:eastAsiaTheme="majorEastAsia"/>
          <w:sz w:val="24"/>
        </w:rPr>
        <w:t>承诺单位：</w:t>
      </w:r>
      <w:r>
        <w:rPr>
          <w:rFonts w:asciiTheme="majorEastAsia" w:hAnsiTheme="majorEastAsia" w:eastAsiaTheme="majorEastAsia"/>
          <w:sz w:val="24"/>
        </w:rPr>
        <w:t xml:space="preserve"> _______(</w:t>
      </w:r>
      <w:r>
        <w:rPr>
          <w:rFonts w:hint="eastAsia" w:asciiTheme="majorEastAsia" w:hAnsiTheme="majorEastAsia" w:eastAsiaTheme="majorEastAsia"/>
          <w:sz w:val="24"/>
        </w:rPr>
        <w:t>全称</w:t>
      </w:r>
      <w:r>
        <w:rPr>
          <w:rFonts w:asciiTheme="majorEastAsia" w:hAnsiTheme="majorEastAsia" w:eastAsiaTheme="majorEastAsia"/>
          <w:sz w:val="24"/>
        </w:rPr>
        <w:t>)(</w:t>
      </w:r>
      <w:r>
        <w:rPr>
          <w:rFonts w:hint="eastAsia" w:asciiTheme="majorEastAsia" w:hAnsiTheme="majorEastAsia" w:eastAsiaTheme="majorEastAsia"/>
          <w:sz w:val="24"/>
        </w:rPr>
        <w:t>盖单位章</w:t>
      </w:r>
      <w:r>
        <w:rPr>
          <w:rFonts w:asciiTheme="majorEastAsia" w:hAnsiTheme="majorEastAsia" w:eastAsiaTheme="majorEastAsia"/>
          <w:sz w:val="24"/>
        </w:rPr>
        <w:t>)</w:t>
      </w:r>
    </w:p>
    <w:p w14:paraId="6DE49C97">
      <w:pPr>
        <w:widowControl/>
        <w:spacing w:line="360" w:lineRule="auto"/>
        <w:ind w:left="340" w:leftChars="162"/>
        <w:jc w:val="right"/>
        <w:textAlignment w:val="bottom"/>
        <w:rPr>
          <w:rFonts w:asciiTheme="majorEastAsia" w:hAnsiTheme="majorEastAsia" w:eastAsiaTheme="majorEastAsia"/>
          <w:sz w:val="24"/>
        </w:rPr>
      </w:pPr>
    </w:p>
    <w:p w14:paraId="4EC11BED">
      <w:pPr>
        <w:widowControl/>
        <w:spacing w:line="360" w:lineRule="auto"/>
        <w:ind w:left="340" w:leftChars="162"/>
        <w:jc w:val="right"/>
        <w:textAlignment w:val="bottom"/>
        <w:rPr>
          <w:rFonts w:asciiTheme="majorEastAsia" w:hAnsiTheme="majorEastAsia" w:eastAsiaTheme="majorEastAsia"/>
          <w:sz w:val="24"/>
          <w:u w:val="single"/>
        </w:rPr>
      </w:pPr>
      <w:r>
        <w:rPr>
          <w:rFonts w:hint="eastAsia" w:asciiTheme="majorEastAsia" w:hAnsiTheme="majorEastAsia" w:eastAsiaTheme="majorEastAsia"/>
          <w:sz w:val="24"/>
        </w:rPr>
        <w:t>法定代表人或其委托代理人：</w:t>
      </w:r>
      <w:r>
        <w:rPr>
          <w:rFonts w:asciiTheme="majorEastAsia" w:hAnsiTheme="majorEastAsia" w:eastAsiaTheme="majorEastAsia"/>
          <w:sz w:val="24"/>
        </w:rPr>
        <w:t xml:space="preserve"> ____________(</w:t>
      </w:r>
      <w:r>
        <w:rPr>
          <w:rFonts w:hint="eastAsia" w:asciiTheme="majorEastAsia" w:hAnsiTheme="majorEastAsia" w:eastAsiaTheme="majorEastAsia"/>
          <w:sz w:val="24"/>
        </w:rPr>
        <w:t>签字</w:t>
      </w:r>
      <w:r>
        <w:rPr>
          <w:rFonts w:asciiTheme="majorEastAsia" w:hAnsiTheme="majorEastAsia" w:eastAsiaTheme="majorEastAsia"/>
          <w:sz w:val="24"/>
        </w:rPr>
        <w:t>)</w:t>
      </w:r>
    </w:p>
    <w:p w14:paraId="125B4740">
      <w:pPr>
        <w:widowControl/>
        <w:spacing w:line="360" w:lineRule="auto"/>
        <w:ind w:left="340"/>
        <w:textAlignment w:val="bottom"/>
        <w:rPr>
          <w:rFonts w:asciiTheme="majorEastAsia" w:hAnsiTheme="majorEastAsia" w:eastAsiaTheme="majorEastAsia"/>
          <w:sz w:val="24"/>
        </w:rPr>
      </w:pPr>
    </w:p>
    <w:p w14:paraId="0AC5D51D">
      <w:pPr>
        <w:widowControl/>
        <w:spacing w:line="360" w:lineRule="auto"/>
        <w:ind w:left="340"/>
        <w:textAlignment w:val="bottom"/>
        <w:rPr>
          <w:rFonts w:asciiTheme="majorEastAsia" w:hAnsiTheme="majorEastAsia" w:eastAsiaTheme="majorEastAsia"/>
          <w:sz w:val="24"/>
        </w:rPr>
      </w:pPr>
    </w:p>
    <w:p w14:paraId="3EB8411B">
      <w:pPr>
        <w:pStyle w:val="17"/>
        <w:wordWrap w:val="0"/>
        <w:spacing w:after="0" w:line="400" w:lineRule="atLeast"/>
        <w:ind w:left="0" w:leftChars="0"/>
        <w:jc w:val="center"/>
        <w:rPr>
          <w:rFonts w:hint="eastAsia" w:asciiTheme="majorEastAsia" w:hAnsiTheme="majorEastAsia" w:eastAsiaTheme="majorEastAsia"/>
          <w:sz w:val="24"/>
        </w:rPr>
      </w:pPr>
      <w:r>
        <w:rPr>
          <w:rFonts w:hint="eastAsia" w:asciiTheme="majorEastAsia" w:hAnsiTheme="majorEastAsia" w:eastAsiaTheme="majorEastAsia"/>
          <w:sz w:val="24"/>
        </w:rPr>
        <w:t xml:space="preserve">                          </w:t>
      </w:r>
      <w:r>
        <w:rPr>
          <w:rFonts w:hint="eastAsia" w:asciiTheme="majorEastAsia" w:hAnsiTheme="majorEastAsia" w:eastAsiaTheme="majorEastAsia"/>
          <w:sz w:val="24"/>
          <w:u w:val="single"/>
        </w:rPr>
        <w:t xml:space="preserve">      </w:t>
      </w:r>
      <w:r>
        <w:rPr>
          <w:rFonts w:hint="eastAsia" w:asciiTheme="majorEastAsia" w:hAnsiTheme="majorEastAsia" w:eastAsiaTheme="majorEastAsia"/>
          <w:sz w:val="24"/>
        </w:rPr>
        <w:t>年</w:t>
      </w:r>
      <w:r>
        <w:rPr>
          <w:rFonts w:hint="eastAsia" w:asciiTheme="majorEastAsia" w:hAnsiTheme="majorEastAsia" w:eastAsiaTheme="majorEastAsia"/>
          <w:sz w:val="24"/>
          <w:u w:val="single"/>
        </w:rPr>
        <w:t xml:space="preserve">   </w:t>
      </w:r>
      <w:r>
        <w:rPr>
          <w:rFonts w:hint="eastAsia" w:asciiTheme="majorEastAsia" w:hAnsiTheme="majorEastAsia" w:eastAsiaTheme="majorEastAsia"/>
          <w:sz w:val="24"/>
        </w:rPr>
        <w:t>月</w:t>
      </w:r>
      <w:r>
        <w:rPr>
          <w:rFonts w:hint="eastAsia" w:asciiTheme="majorEastAsia" w:hAnsiTheme="majorEastAsia" w:eastAsiaTheme="majorEastAsia"/>
          <w:sz w:val="24"/>
          <w:u w:val="single"/>
        </w:rPr>
        <w:t xml:space="preserve">   </w:t>
      </w:r>
      <w:r>
        <w:rPr>
          <w:rFonts w:hint="eastAsia" w:asciiTheme="majorEastAsia" w:hAnsiTheme="majorEastAsia" w:eastAsiaTheme="majorEastAsia"/>
          <w:sz w:val="24"/>
        </w:rPr>
        <w:t>日</w:t>
      </w:r>
    </w:p>
    <w:p w14:paraId="2E8B3CEC">
      <w:pPr>
        <w:rPr>
          <w:rFonts w:hint="eastAsia" w:asciiTheme="majorEastAsia" w:hAnsiTheme="majorEastAsia" w:eastAsiaTheme="majorEastAsia"/>
          <w:sz w:val="24"/>
        </w:rPr>
      </w:pPr>
      <w:r>
        <w:rPr>
          <w:rFonts w:hint="eastAsia" w:asciiTheme="majorEastAsia" w:hAnsiTheme="majorEastAsia" w:eastAsiaTheme="majorEastAsia"/>
          <w:sz w:val="24"/>
        </w:rPr>
        <w:br w:type="page"/>
      </w:r>
    </w:p>
    <w:p w14:paraId="19C01EB8">
      <w:pPr>
        <w:wordWrap w:val="0"/>
        <w:spacing w:line="440" w:lineRule="exact"/>
        <w:rPr>
          <w:rFonts w:eastAsia="黑体"/>
          <w:sz w:val="20"/>
          <w:szCs w:val="20"/>
        </w:rPr>
      </w:pPr>
    </w:p>
    <w:p w14:paraId="6FF0D8B9">
      <w:pPr>
        <w:spacing w:before="56"/>
        <w:ind w:right="178"/>
        <w:jc w:val="center"/>
        <w:rPr>
          <w:rFonts w:asciiTheme="minorEastAsia" w:hAnsiTheme="minorEastAsia" w:eastAsiaTheme="minorEastAsia"/>
          <w:b/>
          <w:bCs/>
          <w:sz w:val="28"/>
        </w:rPr>
      </w:pPr>
      <w:r>
        <w:rPr>
          <w:rFonts w:hint="eastAsia" w:asciiTheme="minorEastAsia" w:hAnsiTheme="minorEastAsia" w:eastAsiaTheme="minorEastAsia"/>
          <w:b/>
          <w:bCs/>
          <w:sz w:val="28"/>
        </w:rPr>
        <w:t>（四）项目数据采集表</w:t>
      </w:r>
      <w:bookmarkStart w:id="2016" w:name="OLE_LINK30"/>
    </w:p>
    <w:p w14:paraId="118A7A5A"/>
    <w:tbl>
      <w:tblPr>
        <w:tblStyle w:val="39"/>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80"/>
        <w:gridCol w:w="885"/>
        <w:gridCol w:w="980"/>
        <w:gridCol w:w="980"/>
        <w:gridCol w:w="903"/>
        <w:gridCol w:w="955"/>
        <w:gridCol w:w="913"/>
        <w:gridCol w:w="791"/>
        <w:gridCol w:w="723"/>
        <w:gridCol w:w="690"/>
      </w:tblGrid>
      <w:tr w14:paraId="2DFD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94" w:type="dxa"/>
            <w:shd w:val="clear" w:color="auto" w:fill="FFFFFF"/>
            <w:noWrap/>
            <w:vAlign w:val="center"/>
          </w:tcPr>
          <w:p w14:paraId="0A84B09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投标单位名称</w:t>
            </w:r>
          </w:p>
        </w:tc>
        <w:tc>
          <w:tcPr>
            <w:tcW w:w="980" w:type="dxa"/>
            <w:shd w:val="clear" w:color="auto" w:fill="FFFFFF"/>
            <w:noWrap/>
            <w:vAlign w:val="center"/>
          </w:tcPr>
          <w:p w14:paraId="23BEFC8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投标单位统一社会信用代码</w:t>
            </w:r>
          </w:p>
        </w:tc>
        <w:tc>
          <w:tcPr>
            <w:tcW w:w="885" w:type="dxa"/>
            <w:shd w:val="clear" w:color="auto" w:fill="FFFFFF"/>
            <w:noWrap/>
            <w:vAlign w:val="center"/>
          </w:tcPr>
          <w:p w14:paraId="437D2D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投标单位法人代表姓名</w:t>
            </w:r>
          </w:p>
        </w:tc>
        <w:tc>
          <w:tcPr>
            <w:tcW w:w="980" w:type="dxa"/>
            <w:shd w:val="clear" w:color="auto" w:fill="FFFFFF"/>
            <w:noWrap/>
            <w:vAlign w:val="center"/>
          </w:tcPr>
          <w:p w14:paraId="2DE17C2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投标单位法人代表身份证号</w:t>
            </w:r>
          </w:p>
        </w:tc>
        <w:tc>
          <w:tcPr>
            <w:tcW w:w="980" w:type="dxa"/>
            <w:shd w:val="clear" w:color="auto" w:fill="FFFFFF"/>
            <w:noWrap/>
            <w:vAlign w:val="center"/>
          </w:tcPr>
          <w:p w14:paraId="413B9A5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投标单位法人代表手机号码</w:t>
            </w:r>
          </w:p>
        </w:tc>
        <w:tc>
          <w:tcPr>
            <w:tcW w:w="903" w:type="dxa"/>
            <w:shd w:val="clear" w:color="auto" w:fill="FFFFFF"/>
            <w:noWrap/>
            <w:vAlign w:val="center"/>
          </w:tcPr>
          <w:p w14:paraId="70A9D6F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投标单位联系人姓名</w:t>
            </w:r>
          </w:p>
        </w:tc>
        <w:tc>
          <w:tcPr>
            <w:tcW w:w="955" w:type="dxa"/>
            <w:shd w:val="clear" w:color="auto" w:fill="FFFFFF"/>
            <w:noWrap/>
            <w:vAlign w:val="center"/>
          </w:tcPr>
          <w:p w14:paraId="59C1F6A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投标单位联系人身份证号</w:t>
            </w:r>
          </w:p>
        </w:tc>
        <w:tc>
          <w:tcPr>
            <w:tcW w:w="913" w:type="dxa"/>
            <w:shd w:val="clear" w:color="auto" w:fill="FFFFFF"/>
            <w:noWrap/>
            <w:vAlign w:val="center"/>
          </w:tcPr>
          <w:p w14:paraId="4EF4927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投标单位联系人手机号码</w:t>
            </w:r>
          </w:p>
        </w:tc>
        <w:tc>
          <w:tcPr>
            <w:tcW w:w="791" w:type="dxa"/>
            <w:shd w:val="clear" w:color="auto" w:fill="FFFFFF"/>
            <w:noWrap/>
            <w:vAlign w:val="center"/>
          </w:tcPr>
          <w:p w14:paraId="6557DC0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项目经理姓名</w:t>
            </w:r>
          </w:p>
        </w:tc>
        <w:tc>
          <w:tcPr>
            <w:tcW w:w="723" w:type="dxa"/>
            <w:shd w:val="clear" w:color="auto" w:fill="FFFFFF"/>
            <w:noWrap/>
            <w:vAlign w:val="center"/>
          </w:tcPr>
          <w:p w14:paraId="1F4ACCE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项目经理身份证号</w:t>
            </w:r>
          </w:p>
        </w:tc>
        <w:tc>
          <w:tcPr>
            <w:tcW w:w="690" w:type="dxa"/>
            <w:shd w:val="clear" w:color="auto" w:fill="FFFFFF"/>
            <w:noWrap/>
            <w:vAlign w:val="center"/>
          </w:tcPr>
          <w:p w14:paraId="271B816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项目经理手机号码</w:t>
            </w:r>
          </w:p>
        </w:tc>
      </w:tr>
      <w:tr w14:paraId="63E5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94" w:type="dxa"/>
            <w:shd w:val="clear" w:color="auto" w:fill="FFFFFF"/>
            <w:noWrap/>
            <w:vAlign w:val="center"/>
          </w:tcPr>
          <w:p w14:paraId="5063AB82">
            <w:pPr>
              <w:widowControl/>
              <w:jc w:val="left"/>
              <w:textAlignment w:val="center"/>
              <w:rPr>
                <w:rFonts w:ascii="宋体" w:hAnsi="宋体" w:cs="宋体"/>
                <w:color w:val="000000"/>
                <w:kern w:val="0"/>
                <w:sz w:val="22"/>
                <w:szCs w:val="22"/>
                <w:lang w:bidi="ar"/>
              </w:rPr>
            </w:pPr>
          </w:p>
        </w:tc>
        <w:tc>
          <w:tcPr>
            <w:tcW w:w="980" w:type="dxa"/>
            <w:shd w:val="clear" w:color="auto" w:fill="FFFFFF"/>
            <w:noWrap/>
            <w:vAlign w:val="center"/>
          </w:tcPr>
          <w:p w14:paraId="2A4D9C8A">
            <w:pPr>
              <w:widowControl/>
              <w:jc w:val="left"/>
              <w:textAlignment w:val="center"/>
              <w:rPr>
                <w:rFonts w:ascii="宋体" w:hAnsi="宋体" w:cs="宋体"/>
                <w:color w:val="000000"/>
                <w:kern w:val="0"/>
                <w:sz w:val="22"/>
                <w:szCs w:val="22"/>
                <w:lang w:bidi="ar"/>
              </w:rPr>
            </w:pPr>
          </w:p>
        </w:tc>
        <w:tc>
          <w:tcPr>
            <w:tcW w:w="885" w:type="dxa"/>
            <w:shd w:val="clear" w:color="auto" w:fill="FFFFFF"/>
            <w:noWrap/>
            <w:vAlign w:val="center"/>
          </w:tcPr>
          <w:p w14:paraId="3FF3BFE9">
            <w:pPr>
              <w:widowControl/>
              <w:jc w:val="left"/>
              <w:textAlignment w:val="center"/>
              <w:rPr>
                <w:rFonts w:ascii="宋体" w:hAnsi="宋体" w:cs="宋体"/>
                <w:color w:val="000000"/>
                <w:kern w:val="0"/>
                <w:sz w:val="22"/>
                <w:szCs w:val="22"/>
                <w:lang w:bidi="ar"/>
              </w:rPr>
            </w:pPr>
          </w:p>
        </w:tc>
        <w:tc>
          <w:tcPr>
            <w:tcW w:w="980" w:type="dxa"/>
            <w:shd w:val="clear" w:color="auto" w:fill="FFFFFF"/>
            <w:noWrap/>
            <w:vAlign w:val="center"/>
          </w:tcPr>
          <w:p w14:paraId="4A7810DF">
            <w:pPr>
              <w:widowControl/>
              <w:jc w:val="left"/>
              <w:textAlignment w:val="center"/>
              <w:rPr>
                <w:rFonts w:ascii="宋体" w:hAnsi="宋体" w:cs="宋体"/>
                <w:color w:val="000000"/>
                <w:kern w:val="0"/>
                <w:sz w:val="22"/>
                <w:szCs w:val="22"/>
                <w:lang w:bidi="ar"/>
              </w:rPr>
            </w:pPr>
          </w:p>
        </w:tc>
        <w:tc>
          <w:tcPr>
            <w:tcW w:w="980" w:type="dxa"/>
            <w:shd w:val="clear" w:color="auto" w:fill="FFFFFF"/>
            <w:noWrap/>
            <w:vAlign w:val="center"/>
          </w:tcPr>
          <w:p w14:paraId="4D2C5F98">
            <w:pPr>
              <w:widowControl/>
              <w:jc w:val="left"/>
              <w:textAlignment w:val="center"/>
              <w:rPr>
                <w:rFonts w:ascii="宋体" w:hAnsi="宋体" w:cs="宋体"/>
                <w:color w:val="000000"/>
                <w:kern w:val="0"/>
                <w:sz w:val="22"/>
                <w:szCs w:val="22"/>
                <w:lang w:bidi="ar"/>
              </w:rPr>
            </w:pPr>
          </w:p>
        </w:tc>
        <w:tc>
          <w:tcPr>
            <w:tcW w:w="903" w:type="dxa"/>
            <w:shd w:val="clear" w:color="auto" w:fill="FFFFFF"/>
            <w:noWrap/>
            <w:vAlign w:val="center"/>
          </w:tcPr>
          <w:p w14:paraId="46CA5E32">
            <w:pPr>
              <w:widowControl/>
              <w:jc w:val="left"/>
              <w:textAlignment w:val="center"/>
              <w:rPr>
                <w:rFonts w:ascii="宋体" w:hAnsi="宋体" w:cs="宋体"/>
                <w:color w:val="000000"/>
                <w:kern w:val="0"/>
                <w:sz w:val="22"/>
                <w:szCs w:val="22"/>
                <w:lang w:bidi="ar"/>
              </w:rPr>
            </w:pPr>
          </w:p>
        </w:tc>
        <w:tc>
          <w:tcPr>
            <w:tcW w:w="955" w:type="dxa"/>
            <w:shd w:val="clear" w:color="auto" w:fill="FFFFFF"/>
            <w:noWrap/>
            <w:vAlign w:val="center"/>
          </w:tcPr>
          <w:p w14:paraId="4ED7EE59">
            <w:pPr>
              <w:widowControl/>
              <w:jc w:val="left"/>
              <w:textAlignment w:val="center"/>
              <w:rPr>
                <w:rFonts w:ascii="宋体" w:hAnsi="宋体" w:cs="宋体"/>
                <w:color w:val="000000"/>
                <w:kern w:val="0"/>
                <w:sz w:val="22"/>
                <w:szCs w:val="22"/>
                <w:lang w:bidi="ar"/>
              </w:rPr>
            </w:pPr>
          </w:p>
        </w:tc>
        <w:tc>
          <w:tcPr>
            <w:tcW w:w="913" w:type="dxa"/>
            <w:shd w:val="clear" w:color="auto" w:fill="FFFFFF"/>
            <w:noWrap/>
            <w:vAlign w:val="center"/>
          </w:tcPr>
          <w:p w14:paraId="09183C45">
            <w:pPr>
              <w:widowControl/>
              <w:jc w:val="left"/>
              <w:textAlignment w:val="center"/>
              <w:rPr>
                <w:rFonts w:ascii="宋体" w:hAnsi="宋体" w:cs="宋体"/>
                <w:color w:val="000000"/>
                <w:kern w:val="0"/>
                <w:sz w:val="22"/>
                <w:szCs w:val="22"/>
                <w:lang w:bidi="ar"/>
              </w:rPr>
            </w:pPr>
          </w:p>
        </w:tc>
        <w:tc>
          <w:tcPr>
            <w:tcW w:w="791" w:type="dxa"/>
            <w:shd w:val="clear" w:color="auto" w:fill="FFFFFF"/>
            <w:noWrap/>
            <w:vAlign w:val="center"/>
          </w:tcPr>
          <w:p w14:paraId="349CE6E7">
            <w:pPr>
              <w:widowControl/>
              <w:jc w:val="left"/>
              <w:textAlignment w:val="center"/>
              <w:rPr>
                <w:rFonts w:ascii="宋体" w:hAnsi="宋体" w:cs="宋体"/>
                <w:color w:val="000000"/>
                <w:kern w:val="0"/>
                <w:sz w:val="22"/>
                <w:szCs w:val="22"/>
                <w:lang w:bidi="ar"/>
              </w:rPr>
            </w:pPr>
          </w:p>
        </w:tc>
        <w:tc>
          <w:tcPr>
            <w:tcW w:w="723" w:type="dxa"/>
            <w:shd w:val="clear" w:color="auto" w:fill="FFFFFF"/>
            <w:noWrap/>
            <w:vAlign w:val="center"/>
          </w:tcPr>
          <w:p w14:paraId="74BC5373">
            <w:pPr>
              <w:widowControl/>
              <w:jc w:val="left"/>
              <w:textAlignment w:val="center"/>
              <w:rPr>
                <w:rFonts w:ascii="宋体" w:hAnsi="宋体" w:cs="宋体"/>
                <w:color w:val="000000"/>
                <w:kern w:val="0"/>
                <w:sz w:val="22"/>
                <w:szCs w:val="22"/>
                <w:lang w:bidi="ar"/>
              </w:rPr>
            </w:pPr>
          </w:p>
        </w:tc>
        <w:tc>
          <w:tcPr>
            <w:tcW w:w="690" w:type="dxa"/>
            <w:shd w:val="clear" w:color="auto" w:fill="FFFFFF"/>
            <w:noWrap/>
            <w:vAlign w:val="center"/>
          </w:tcPr>
          <w:p w14:paraId="0F473A45">
            <w:pPr>
              <w:widowControl/>
              <w:jc w:val="left"/>
              <w:textAlignment w:val="center"/>
              <w:rPr>
                <w:rFonts w:ascii="宋体" w:hAnsi="宋体" w:cs="宋体"/>
                <w:color w:val="000000"/>
                <w:kern w:val="0"/>
                <w:sz w:val="22"/>
                <w:szCs w:val="22"/>
                <w:lang w:bidi="ar"/>
              </w:rPr>
            </w:pPr>
          </w:p>
        </w:tc>
      </w:tr>
      <w:bookmarkEnd w:id="2016"/>
    </w:tbl>
    <w:p w14:paraId="58AC0FF1"/>
    <w:p w14:paraId="07C83578">
      <w:pPr>
        <w:spacing w:before="56"/>
        <w:ind w:right="178"/>
        <w:jc w:val="center"/>
        <w:rPr>
          <w:rFonts w:asciiTheme="minorEastAsia" w:hAnsiTheme="minorEastAsia" w:eastAsiaTheme="minorEastAsia"/>
          <w:szCs w:val="21"/>
        </w:rPr>
      </w:pPr>
      <w:r>
        <w:rPr>
          <w:rFonts w:asciiTheme="minorEastAsia" w:hAnsiTheme="minorEastAsia" w:eastAsiaTheme="minorEastAsia"/>
          <w:szCs w:val="21"/>
        </w:rPr>
        <w:t>注：以联合体形式参与投标的，联合体各成员应分别填写。</w:t>
      </w:r>
    </w:p>
    <w:p w14:paraId="43D13DFE">
      <w:pPr>
        <w:spacing w:before="56"/>
        <w:ind w:right="178"/>
        <w:jc w:val="center"/>
        <w:rPr>
          <w:rFonts w:asciiTheme="minorEastAsia" w:hAnsiTheme="minorEastAsia" w:eastAsiaTheme="minorEastAsia"/>
          <w:b/>
          <w:bCs/>
          <w:sz w:val="28"/>
        </w:rPr>
      </w:pPr>
    </w:p>
    <w:p w14:paraId="1031C1B0">
      <w:pPr>
        <w:spacing w:before="56"/>
        <w:ind w:right="178"/>
        <w:jc w:val="center"/>
        <w:rPr>
          <w:rFonts w:asciiTheme="minorEastAsia" w:hAnsiTheme="minorEastAsia" w:eastAsiaTheme="minorEastAsia"/>
          <w:b/>
          <w:bCs/>
          <w:sz w:val="28"/>
        </w:rPr>
      </w:pPr>
      <w:r>
        <w:rPr>
          <w:rFonts w:hint="eastAsia" w:asciiTheme="minorEastAsia" w:hAnsiTheme="minorEastAsia" w:eastAsiaTheme="minorEastAsia"/>
          <w:b/>
          <w:bCs/>
          <w:sz w:val="28"/>
        </w:rPr>
        <w:t>（五）中标公示汇总表</w:t>
      </w:r>
    </w:p>
    <w:p w14:paraId="6850F7C1">
      <w:pPr>
        <w:jc w:val="center"/>
        <w:rPr>
          <w:rFonts w:asciiTheme="minorEastAsia" w:hAnsiTheme="minorEastAsia" w:eastAsiaTheme="minorEastAsia"/>
          <w:sz w:val="24"/>
        </w:rPr>
      </w:pPr>
    </w:p>
    <w:p w14:paraId="46220E01">
      <w:pPr>
        <w:jc w:val="center"/>
        <w:rPr>
          <w:rFonts w:asciiTheme="minorEastAsia" w:hAnsiTheme="minorEastAsia" w:eastAsiaTheme="minorEastAsia"/>
          <w:sz w:val="24"/>
        </w:rPr>
      </w:pPr>
      <w:r>
        <w:rPr>
          <w:rFonts w:hint="eastAsia" w:asciiTheme="minorEastAsia" w:hAnsiTheme="minorEastAsia" w:eastAsiaTheme="minorEastAsia"/>
          <w:sz w:val="24"/>
        </w:rPr>
        <w:t>主要人员信息公示汇总表</w:t>
      </w:r>
    </w:p>
    <w:p w14:paraId="03404CEF">
      <w:pPr>
        <w:rPr>
          <w:rFonts w:asciiTheme="minorEastAsia" w:hAnsiTheme="minorEastAsia" w:eastAsiaTheme="minorEastAsia"/>
        </w:rPr>
      </w:pPr>
    </w:p>
    <w:tbl>
      <w:tblPr>
        <w:tblStyle w:val="39"/>
        <w:tblpPr w:leftFromText="180" w:rightFromText="180" w:vertAnchor="text" w:tblpY="1"/>
        <w:tblOverlap w:val="never"/>
        <w:tblW w:w="8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1359"/>
        <w:gridCol w:w="1003"/>
        <w:gridCol w:w="1508"/>
        <w:gridCol w:w="1010"/>
        <w:gridCol w:w="1006"/>
        <w:gridCol w:w="1003"/>
        <w:gridCol w:w="998"/>
      </w:tblGrid>
      <w:tr w14:paraId="02C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restart"/>
            <w:vAlign w:val="center"/>
          </w:tcPr>
          <w:p w14:paraId="45C51251">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1359" w:type="dxa"/>
            <w:vMerge w:val="restart"/>
            <w:vAlign w:val="center"/>
          </w:tcPr>
          <w:p w14:paraId="52C19349">
            <w:pPr>
              <w:pStyle w:val="95"/>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拟任职务</w:t>
            </w:r>
          </w:p>
        </w:tc>
        <w:tc>
          <w:tcPr>
            <w:tcW w:w="1003" w:type="dxa"/>
            <w:vMerge w:val="restart"/>
            <w:vAlign w:val="center"/>
          </w:tcPr>
          <w:p w14:paraId="58791D1C">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姓名</w:t>
            </w:r>
          </w:p>
        </w:tc>
        <w:tc>
          <w:tcPr>
            <w:tcW w:w="1508" w:type="dxa"/>
            <w:vMerge w:val="restart"/>
            <w:vAlign w:val="center"/>
          </w:tcPr>
          <w:p w14:paraId="048ACCF8">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证书类型</w:t>
            </w:r>
          </w:p>
        </w:tc>
        <w:tc>
          <w:tcPr>
            <w:tcW w:w="1010" w:type="dxa"/>
            <w:vMerge w:val="restart"/>
            <w:vAlign w:val="center"/>
          </w:tcPr>
          <w:p w14:paraId="0DFB1AA4">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证书编号</w:t>
            </w:r>
          </w:p>
        </w:tc>
        <w:tc>
          <w:tcPr>
            <w:tcW w:w="3007" w:type="dxa"/>
            <w:gridSpan w:val="3"/>
            <w:vAlign w:val="center"/>
          </w:tcPr>
          <w:p w14:paraId="3DE0BFFE">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个人业绩信息</w:t>
            </w:r>
          </w:p>
        </w:tc>
      </w:tr>
      <w:tr w14:paraId="3EA5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continue"/>
            <w:vAlign w:val="center"/>
          </w:tcPr>
          <w:p w14:paraId="51F6FA29">
            <w:pPr>
              <w:pStyle w:val="95"/>
              <w:adjustRightInd w:val="0"/>
              <w:snapToGrid w:val="0"/>
              <w:jc w:val="center"/>
              <w:rPr>
                <w:rFonts w:asciiTheme="minorEastAsia" w:hAnsiTheme="minorEastAsia" w:eastAsiaTheme="minorEastAsia"/>
                <w:szCs w:val="21"/>
              </w:rPr>
            </w:pPr>
          </w:p>
        </w:tc>
        <w:tc>
          <w:tcPr>
            <w:tcW w:w="1359" w:type="dxa"/>
            <w:vMerge w:val="continue"/>
            <w:vAlign w:val="center"/>
          </w:tcPr>
          <w:p w14:paraId="7B03DAD6">
            <w:pPr>
              <w:pStyle w:val="95"/>
              <w:adjustRightInd w:val="0"/>
              <w:snapToGrid w:val="0"/>
              <w:jc w:val="center"/>
              <w:rPr>
                <w:rFonts w:asciiTheme="minorEastAsia" w:hAnsiTheme="minorEastAsia" w:eastAsiaTheme="minorEastAsia"/>
                <w:szCs w:val="21"/>
              </w:rPr>
            </w:pPr>
          </w:p>
        </w:tc>
        <w:tc>
          <w:tcPr>
            <w:tcW w:w="1003" w:type="dxa"/>
            <w:vMerge w:val="continue"/>
            <w:vAlign w:val="center"/>
          </w:tcPr>
          <w:p w14:paraId="77590CFB">
            <w:pPr>
              <w:pStyle w:val="95"/>
              <w:adjustRightInd w:val="0"/>
              <w:snapToGrid w:val="0"/>
              <w:jc w:val="center"/>
              <w:rPr>
                <w:rFonts w:asciiTheme="minorEastAsia" w:hAnsiTheme="minorEastAsia" w:eastAsiaTheme="minorEastAsia"/>
                <w:szCs w:val="21"/>
              </w:rPr>
            </w:pPr>
          </w:p>
        </w:tc>
        <w:tc>
          <w:tcPr>
            <w:tcW w:w="1508" w:type="dxa"/>
            <w:vMerge w:val="continue"/>
            <w:vAlign w:val="center"/>
          </w:tcPr>
          <w:p w14:paraId="505EAFE2">
            <w:pPr>
              <w:pStyle w:val="95"/>
              <w:adjustRightInd w:val="0"/>
              <w:snapToGrid w:val="0"/>
              <w:jc w:val="center"/>
              <w:rPr>
                <w:rFonts w:asciiTheme="minorEastAsia" w:hAnsiTheme="minorEastAsia" w:eastAsiaTheme="minorEastAsia"/>
                <w:szCs w:val="21"/>
              </w:rPr>
            </w:pPr>
          </w:p>
        </w:tc>
        <w:tc>
          <w:tcPr>
            <w:tcW w:w="1010" w:type="dxa"/>
            <w:vMerge w:val="continue"/>
            <w:vAlign w:val="center"/>
          </w:tcPr>
          <w:p w14:paraId="62BADA18">
            <w:pPr>
              <w:pStyle w:val="95"/>
              <w:adjustRightInd w:val="0"/>
              <w:snapToGrid w:val="0"/>
              <w:jc w:val="center"/>
              <w:rPr>
                <w:rFonts w:asciiTheme="minorEastAsia" w:hAnsiTheme="minorEastAsia" w:eastAsiaTheme="minorEastAsia"/>
                <w:szCs w:val="21"/>
              </w:rPr>
            </w:pPr>
          </w:p>
        </w:tc>
        <w:tc>
          <w:tcPr>
            <w:tcW w:w="1006" w:type="dxa"/>
            <w:vAlign w:val="center"/>
          </w:tcPr>
          <w:p w14:paraId="7414F34B">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编号</w:t>
            </w:r>
          </w:p>
        </w:tc>
        <w:tc>
          <w:tcPr>
            <w:tcW w:w="1003" w:type="dxa"/>
            <w:vAlign w:val="center"/>
          </w:tcPr>
          <w:p w14:paraId="021DB1F8">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项目合同名称</w:t>
            </w:r>
          </w:p>
        </w:tc>
        <w:tc>
          <w:tcPr>
            <w:tcW w:w="998" w:type="dxa"/>
            <w:vAlign w:val="center"/>
          </w:tcPr>
          <w:p w14:paraId="1BDD44C3">
            <w:pPr>
              <w:pStyle w:val="95"/>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完工年月</w:t>
            </w:r>
          </w:p>
        </w:tc>
      </w:tr>
      <w:tr w14:paraId="42DC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restart"/>
            <w:vAlign w:val="center"/>
          </w:tcPr>
          <w:p w14:paraId="358F30E2">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1359" w:type="dxa"/>
            <w:vMerge w:val="restart"/>
            <w:vAlign w:val="center"/>
          </w:tcPr>
          <w:p w14:paraId="67FB9A10">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项目经理</w:t>
            </w:r>
          </w:p>
        </w:tc>
        <w:tc>
          <w:tcPr>
            <w:tcW w:w="1003" w:type="dxa"/>
            <w:vMerge w:val="restart"/>
            <w:vAlign w:val="center"/>
          </w:tcPr>
          <w:p w14:paraId="081F2500">
            <w:pPr>
              <w:adjustRightInd w:val="0"/>
              <w:snapToGrid w:val="0"/>
              <w:jc w:val="center"/>
              <w:rPr>
                <w:rFonts w:asciiTheme="minorEastAsia" w:hAnsiTheme="minorEastAsia" w:eastAsiaTheme="minorEastAsia"/>
                <w:szCs w:val="21"/>
              </w:rPr>
            </w:pPr>
          </w:p>
        </w:tc>
        <w:tc>
          <w:tcPr>
            <w:tcW w:w="1508" w:type="dxa"/>
            <w:vMerge w:val="restart"/>
            <w:vAlign w:val="center"/>
          </w:tcPr>
          <w:p w14:paraId="10B52CB4">
            <w:pPr>
              <w:adjustRightInd w:val="0"/>
              <w:snapToGrid w:val="0"/>
              <w:jc w:val="center"/>
              <w:rPr>
                <w:rFonts w:asciiTheme="minorEastAsia" w:hAnsiTheme="minorEastAsia" w:eastAsiaTheme="minorEastAsia"/>
                <w:szCs w:val="21"/>
              </w:rPr>
            </w:pPr>
          </w:p>
        </w:tc>
        <w:tc>
          <w:tcPr>
            <w:tcW w:w="1010" w:type="dxa"/>
            <w:vMerge w:val="restart"/>
            <w:vAlign w:val="center"/>
          </w:tcPr>
          <w:p w14:paraId="690BD73D">
            <w:pPr>
              <w:adjustRightInd w:val="0"/>
              <w:snapToGrid w:val="0"/>
              <w:jc w:val="center"/>
              <w:rPr>
                <w:rFonts w:asciiTheme="minorEastAsia" w:hAnsiTheme="minorEastAsia" w:eastAsiaTheme="minorEastAsia"/>
                <w:szCs w:val="21"/>
              </w:rPr>
            </w:pPr>
          </w:p>
        </w:tc>
        <w:tc>
          <w:tcPr>
            <w:tcW w:w="1006" w:type="dxa"/>
            <w:vAlign w:val="center"/>
          </w:tcPr>
          <w:p w14:paraId="401B4E93">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1003" w:type="dxa"/>
            <w:vAlign w:val="center"/>
          </w:tcPr>
          <w:p w14:paraId="3A5B3FD6">
            <w:pPr>
              <w:adjustRightInd w:val="0"/>
              <w:snapToGrid w:val="0"/>
              <w:jc w:val="center"/>
              <w:rPr>
                <w:rFonts w:asciiTheme="minorEastAsia" w:hAnsiTheme="minorEastAsia" w:eastAsiaTheme="minorEastAsia"/>
                <w:szCs w:val="21"/>
              </w:rPr>
            </w:pPr>
          </w:p>
        </w:tc>
        <w:tc>
          <w:tcPr>
            <w:tcW w:w="998" w:type="dxa"/>
            <w:vAlign w:val="center"/>
          </w:tcPr>
          <w:p w14:paraId="2F772EED">
            <w:pPr>
              <w:adjustRightInd w:val="0"/>
              <w:snapToGrid w:val="0"/>
              <w:jc w:val="center"/>
              <w:rPr>
                <w:rFonts w:asciiTheme="minorEastAsia" w:hAnsiTheme="minorEastAsia" w:eastAsiaTheme="minorEastAsia"/>
                <w:szCs w:val="21"/>
              </w:rPr>
            </w:pPr>
          </w:p>
        </w:tc>
      </w:tr>
      <w:tr w14:paraId="2489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continue"/>
            <w:vAlign w:val="center"/>
          </w:tcPr>
          <w:p w14:paraId="137CD5E7">
            <w:pPr>
              <w:adjustRightInd w:val="0"/>
              <w:snapToGrid w:val="0"/>
              <w:jc w:val="center"/>
              <w:rPr>
                <w:rFonts w:asciiTheme="minorEastAsia" w:hAnsiTheme="minorEastAsia" w:eastAsiaTheme="minorEastAsia"/>
                <w:szCs w:val="21"/>
              </w:rPr>
            </w:pPr>
          </w:p>
        </w:tc>
        <w:tc>
          <w:tcPr>
            <w:tcW w:w="1359" w:type="dxa"/>
            <w:vMerge w:val="continue"/>
            <w:vAlign w:val="center"/>
          </w:tcPr>
          <w:p w14:paraId="6F3D1F40">
            <w:pPr>
              <w:adjustRightInd w:val="0"/>
              <w:snapToGrid w:val="0"/>
              <w:jc w:val="center"/>
              <w:rPr>
                <w:rFonts w:asciiTheme="minorEastAsia" w:hAnsiTheme="minorEastAsia" w:eastAsiaTheme="minorEastAsia"/>
                <w:szCs w:val="21"/>
              </w:rPr>
            </w:pPr>
          </w:p>
        </w:tc>
        <w:tc>
          <w:tcPr>
            <w:tcW w:w="1003" w:type="dxa"/>
            <w:vMerge w:val="continue"/>
            <w:vAlign w:val="center"/>
          </w:tcPr>
          <w:p w14:paraId="7799073D">
            <w:pPr>
              <w:adjustRightInd w:val="0"/>
              <w:snapToGrid w:val="0"/>
              <w:jc w:val="center"/>
              <w:rPr>
                <w:rFonts w:asciiTheme="minorEastAsia" w:hAnsiTheme="minorEastAsia" w:eastAsiaTheme="minorEastAsia"/>
                <w:szCs w:val="21"/>
              </w:rPr>
            </w:pPr>
          </w:p>
        </w:tc>
        <w:tc>
          <w:tcPr>
            <w:tcW w:w="1508" w:type="dxa"/>
            <w:vMerge w:val="continue"/>
            <w:vAlign w:val="center"/>
          </w:tcPr>
          <w:p w14:paraId="5B8A918F">
            <w:pPr>
              <w:adjustRightInd w:val="0"/>
              <w:snapToGrid w:val="0"/>
              <w:jc w:val="center"/>
              <w:rPr>
                <w:rFonts w:asciiTheme="minorEastAsia" w:hAnsiTheme="minorEastAsia" w:eastAsiaTheme="minorEastAsia"/>
                <w:szCs w:val="21"/>
              </w:rPr>
            </w:pPr>
          </w:p>
        </w:tc>
        <w:tc>
          <w:tcPr>
            <w:tcW w:w="1010" w:type="dxa"/>
            <w:vMerge w:val="continue"/>
            <w:vAlign w:val="center"/>
          </w:tcPr>
          <w:p w14:paraId="0C941941">
            <w:pPr>
              <w:adjustRightInd w:val="0"/>
              <w:snapToGrid w:val="0"/>
              <w:jc w:val="center"/>
              <w:rPr>
                <w:rFonts w:asciiTheme="minorEastAsia" w:hAnsiTheme="minorEastAsia" w:eastAsiaTheme="minorEastAsia"/>
                <w:szCs w:val="21"/>
              </w:rPr>
            </w:pPr>
          </w:p>
        </w:tc>
        <w:tc>
          <w:tcPr>
            <w:tcW w:w="1006" w:type="dxa"/>
            <w:vAlign w:val="center"/>
          </w:tcPr>
          <w:p w14:paraId="345C57EC">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003" w:type="dxa"/>
            <w:vAlign w:val="center"/>
          </w:tcPr>
          <w:p w14:paraId="4DC8335A">
            <w:pPr>
              <w:adjustRightInd w:val="0"/>
              <w:snapToGrid w:val="0"/>
              <w:jc w:val="center"/>
              <w:rPr>
                <w:rFonts w:asciiTheme="minorEastAsia" w:hAnsiTheme="minorEastAsia" w:eastAsiaTheme="minorEastAsia"/>
                <w:szCs w:val="21"/>
              </w:rPr>
            </w:pPr>
          </w:p>
        </w:tc>
        <w:tc>
          <w:tcPr>
            <w:tcW w:w="998" w:type="dxa"/>
            <w:vAlign w:val="center"/>
          </w:tcPr>
          <w:p w14:paraId="1E8A5582">
            <w:pPr>
              <w:adjustRightInd w:val="0"/>
              <w:snapToGrid w:val="0"/>
              <w:jc w:val="center"/>
              <w:rPr>
                <w:rFonts w:asciiTheme="minorEastAsia" w:hAnsiTheme="minorEastAsia" w:eastAsiaTheme="minorEastAsia"/>
                <w:szCs w:val="21"/>
              </w:rPr>
            </w:pPr>
          </w:p>
        </w:tc>
      </w:tr>
      <w:tr w14:paraId="69B5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continue"/>
            <w:vAlign w:val="center"/>
          </w:tcPr>
          <w:p w14:paraId="4CF7BEBC">
            <w:pPr>
              <w:adjustRightInd w:val="0"/>
              <w:snapToGrid w:val="0"/>
              <w:jc w:val="center"/>
              <w:rPr>
                <w:rFonts w:asciiTheme="minorEastAsia" w:hAnsiTheme="minorEastAsia" w:eastAsiaTheme="minorEastAsia"/>
                <w:szCs w:val="21"/>
              </w:rPr>
            </w:pPr>
          </w:p>
        </w:tc>
        <w:tc>
          <w:tcPr>
            <w:tcW w:w="1359" w:type="dxa"/>
            <w:vMerge w:val="continue"/>
            <w:vAlign w:val="center"/>
          </w:tcPr>
          <w:p w14:paraId="757D8821">
            <w:pPr>
              <w:adjustRightInd w:val="0"/>
              <w:snapToGrid w:val="0"/>
              <w:jc w:val="center"/>
              <w:rPr>
                <w:rFonts w:asciiTheme="minorEastAsia" w:hAnsiTheme="minorEastAsia" w:eastAsiaTheme="minorEastAsia"/>
                <w:szCs w:val="21"/>
              </w:rPr>
            </w:pPr>
          </w:p>
        </w:tc>
        <w:tc>
          <w:tcPr>
            <w:tcW w:w="1003" w:type="dxa"/>
            <w:vMerge w:val="continue"/>
            <w:vAlign w:val="center"/>
          </w:tcPr>
          <w:p w14:paraId="5ECEB543">
            <w:pPr>
              <w:adjustRightInd w:val="0"/>
              <w:snapToGrid w:val="0"/>
              <w:jc w:val="center"/>
              <w:rPr>
                <w:rFonts w:asciiTheme="minorEastAsia" w:hAnsiTheme="minorEastAsia" w:eastAsiaTheme="minorEastAsia"/>
                <w:szCs w:val="21"/>
              </w:rPr>
            </w:pPr>
          </w:p>
        </w:tc>
        <w:tc>
          <w:tcPr>
            <w:tcW w:w="1508" w:type="dxa"/>
            <w:vMerge w:val="continue"/>
            <w:vAlign w:val="center"/>
          </w:tcPr>
          <w:p w14:paraId="380C8F0B">
            <w:pPr>
              <w:adjustRightInd w:val="0"/>
              <w:snapToGrid w:val="0"/>
              <w:jc w:val="center"/>
              <w:rPr>
                <w:rFonts w:asciiTheme="minorEastAsia" w:hAnsiTheme="minorEastAsia" w:eastAsiaTheme="minorEastAsia"/>
                <w:szCs w:val="21"/>
              </w:rPr>
            </w:pPr>
          </w:p>
        </w:tc>
        <w:tc>
          <w:tcPr>
            <w:tcW w:w="1010" w:type="dxa"/>
            <w:vMerge w:val="continue"/>
            <w:vAlign w:val="center"/>
          </w:tcPr>
          <w:p w14:paraId="5BC6B3DE">
            <w:pPr>
              <w:adjustRightInd w:val="0"/>
              <w:snapToGrid w:val="0"/>
              <w:jc w:val="center"/>
              <w:rPr>
                <w:rFonts w:asciiTheme="minorEastAsia" w:hAnsiTheme="minorEastAsia" w:eastAsiaTheme="minorEastAsia"/>
                <w:szCs w:val="21"/>
              </w:rPr>
            </w:pPr>
          </w:p>
        </w:tc>
        <w:tc>
          <w:tcPr>
            <w:tcW w:w="1006" w:type="dxa"/>
            <w:vAlign w:val="center"/>
          </w:tcPr>
          <w:p w14:paraId="3698ECED">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1003" w:type="dxa"/>
            <w:vAlign w:val="center"/>
          </w:tcPr>
          <w:p w14:paraId="615597E5">
            <w:pPr>
              <w:adjustRightInd w:val="0"/>
              <w:snapToGrid w:val="0"/>
              <w:jc w:val="center"/>
              <w:rPr>
                <w:rFonts w:asciiTheme="minorEastAsia" w:hAnsiTheme="minorEastAsia" w:eastAsiaTheme="minorEastAsia"/>
                <w:szCs w:val="21"/>
              </w:rPr>
            </w:pPr>
          </w:p>
        </w:tc>
        <w:tc>
          <w:tcPr>
            <w:tcW w:w="998" w:type="dxa"/>
            <w:vAlign w:val="center"/>
          </w:tcPr>
          <w:p w14:paraId="421BC437">
            <w:pPr>
              <w:adjustRightInd w:val="0"/>
              <w:snapToGrid w:val="0"/>
              <w:jc w:val="center"/>
              <w:rPr>
                <w:rFonts w:asciiTheme="minorEastAsia" w:hAnsiTheme="minorEastAsia" w:eastAsiaTheme="minorEastAsia"/>
                <w:szCs w:val="21"/>
              </w:rPr>
            </w:pPr>
          </w:p>
        </w:tc>
      </w:tr>
      <w:tr w14:paraId="52FF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continue"/>
            <w:vAlign w:val="center"/>
          </w:tcPr>
          <w:p w14:paraId="052799C7">
            <w:pPr>
              <w:adjustRightInd w:val="0"/>
              <w:snapToGrid w:val="0"/>
              <w:jc w:val="center"/>
              <w:rPr>
                <w:rFonts w:asciiTheme="minorEastAsia" w:hAnsiTheme="minorEastAsia" w:eastAsiaTheme="minorEastAsia"/>
                <w:szCs w:val="21"/>
              </w:rPr>
            </w:pPr>
          </w:p>
        </w:tc>
        <w:tc>
          <w:tcPr>
            <w:tcW w:w="1359" w:type="dxa"/>
            <w:vMerge w:val="continue"/>
            <w:vAlign w:val="center"/>
          </w:tcPr>
          <w:p w14:paraId="4164BEE6">
            <w:pPr>
              <w:adjustRightInd w:val="0"/>
              <w:snapToGrid w:val="0"/>
              <w:jc w:val="center"/>
              <w:rPr>
                <w:rFonts w:asciiTheme="minorEastAsia" w:hAnsiTheme="minorEastAsia" w:eastAsiaTheme="minorEastAsia"/>
                <w:szCs w:val="21"/>
              </w:rPr>
            </w:pPr>
          </w:p>
        </w:tc>
        <w:tc>
          <w:tcPr>
            <w:tcW w:w="1003" w:type="dxa"/>
            <w:vMerge w:val="continue"/>
            <w:vAlign w:val="center"/>
          </w:tcPr>
          <w:p w14:paraId="088739EB">
            <w:pPr>
              <w:adjustRightInd w:val="0"/>
              <w:snapToGrid w:val="0"/>
              <w:jc w:val="center"/>
              <w:rPr>
                <w:rFonts w:asciiTheme="minorEastAsia" w:hAnsiTheme="minorEastAsia" w:eastAsiaTheme="minorEastAsia"/>
                <w:szCs w:val="21"/>
              </w:rPr>
            </w:pPr>
          </w:p>
        </w:tc>
        <w:tc>
          <w:tcPr>
            <w:tcW w:w="1508" w:type="dxa"/>
            <w:vMerge w:val="continue"/>
            <w:vAlign w:val="center"/>
          </w:tcPr>
          <w:p w14:paraId="6CEF63F2">
            <w:pPr>
              <w:adjustRightInd w:val="0"/>
              <w:snapToGrid w:val="0"/>
              <w:jc w:val="center"/>
              <w:rPr>
                <w:rFonts w:asciiTheme="minorEastAsia" w:hAnsiTheme="minorEastAsia" w:eastAsiaTheme="minorEastAsia"/>
                <w:szCs w:val="21"/>
              </w:rPr>
            </w:pPr>
          </w:p>
        </w:tc>
        <w:tc>
          <w:tcPr>
            <w:tcW w:w="1010" w:type="dxa"/>
            <w:vMerge w:val="continue"/>
            <w:vAlign w:val="center"/>
          </w:tcPr>
          <w:p w14:paraId="53425399">
            <w:pPr>
              <w:adjustRightInd w:val="0"/>
              <w:snapToGrid w:val="0"/>
              <w:jc w:val="center"/>
              <w:rPr>
                <w:rFonts w:asciiTheme="minorEastAsia" w:hAnsiTheme="minorEastAsia" w:eastAsiaTheme="minorEastAsia"/>
                <w:szCs w:val="21"/>
              </w:rPr>
            </w:pPr>
          </w:p>
        </w:tc>
        <w:tc>
          <w:tcPr>
            <w:tcW w:w="1006" w:type="dxa"/>
            <w:vAlign w:val="center"/>
          </w:tcPr>
          <w:p w14:paraId="055E2AC2">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w:t>
            </w:r>
          </w:p>
        </w:tc>
        <w:tc>
          <w:tcPr>
            <w:tcW w:w="1003" w:type="dxa"/>
            <w:vAlign w:val="center"/>
          </w:tcPr>
          <w:p w14:paraId="6EA703BC">
            <w:pPr>
              <w:adjustRightInd w:val="0"/>
              <w:snapToGrid w:val="0"/>
              <w:jc w:val="center"/>
              <w:rPr>
                <w:rFonts w:asciiTheme="minorEastAsia" w:hAnsiTheme="minorEastAsia" w:eastAsiaTheme="minorEastAsia"/>
                <w:szCs w:val="21"/>
              </w:rPr>
            </w:pPr>
          </w:p>
        </w:tc>
        <w:tc>
          <w:tcPr>
            <w:tcW w:w="998" w:type="dxa"/>
            <w:vAlign w:val="center"/>
          </w:tcPr>
          <w:p w14:paraId="0F2CF31C">
            <w:pPr>
              <w:adjustRightInd w:val="0"/>
              <w:snapToGrid w:val="0"/>
              <w:jc w:val="center"/>
              <w:rPr>
                <w:rFonts w:asciiTheme="minorEastAsia" w:hAnsiTheme="minorEastAsia" w:eastAsiaTheme="minorEastAsia"/>
                <w:szCs w:val="21"/>
              </w:rPr>
            </w:pPr>
          </w:p>
        </w:tc>
      </w:tr>
      <w:tr w14:paraId="6518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restart"/>
            <w:vAlign w:val="center"/>
          </w:tcPr>
          <w:p w14:paraId="7D6DD9F1">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359" w:type="dxa"/>
            <w:vMerge w:val="restart"/>
            <w:vAlign w:val="center"/>
          </w:tcPr>
          <w:p w14:paraId="451CC3DA">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项目总工</w:t>
            </w:r>
          </w:p>
        </w:tc>
        <w:tc>
          <w:tcPr>
            <w:tcW w:w="1003" w:type="dxa"/>
            <w:vMerge w:val="restart"/>
            <w:vAlign w:val="center"/>
          </w:tcPr>
          <w:p w14:paraId="0CBCA210">
            <w:pPr>
              <w:adjustRightInd w:val="0"/>
              <w:snapToGrid w:val="0"/>
              <w:jc w:val="center"/>
              <w:rPr>
                <w:rFonts w:asciiTheme="minorEastAsia" w:hAnsiTheme="minorEastAsia" w:eastAsiaTheme="minorEastAsia"/>
                <w:szCs w:val="21"/>
              </w:rPr>
            </w:pPr>
          </w:p>
        </w:tc>
        <w:tc>
          <w:tcPr>
            <w:tcW w:w="1508" w:type="dxa"/>
            <w:vMerge w:val="restart"/>
            <w:vAlign w:val="center"/>
          </w:tcPr>
          <w:p w14:paraId="2EA04700">
            <w:pPr>
              <w:adjustRightInd w:val="0"/>
              <w:snapToGrid w:val="0"/>
              <w:jc w:val="center"/>
              <w:rPr>
                <w:rFonts w:asciiTheme="minorEastAsia" w:hAnsiTheme="minorEastAsia" w:eastAsiaTheme="minorEastAsia"/>
                <w:szCs w:val="21"/>
              </w:rPr>
            </w:pPr>
          </w:p>
        </w:tc>
        <w:tc>
          <w:tcPr>
            <w:tcW w:w="1010" w:type="dxa"/>
            <w:vMerge w:val="restart"/>
            <w:vAlign w:val="center"/>
          </w:tcPr>
          <w:p w14:paraId="4E93FE55">
            <w:pPr>
              <w:adjustRightInd w:val="0"/>
              <w:snapToGrid w:val="0"/>
              <w:jc w:val="center"/>
              <w:rPr>
                <w:rFonts w:asciiTheme="minorEastAsia" w:hAnsiTheme="minorEastAsia" w:eastAsiaTheme="minorEastAsia"/>
                <w:szCs w:val="21"/>
              </w:rPr>
            </w:pPr>
          </w:p>
        </w:tc>
        <w:tc>
          <w:tcPr>
            <w:tcW w:w="1006" w:type="dxa"/>
            <w:vAlign w:val="center"/>
          </w:tcPr>
          <w:p w14:paraId="5550C666">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1003" w:type="dxa"/>
            <w:vAlign w:val="center"/>
          </w:tcPr>
          <w:p w14:paraId="606B459A">
            <w:pPr>
              <w:adjustRightInd w:val="0"/>
              <w:snapToGrid w:val="0"/>
              <w:jc w:val="center"/>
              <w:rPr>
                <w:rFonts w:asciiTheme="minorEastAsia" w:hAnsiTheme="minorEastAsia" w:eastAsiaTheme="minorEastAsia"/>
                <w:szCs w:val="21"/>
              </w:rPr>
            </w:pPr>
          </w:p>
        </w:tc>
        <w:tc>
          <w:tcPr>
            <w:tcW w:w="998" w:type="dxa"/>
            <w:vAlign w:val="center"/>
          </w:tcPr>
          <w:p w14:paraId="7A0E1C0C">
            <w:pPr>
              <w:adjustRightInd w:val="0"/>
              <w:snapToGrid w:val="0"/>
              <w:jc w:val="center"/>
              <w:rPr>
                <w:rFonts w:asciiTheme="minorEastAsia" w:hAnsiTheme="minorEastAsia" w:eastAsiaTheme="minorEastAsia"/>
                <w:szCs w:val="21"/>
              </w:rPr>
            </w:pPr>
          </w:p>
        </w:tc>
      </w:tr>
      <w:tr w14:paraId="463B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continue"/>
            <w:vAlign w:val="center"/>
          </w:tcPr>
          <w:p w14:paraId="68C196F8">
            <w:pPr>
              <w:adjustRightInd w:val="0"/>
              <w:snapToGrid w:val="0"/>
              <w:jc w:val="center"/>
              <w:rPr>
                <w:rFonts w:asciiTheme="minorEastAsia" w:hAnsiTheme="minorEastAsia" w:eastAsiaTheme="minorEastAsia"/>
                <w:szCs w:val="21"/>
              </w:rPr>
            </w:pPr>
          </w:p>
        </w:tc>
        <w:tc>
          <w:tcPr>
            <w:tcW w:w="1359" w:type="dxa"/>
            <w:vMerge w:val="continue"/>
            <w:vAlign w:val="center"/>
          </w:tcPr>
          <w:p w14:paraId="2BCBC117">
            <w:pPr>
              <w:adjustRightInd w:val="0"/>
              <w:snapToGrid w:val="0"/>
              <w:jc w:val="center"/>
              <w:rPr>
                <w:rFonts w:asciiTheme="minorEastAsia" w:hAnsiTheme="minorEastAsia" w:eastAsiaTheme="minorEastAsia"/>
                <w:szCs w:val="21"/>
              </w:rPr>
            </w:pPr>
          </w:p>
        </w:tc>
        <w:tc>
          <w:tcPr>
            <w:tcW w:w="1003" w:type="dxa"/>
            <w:vMerge w:val="continue"/>
            <w:vAlign w:val="center"/>
          </w:tcPr>
          <w:p w14:paraId="7A9E902F">
            <w:pPr>
              <w:adjustRightInd w:val="0"/>
              <w:snapToGrid w:val="0"/>
              <w:jc w:val="center"/>
              <w:rPr>
                <w:rFonts w:asciiTheme="minorEastAsia" w:hAnsiTheme="minorEastAsia" w:eastAsiaTheme="minorEastAsia"/>
                <w:szCs w:val="21"/>
              </w:rPr>
            </w:pPr>
          </w:p>
        </w:tc>
        <w:tc>
          <w:tcPr>
            <w:tcW w:w="1508" w:type="dxa"/>
            <w:vMerge w:val="continue"/>
            <w:vAlign w:val="center"/>
          </w:tcPr>
          <w:p w14:paraId="5913C94B">
            <w:pPr>
              <w:adjustRightInd w:val="0"/>
              <w:snapToGrid w:val="0"/>
              <w:jc w:val="center"/>
              <w:rPr>
                <w:rFonts w:asciiTheme="minorEastAsia" w:hAnsiTheme="minorEastAsia" w:eastAsiaTheme="minorEastAsia"/>
                <w:szCs w:val="21"/>
              </w:rPr>
            </w:pPr>
          </w:p>
        </w:tc>
        <w:tc>
          <w:tcPr>
            <w:tcW w:w="1010" w:type="dxa"/>
            <w:vMerge w:val="continue"/>
            <w:vAlign w:val="center"/>
          </w:tcPr>
          <w:p w14:paraId="20BD13AC">
            <w:pPr>
              <w:adjustRightInd w:val="0"/>
              <w:snapToGrid w:val="0"/>
              <w:jc w:val="center"/>
              <w:rPr>
                <w:rFonts w:asciiTheme="minorEastAsia" w:hAnsiTheme="minorEastAsia" w:eastAsiaTheme="minorEastAsia"/>
                <w:szCs w:val="21"/>
              </w:rPr>
            </w:pPr>
          </w:p>
        </w:tc>
        <w:tc>
          <w:tcPr>
            <w:tcW w:w="1006" w:type="dxa"/>
            <w:vAlign w:val="center"/>
          </w:tcPr>
          <w:p w14:paraId="3FFD4BD5">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003" w:type="dxa"/>
            <w:vAlign w:val="center"/>
          </w:tcPr>
          <w:p w14:paraId="0CF8FEC9">
            <w:pPr>
              <w:adjustRightInd w:val="0"/>
              <w:snapToGrid w:val="0"/>
              <w:jc w:val="center"/>
              <w:rPr>
                <w:rFonts w:asciiTheme="minorEastAsia" w:hAnsiTheme="minorEastAsia" w:eastAsiaTheme="minorEastAsia"/>
                <w:szCs w:val="21"/>
              </w:rPr>
            </w:pPr>
          </w:p>
        </w:tc>
        <w:tc>
          <w:tcPr>
            <w:tcW w:w="998" w:type="dxa"/>
            <w:vAlign w:val="center"/>
          </w:tcPr>
          <w:p w14:paraId="425553F1">
            <w:pPr>
              <w:adjustRightInd w:val="0"/>
              <w:snapToGrid w:val="0"/>
              <w:jc w:val="center"/>
              <w:rPr>
                <w:rFonts w:asciiTheme="minorEastAsia" w:hAnsiTheme="minorEastAsia" w:eastAsiaTheme="minorEastAsia"/>
                <w:szCs w:val="21"/>
              </w:rPr>
            </w:pPr>
          </w:p>
        </w:tc>
      </w:tr>
      <w:tr w14:paraId="6E71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continue"/>
            <w:vAlign w:val="center"/>
          </w:tcPr>
          <w:p w14:paraId="0835743C">
            <w:pPr>
              <w:adjustRightInd w:val="0"/>
              <w:snapToGrid w:val="0"/>
              <w:jc w:val="center"/>
              <w:rPr>
                <w:rFonts w:asciiTheme="minorEastAsia" w:hAnsiTheme="minorEastAsia" w:eastAsiaTheme="minorEastAsia"/>
                <w:szCs w:val="21"/>
              </w:rPr>
            </w:pPr>
          </w:p>
        </w:tc>
        <w:tc>
          <w:tcPr>
            <w:tcW w:w="1359" w:type="dxa"/>
            <w:vMerge w:val="continue"/>
            <w:vAlign w:val="center"/>
          </w:tcPr>
          <w:p w14:paraId="65A88C53">
            <w:pPr>
              <w:adjustRightInd w:val="0"/>
              <w:snapToGrid w:val="0"/>
              <w:jc w:val="center"/>
              <w:rPr>
                <w:rFonts w:asciiTheme="minorEastAsia" w:hAnsiTheme="minorEastAsia" w:eastAsiaTheme="minorEastAsia"/>
                <w:szCs w:val="21"/>
              </w:rPr>
            </w:pPr>
          </w:p>
        </w:tc>
        <w:tc>
          <w:tcPr>
            <w:tcW w:w="1003" w:type="dxa"/>
            <w:vMerge w:val="continue"/>
            <w:vAlign w:val="center"/>
          </w:tcPr>
          <w:p w14:paraId="079FC1B4">
            <w:pPr>
              <w:adjustRightInd w:val="0"/>
              <w:snapToGrid w:val="0"/>
              <w:jc w:val="center"/>
              <w:rPr>
                <w:rFonts w:asciiTheme="minorEastAsia" w:hAnsiTheme="minorEastAsia" w:eastAsiaTheme="minorEastAsia"/>
                <w:szCs w:val="21"/>
              </w:rPr>
            </w:pPr>
          </w:p>
        </w:tc>
        <w:tc>
          <w:tcPr>
            <w:tcW w:w="1508" w:type="dxa"/>
            <w:vMerge w:val="continue"/>
            <w:vAlign w:val="center"/>
          </w:tcPr>
          <w:p w14:paraId="3A70F13C">
            <w:pPr>
              <w:adjustRightInd w:val="0"/>
              <w:snapToGrid w:val="0"/>
              <w:jc w:val="center"/>
              <w:rPr>
                <w:rFonts w:asciiTheme="minorEastAsia" w:hAnsiTheme="minorEastAsia" w:eastAsiaTheme="minorEastAsia"/>
                <w:szCs w:val="21"/>
              </w:rPr>
            </w:pPr>
          </w:p>
        </w:tc>
        <w:tc>
          <w:tcPr>
            <w:tcW w:w="1010" w:type="dxa"/>
            <w:vMerge w:val="continue"/>
            <w:vAlign w:val="center"/>
          </w:tcPr>
          <w:p w14:paraId="356D7222">
            <w:pPr>
              <w:adjustRightInd w:val="0"/>
              <w:snapToGrid w:val="0"/>
              <w:jc w:val="center"/>
              <w:rPr>
                <w:rFonts w:asciiTheme="minorEastAsia" w:hAnsiTheme="minorEastAsia" w:eastAsiaTheme="minorEastAsia"/>
                <w:szCs w:val="21"/>
              </w:rPr>
            </w:pPr>
          </w:p>
        </w:tc>
        <w:tc>
          <w:tcPr>
            <w:tcW w:w="1006" w:type="dxa"/>
            <w:vAlign w:val="center"/>
          </w:tcPr>
          <w:p w14:paraId="1A13A6FB">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1003" w:type="dxa"/>
            <w:vAlign w:val="center"/>
          </w:tcPr>
          <w:p w14:paraId="65DA9BBC">
            <w:pPr>
              <w:adjustRightInd w:val="0"/>
              <w:snapToGrid w:val="0"/>
              <w:jc w:val="center"/>
              <w:rPr>
                <w:rFonts w:asciiTheme="minorEastAsia" w:hAnsiTheme="minorEastAsia" w:eastAsiaTheme="minorEastAsia"/>
                <w:szCs w:val="21"/>
              </w:rPr>
            </w:pPr>
          </w:p>
        </w:tc>
        <w:tc>
          <w:tcPr>
            <w:tcW w:w="998" w:type="dxa"/>
            <w:vAlign w:val="center"/>
          </w:tcPr>
          <w:p w14:paraId="717AD05C">
            <w:pPr>
              <w:adjustRightInd w:val="0"/>
              <w:snapToGrid w:val="0"/>
              <w:jc w:val="center"/>
              <w:rPr>
                <w:rFonts w:asciiTheme="minorEastAsia" w:hAnsiTheme="minorEastAsia" w:eastAsiaTheme="minorEastAsia"/>
                <w:szCs w:val="21"/>
              </w:rPr>
            </w:pPr>
          </w:p>
        </w:tc>
      </w:tr>
      <w:tr w14:paraId="7EAD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684" w:type="dxa"/>
            <w:vMerge w:val="continue"/>
            <w:vAlign w:val="center"/>
          </w:tcPr>
          <w:p w14:paraId="6F691F50">
            <w:pPr>
              <w:adjustRightInd w:val="0"/>
              <w:snapToGrid w:val="0"/>
              <w:jc w:val="center"/>
              <w:rPr>
                <w:rFonts w:asciiTheme="minorEastAsia" w:hAnsiTheme="minorEastAsia" w:eastAsiaTheme="minorEastAsia"/>
                <w:szCs w:val="21"/>
              </w:rPr>
            </w:pPr>
          </w:p>
        </w:tc>
        <w:tc>
          <w:tcPr>
            <w:tcW w:w="1359" w:type="dxa"/>
            <w:vMerge w:val="continue"/>
            <w:vAlign w:val="center"/>
          </w:tcPr>
          <w:p w14:paraId="5CDA33BD">
            <w:pPr>
              <w:adjustRightInd w:val="0"/>
              <w:snapToGrid w:val="0"/>
              <w:jc w:val="center"/>
              <w:rPr>
                <w:rFonts w:asciiTheme="minorEastAsia" w:hAnsiTheme="minorEastAsia" w:eastAsiaTheme="minorEastAsia"/>
                <w:szCs w:val="21"/>
              </w:rPr>
            </w:pPr>
          </w:p>
        </w:tc>
        <w:tc>
          <w:tcPr>
            <w:tcW w:w="1003" w:type="dxa"/>
            <w:vMerge w:val="continue"/>
            <w:vAlign w:val="center"/>
          </w:tcPr>
          <w:p w14:paraId="0FD40195">
            <w:pPr>
              <w:adjustRightInd w:val="0"/>
              <w:snapToGrid w:val="0"/>
              <w:jc w:val="center"/>
              <w:rPr>
                <w:rFonts w:asciiTheme="minorEastAsia" w:hAnsiTheme="minorEastAsia" w:eastAsiaTheme="minorEastAsia"/>
                <w:szCs w:val="21"/>
              </w:rPr>
            </w:pPr>
          </w:p>
        </w:tc>
        <w:tc>
          <w:tcPr>
            <w:tcW w:w="1508" w:type="dxa"/>
            <w:vMerge w:val="continue"/>
            <w:vAlign w:val="center"/>
          </w:tcPr>
          <w:p w14:paraId="18A8B73E">
            <w:pPr>
              <w:adjustRightInd w:val="0"/>
              <w:snapToGrid w:val="0"/>
              <w:jc w:val="center"/>
              <w:rPr>
                <w:rFonts w:asciiTheme="minorEastAsia" w:hAnsiTheme="minorEastAsia" w:eastAsiaTheme="minorEastAsia"/>
                <w:szCs w:val="21"/>
              </w:rPr>
            </w:pPr>
          </w:p>
        </w:tc>
        <w:tc>
          <w:tcPr>
            <w:tcW w:w="1010" w:type="dxa"/>
            <w:vMerge w:val="continue"/>
            <w:vAlign w:val="center"/>
          </w:tcPr>
          <w:p w14:paraId="6BE3EC00">
            <w:pPr>
              <w:adjustRightInd w:val="0"/>
              <w:snapToGrid w:val="0"/>
              <w:jc w:val="center"/>
              <w:rPr>
                <w:rFonts w:asciiTheme="minorEastAsia" w:hAnsiTheme="minorEastAsia" w:eastAsiaTheme="minorEastAsia"/>
                <w:szCs w:val="21"/>
              </w:rPr>
            </w:pPr>
          </w:p>
        </w:tc>
        <w:tc>
          <w:tcPr>
            <w:tcW w:w="1006" w:type="dxa"/>
            <w:vAlign w:val="center"/>
          </w:tcPr>
          <w:p w14:paraId="0B40B5BE">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w:t>
            </w:r>
          </w:p>
        </w:tc>
        <w:tc>
          <w:tcPr>
            <w:tcW w:w="1003" w:type="dxa"/>
            <w:vAlign w:val="center"/>
          </w:tcPr>
          <w:p w14:paraId="1127FAF7">
            <w:pPr>
              <w:adjustRightInd w:val="0"/>
              <w:snapToGrid w:val="0"/>
              <w:jc w:val="center"/>
              <w:rPr>
                <w:rFonts w:asciiTheme="minorEastAsia" w:hAnsiTheme="minorEastAsia" w:eastAsiaTheme="minorEastAsia"/>
                <w:szCs w:val="21"/>
              </w:rPr>
            </w:pPr>
          </w:p>
        </w:tc>
        <w:tc>
          <w:tcPr>
            <w:tcW w:w="998" w:type="dxa"/>
            <w:vAlign w:val="center"/>
          </w:tcPr>
          <w:p w14:paraId="6B56E589">
            <w:pPr>
              <w:adjustRightInd w:val="0"/>
              <w:snapToGrid w:val="0"/>
              <w:jc w:val="center"/>
              <w:rPr>
                <w:rFonts w:asciiTheme="minorEastAsia" w:hAnsiTheme="minorEastAsia" w:eastAsiaTheme="minorEastAsia"/>
                <w:szCs w:val="21"/>
              </w:rPr>
            </w:pPr>
          </w:p>
        </w:tc>
      </w:tr>
    </w:tbl>
    <w:p w14:paraId="362255DC">
      <w:pPr>
        <w:rPr>
          <w:rFonts w:asciiTheme="minorEastAsia" w:hAnsiTheme="minorEastAsia" w:eastAsiaTheme="minorEastAsia"/>
        </w:rPr>
      </w:pPr>
    </w:p>
    <w:p w14:paraId="7123E4F9">
      <w:pPr>
        <w:jc w:val="center"/>
        <w:rPr>
          <w:rFonts w:asciiTheme="minorEastAsia" w:hAnsiTheme="minorEastAsia" w:eastAsiaTheme="minorEastAsia"/>
          <w:sz w:val="24"/>
        </w:rPr>
      </w:pPr>
      <w:r>
        <w:rPr>
          <w:rFonts w:hint="eastAsia" w:asciiTheme="minorEastAsia" w:hAnsiTheme="minorEastAsia" w:eastAsiaTheme="minorEastAsia"/>
          <w:sz w:val="24"/>
        </w:rPr>
        <w:t>企业业绩信息公示汇总表</w:t>
      </w:r>
    </w:p>
    <w:tbl>
      <w:tblPr>
        <w:tblStyle w:val="39"/>
        <w:tblpPr w:leftFromText="180" w:rightFromText="180" w:vertAnchor="text" w:tblpY="1"/>
        <w:tblOverlap w:val="never"/>
        <w:tblW w:w="8571" w:type="dxa"/>
        <w:tblInd w:w="0" w:type="dxa"/>
        <w:tblLayout w:type="fixed"/>
        <w:tblCellMar>
          <w:top w:w="0" w:type="dxa"/>
          <w:left w:w="0" w:type="dxa"/>
          <w:bottom w:w="0" w:type="dxa"/>
          <w:right w:w="0" w:type="dxa"/>
        </w:tblCellMar>
      </w:tblPr>
      <w:tblGrid>
        <w:gridCol w:w="721"/>
        <w:gridCol w:w="2138"/>
        <w:gridCol w:w="2563"/>
        <w:gridCol w:w="1575"/>
        <w:gridCol w:w="1574"/>
      </w:tblGrid>
      <w:tr w14:paraId="085AD452">
        <w:tblPrEx>
          <w:tblCellMar>
            <w:top w:w="0" w:type="dxa"/>
            <w:left w:w="0" w:type="dxa"/>
            <w:bottom w:w="0" w:type="dxa"/>
            <w:right w:w="0" w:type="dxa"/>
          </w:tblCellMar>
        </w:tblPrEx>
        <w:trPr>
          <w:trHeight w:val="454"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51A18CE6">
            <w:pPr>
              <w:pStyle w:val="95"/>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2138" w:type="dxa"/>
            <w:tcBorders>
              <w:top w:val="single" w:color="000000" w:sz="4" w:space="0"/>
              <w:left w:val="single" w:color="000000" w:sz="4" w:space="0"/>
              <w:bottom w:val="single" w:color="000000" w:sz="4" w:space="0"/>
              <w:right w:val="single" w:color="000000" w:sz="4" w:space="0"/>
            </w:tcBorders>
            <w:vAlign w:val="center"/>
          </w:tcPr>
          <w:p w14:paraId="44CBC6A0">
            <w:pPr>
              <w:pStyle w:val="95"/>
              <w:jc w:val="center"/>
              <w:rPr>
                <w:rFonts w:asciiTheme="minorEastAsia" w:hAnsiTheme="minorEastAsia" w:eastAsiaTheme="minorEastAsia"/>
                <w:szCs w:val="21"/>
              </w:rPr>
            </w:pPr>
            <w:r>
              <w:rPr>
                <w:rFonts w:asciiTheme="minorEastAsia" w:hAnsiTheme="minorEastAsia" w:eastAsiaTheme="minorEastAsia"/>
                <w:szCs w:val="21"/>
              </w:rPr>
              <w:t>项目合同名称</w:t>
            </w:r>
          </w:p>
        </w:tc>
        <w:tc>
          <w:tcPr>
            <w:tcW w:w="2563" w:type="dxa"/>
            <w:tcBorders>
              <w:top w:val="single" w:color="000000" w:sz="4" w:space="0"/>
              <w:left w:val="single" w:color="000000" w:sz="4" w:space="0"/>
              <w:bottom w:val="single" w:color="000000" w:sz="4" w:space="0"/>
              <w:right w:val="single" w:color="000000" w:sz="4" w:space="0"/>
            </w:tcBorders>
            <w:vAlign w:val="center"/>
          </w:tcPr>
          <w:p w14:paraId="5E952D50">
            <w:pPr>
              <w:pStyle w:val="95"/>
              <w:jc w:val="center"/>
              <w:rPr>
                <w:rFonts w:asciiTheme="minorEastAsia" w:hAnsiTheme="minorEastAsia" w:eastAsiaTheme="minorEastAsia"/>
                <w:szCs w:val="21"/>
              </w:rPr>
            </w:pPr>
            <w:r>
              <w:rPr>
                <w:rFonts w:hint="eastAsia" w:asciiTheme="minorEastAsia" w:hAnsiTheme="minorEastAsia" w:eastAsiaTheme="minorEastAsia"/>
                <w:szCs w:val="21"/>
              </w:rPr>
              <w:t>委托人</w:t>
            </w:r>
          </w:p>
        </w:tc>
        <w:tc>
          <w:tcPr>
            <w:tcW w:w="1575" w:type="dxa"/>
            <w:tcBorders>
              <w:top w:val="single" w:color="000000" w:sz="4" w:space="0"/>
              <w:left w:val="single" w:color="000000" w:sz="4" w:space="0"/>
              <w:bottom w:val="single" w:color="000000" w:sz="4" w:space="0"/>
              <w:right w:val="single" w:color="000000" w:sz="4" w:space="0"/>
            </w:tcBorders>
            <w:vAlign w:val="center"/>
          </w:tcPr>
          <w:p w14:paraId="369C5AB3">
            <w:pPr>
              <w:pStyle w:val="95"/>
              <w:jc w:val="center"/>
              <w:rPr>
                <w:rFonts w:asciiTheme="minorEastAsia" w:hAnsiTheme="minorEastAsia" w:eastAsiaTheme="minorEastAsia"/>
                <w:szCs w:val="21"/>
              </w:rPr>
            </w:pPr>
            <w:r>
              <w:rPr>
                <w:rFonts w:asciiTheme="minorEastAsia" w:hAnsiTheme="minorEastAsia" w:eastAsiaTheme="minorEastAsia"/>
                <w:szCs w:val="21"/>
              </w:rPr>
              <w:t>建设地点</w:t>
            </w:r>
          </w:p>
        </w:tc>
        <w:tc>
          <w:tcPr>
            <w:tcW w:w="1574" w:type="dxa"/>
            <w:tcBorders>
              <w:top w:val="single" w:color="000000" w:sz="4" w:space="0"/>
              <w:left w:val="single" w:color="000000" w:sz="4" w:space="0"/>
              <w:bottom w:val="single" w:color="000000" w:sz="4" w:space="0"/>
              <w:right w:val="single" w:color="000000" w:sz="4" w:space="0"/>
            </w:tcBorders>
            <w:vAlign w:val="center"/>
          </w:tcPr>
          <w:p w14:paraId="563191B5">
            <w:pPr>
              <w:pStyle w:val="95"/>
              <w:jc w:val="center"/>
              <w:rPr>
                <w:rFonts w:asciiTheme="minorEastAsia" w:hAnsiTheme="minorEastAsia" w:eastAsiaTheme="minorEastAsia"/>
                <w:szCs w:val="21"/>
              </w:rPr>
            </w:pPr>
            <w:r>
              <w:rPr>
                <w:rFonts w:asciiTheme="minorEastAsia" w:hAnsiTheme="minorEastAsia" w:eastAsiaTheme="minorEastAsia"/>
                <w:szCs w:val="21"/>
              </w:rPr>
              <w:t>交工年月</w:t>
            </w:r>
          </w:p>
        </w:tc>
      </w:tr>
      <w:tr w14:paraId="4A53DB59">
        <w:tblPrEx>
          <w:tblCellMar>
            <w:top w:w="0" w:type="dxa"/>
            <w:left w:w="0" w:type="dxa"/>
            <w:bottom w:w="0" w:type="dxa"/>
            <w:right w:w="0" w:type="dxa"/>
          </w:tblCellMar>
        </w:tblPrEx>
        <w:trPr>
          <w:trHeight w:val="454"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10179C57">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138" w:type="dxa"/>
            <w:tcBorders>
              <w:top w:val="single" w:color="000000" w:sz="4" w:space="0"/>
              <w:left w:val="single" w:color="000000" w:sz="4" w:space="0"/>
              <w:bottom w:val="single" w:color="000000" w:sz="4" w:space="0"/>
              <w:right w:val="single" w:color="000000" w:sz="4" w:space="0"/>
            </w:tcBorders>
            <w:vAlign w:val="center"/>
          </w:tcPr>
          <w:p w14:paraId="7A239DA4">
            <w:pPr>
              <w:jc w:val="center"/>
              <w:rPr>
                <w:rFonts w:asciiTheme="minorEastAsia" w:hAnsiTheme="minorEastAsia" w:eastAsiaTheme="minorEastAsia"/>
                <w:szCs w:val="21"/>
              </w:rPr>
            </w:pPr>
          </w:p>
        </w:tc>
        <w:tc>
          <w:tcPr>
            <w:tcW w:w="2563" w:type="dxa"/>
            <w:tcBorders>
              <w:top w:val="single" w:color="000000" w:sz="4" w:space="0"/>
              <w:left w:val="single" w:color="000000" w:sz="4" w:space="0"/>
              <w:bottom w:val="single" w:color="000000" w:sz="4" w:space="0"/>
              <w:right w:val="single" w:color="000000" w:sz="4" w:space="0"/>
            </w:tcBorders>
            <w:vAlign w:val="center"/>
          </w:tcPr>
          <w:p w14:paraId="398BD933">
            <w:pPr>
              <w:jc w:val="center"/>
              <w:rPr>
                <w:rFonts w:asciiTheme="minorEastAsia" w:hAnsiTheme="minorEastAsia" w:eastAsiaTheme="minorEastAsia"/>
                <w:szCs w:val="21"/>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687EC3DD">
            <w:pPr>
              <w:jc w:val="center"/>
              <w:rPr>
                <w:rFonts w:asciiTheme="minorEastAsia" w:hAnsiTheme="minorEastAsia" w:eastAsiaTheme="minorEastAsia"/>
                <w:szCs w:val="21"/>
              </w:rPr>
            </w:pPr>
          </w:p>
        </w:tc>
        <w:tc>
          <w:tcPr>
            <w:tcW w:w="1574" w:type="dxa"/>
            <w:tcBorders>
              <w:top w:val="single" w:color="000000" w:sz="4" w:space="0"/>
              <w:left w:val="single" w:color="000000" w:sz="4" w:space="0"/>
              <w:bottom w:val="single" w:color="000000" w:sz="4" w:space="0"/>
              <w:right w:val="single" w:color="000000" w:sz="4" w:space="0"/>
            </w:tcBorders>
          </w:tcPr>
          <w:p w14:paraId="24472D14">
            <w:pPr>
              <w:jc w:val="center"/>
              <w:rPr>
                <w:rFonts w:asciiTheme="minorEastAsia" w:hAnsiTheme="minorEastAsia" w:eastAsiaTheme="minorEastAsia"/>
                <w:szCs w:val="21"/>
              </w:rPr>
            </w:pPr>
          </w:p>
        </w:tc>
      </w:tr>
      <w:tr w14:paraId="4555F1A6">
        <w:tblPrEx>
          <w:tblCellMar>
            <w:top w:w="0" w:type="dxa"/>
            <w:left w:w="0" w:type="dxa"/>
            <w:bottom w:w="0" w:type="dxa"/>
            <w:right w:w="0" w:type="dxa"/>
          </w:tblCellMar>
        </w:tblPrEx>
        <w:trPr>
          <w:trHeight w:val="454"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0DA7DC90">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138" w:type="dxa"/>
            <w:tcBorders>
              <w:top w:val="single" w:color="000000" w:sz="4" w:space="0"/>
              <w:left w:val="single" w:color="000000" w:sz="4" w:space="0"/>
              <w:bottom w:val="single" w:color="000000" w:sz="4" w:space="0"/>
              <w:right w:val="single" w:color="000000" w:sz="4" w:space="0"/>
            </w:tcBorders>
            <w:vAlign w:val="center"/>
          </w:tcPr>
          <w:p w14:paraId="5FB69714">
            <w:pPr>
              <w:jc w:val="center"/>
              <w:rPr>
                <w:rFonts w:asciiTheme="minorEastAsia" w:hAnsiTheme="minorEastAsia" w:eastAsiaTheme="minorEastAsia"/>
                <w:szCs w:val="21"/>
              </w:rPr>
            </w:pPr>
          </w:p>
        </w:tc>
        <w:tc>
          <w:tcPr>
            <w:tcW w:w="2563" w:type="dxa"/>
            <w:tcBorders>
              <w:top w:val="single" w:color="000000" w:sz="4" w:space="0"/>
              <w:left w:val="single" w:color="000000" w:sz="4" w:space="0"/>
              <w:bottom w:val="single" w:color="000000" w:sz="4" w:space="0"/>
              <w:right w:val="single" w:color="000000" w:sz="4" w:space="0"/>
            </w:tcBorders>
            <w:vAlign w:val="center"/>
          </w:tcPr>
          <w:p w14:paraId="5CD6095A">
            <w:pPr>
              <w:jc w:val="center"/>
              <w:rPr>
                <w:rFonts w:asciiTheme="minorEastAsia" w:hAnsiTheme="minorEastAsia" w:eastAsiaTheme="minorEastAsia"/>
                <w:szCs w:val="21"/>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64A0023C">
            <w:pPr>
              <w:jc w:val="center"/>
              <w:rPr>
                <w:rFonts w:asciiTheme="minorEastAsia" w:hAnsiTheme="minorEastAsia" w:eastAsiaTheme="minorEastAsia"/>
                <w:szCs w:val="21"/>
              </w:rPr>
            </w:pPr>
          </w:p>
        </w:tc>
        <w:tc>
          <w:tcPr>
            <w:tcW w:w="1574" w:type="dxa"/>
            <w:tcBorders>
              <w:top w:val="single" w:color="000000" w:sz="4" w:space="0"/>
              <w:left w:val="single" w:color="000000" w:sz="4" w:space="0"/>
              <w:bottom w:val="single" w:color="000000" w:sz="4" w:space="0"/>
              <w:right w:val="single" w:color="000000" w:sz="4" w:space="0"/>
            </w:tcBorders>
          </w:tcPr>
          <w:p w14:paraId="4176D8E3">
            <w:pPr>
              <w:jc w:val="center"/>
              <w:rPr>
                <w:rFonts w:asciiTheme="minorEastAsia" w:hAnsiTheme="minorEastAsia" w:eastAsiaTheme="minorEastAsia"/>
                <w:szCs w:val="21"/>
              </w:rPr>
            </w:pPr>
          </w:p>
        </w:tc>
      </w:tr>
      <w:tr w14:paraId="3E1706DB">
        <w:tblPrEx>
          <w:tblCellMar>
            <w:top w:w="0" w:type="dxa"/>
            <w:left w:w="0" w:type="dxa"/>
            <w:bottom w:w="0" w:type="dxa"/>
            <w:right w:w="0" w:type="dxa"/>
          </w:tblCellMar>
        </w:tblPrEx>
        <w:trPr>
          <w:trHeight w:val="454"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78A9799F">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138" w:type="dxa"/>
            <w:tcBorders>
              <w:top w:val="single" w:color="000000" w:sz="4" w:space="0"/>
              <w:left w:val="single" w:color="000000" w:sz="4" w:space="0"/>
              <w:bottom w:val="single" w:color="000000" w:sz="4" w:space="0"/>
              <w:right w:val="single" w:color="000000" w:sz="4" w:space="0"/>
            </w:tcBorders>
            <w:vAlign w:val="center"/>
          </w:tcPr>
          <w:p w14:paraId="596D48E9">
            <w:pPr>
              <w:jc w:val="center"/>
              <w:rPr>
                <w:rFonts w:asciiTheme="minorEastAsia" w:hAnsiTheme="minorEastAsia" w:eastAsiaTheme="minorEastAsia"/>
                <w:szCs w:val="21"/>
              </w:rPr>
            </w:pPr>
          </w:p>
        </w:tc>
        <w:tc>
          <w:tcPr>
            <w:tcW w:w="2563" w:type="dxa"/>
            <w:tcBorders>
              <w:top w:val="single" w:color="000000" w:sz="4" w:space="0"/>
              <w:left w:val="single" w:color="000000" w:sz="4" w:space="0"/>
              <w:bottom w:val="single" w:color="000000" w:sz="4" w:space="0"/>
              <w:right w:val="single" w:color="000000" w:sz="4" w:space="0"/>
            </w:tcBorders>
            <w:vAlign w:val="center"/>
          </w:tcPr>
          <w:p w14:paraId="16A7156F">
            <w:pPr>
              <w:jc w:val="center"/>
              <w:rPr>
                <w:rFonts w:asciiTheme="minorEastAsia" w:hAnsiTheme="minorEastAsia" w:eastAsiaTheme="minorEastAsia"/>
                <w:szCs w:val="21"/>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2A1FFFA6">
            <w:pPr>
              <w:jc w:val="center"/>
              <w:rPr>
                <w:rFonts w:asciiTheme="minorEastAsia" w:hAnsiTheme="minorEastAsia" w:eastAsiaTheme="minorEastAsia"/>
                <w:szCs w:val="21"/>
              </w:rPr>
            </w:pPr>
          </w:p>
        </w:tc>
        <w:tc>
          <w:tcPr>
            <w:tcW w:w="1574" w:type="dxa"/>
            <w:tcBorders>
              <w:top w:val="single" w:color="000000" w:sz="4" w:space="0"/>
              <w:left w:val="single" w:color="000000" w:sz="4" w:space="0"/>
              <w:bottom w:val="single" w:color="000000" w:sz="4" w:space="0"/>
              <w:right w:val="single" w:color="000000" w:sz="4" w:space="0"/>
            </w:tcBorders>
          </w:tcPr>
          <w:p w14:paraId="7B6144D7">
            <w:pPr>
              <w:jc w:val="center"/>
              <w:rPr>
                <w:rFonts w:asciiTheme="minorEastAsia" w:hAnsiTheme="minorEastAsia" w:eastAsiaTheme="minorEastAsia"/>
                <w:szCs w:val="21"/>
              </w:rPr>
            </w:pPr>
          </w:p>
        </w:tc>
      </w:tr>
      <w:tr w14:paraId="37A41BD4">
        <w:tblPrEx>
          <w:tblCellMar>
            <w:top w:w="0" w:type="dxa"/>
            <w:left w:w="0" w:type="dxa"/>
            <w:bottom w:w="0" w:type="dxa"/>
            <w:right w:w="0" w:type="dxa"/>
          </w:tblCellMar>
        </w:tblPrEx>
        <w:trPr>
          <w:trHeight w:val="454" w:hRule="exact"/>
        </w:trPr>
        <w:tc>
          <w:tcPr>
            <w:tcW w:w="721" w:type="dxa"/>
            <w:tcBorders>
              <w:top w:val="single" w:color="000000" w:sz="4" w:space="0"/>
              <w:left w:val="single" w:color="000000" w:sz="4" w:space="0"/>
              <w:bottom w:val="single" w:color="000000" w:sz="4" w:space="0"/>
              <w:right w:val="single" w:color="000000" w:sz="4" w:space="0"/>
            </w:tcBorders>
            <w:vAlign w:val="center"/>
          </w:tcPr>
          <w:p w14:paraId="5D811CEF">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138" w:type="dxa"/>
            <w:tcBorders>
              <w:top w:val="single" w:color="000000" w:sz="4" w:space="0"/>
              <w:left w:val="single" w:color="000000" w:sz="4" w:space="0"/>
              <w:bottom w:val="single" w:color="000000" w:sz="4" w:space="0"/>
              <w:right w:val="single" w:color="000000" w:sz="4" w:space="0"/>
            </w:tcBorders>
            <w:vAlign w:val="center"/>
          </w:tcPr>
          <w:p w14:paraId="139CBEFA">
            <w:pPr>
              <w:jc w:val="center"/>
              <w:rPr>
                <w:rFonts w:asciiTheme="minorEastAsia" w:hAnsiTheme="minorEastAsia" w:eastAsiaTheme="minorEastAsia"/>
                <w:szCs w:val="21"/>
              </w:rPr>
            </w:pPr>
          </w:p>
        </w:tc>
        <w:tc>
          <w:tcPr>
            <w:tcW w:w="2563" w:type="dxa"/>
            <w:tcBorders>
              <w:top w:val="single" w:color="000000" w:sz="4" w:space="0"/>
              <w:left w:val="single" w:color="000000" w:sz="4" w:space="0"/>
              <w:bottom w:val="single" w:color="000000" w:sz="4" w:space="0"/>
              <w:right w:val="single" w:color="000000" w:sz="4" w:space="0"/>
            </w:tcBorders>
            <w:vAlign w:val="center"/>
          </w:tcPr>
          <w:p w14:paraId="4A693EBE">
            <w:pPr>
              <w:jc w:val="center"/>
              <w:rPr>
                <w:rFonts w:asciiTheme="minorEastAsia" w:hAnsiTheme="minorEastAsia" w:eastAsiaTheme="minorEastAsia"/>
                <w:szCs w:val="21"/>
              </w:rPr>
            </w:pPr>
          </w:p>
        </w:tc>
        <w:tc>
          <w:tcPr>
            <w:tcW w:w="1575" w:type="dxa"/>
            <w:tcBorders>
              <w:top w:val="single" w:color="000000" w:sz="4" w:space="0"/>
              <w:left w:val="single" w:color="000000" w:sz="4" w:space="0"/>
              <w:bottom w:val="single" w:color="000000" w:sz="4" w:space="0"/>
              <w:right w:val="single" w:color="000000" w:sz="4" w:space="0"/>
            </w:tcBorders>
            <w:vAlign w:val="center"/>
          </w:tcPr>
          <w:p w14:paraId="39FFFEC0">
            <w:pPr>
              <w:jc w:val="center"/>
              <w:rPr>
                <w:rFonts w:asciiTheme="minorEastAsia" w:hAnsiTheme="minorEastAsia" w:eastAsiaTheme="minorEastAsia"/>
                <w:szCs w:val="21"/>
              </w:rPr>
            </w:pPr>
          </w:p>
        </w:tc>
        <w:tc>
          <w:tcPr>
            <w:tcW w:w="1574" w:type="dxa"/>
            <w:tcBorders>
              <w:top w:val="single" w:color="000000" w:sz="4" w:space="0"/>
              <w:left w:val="single" w:color="000000" w:sz="4" w:space="0"/>
              <w:bottom w:val="single" w:color="000000" w:sz="4" w:space="0"/>
              <w:right w:val="single" w:color="000000" w:sz="4" w:space="0"/>
            </w:tcBorders>
          </w:tcPr>
          <w:p w14:paraId="52A9312A">
            <w:pPr>
              <w:jc w:val="center"/>
              <w:rPr>
                <w:rFonts w:asciiTheme="minorEastAsia" w:hAnsiTheme="minorEastAsia" w:eastAsiaTheme="minorEastAsia"/>
                <w:szCs w:val="21"/>
              </w:rPr>
            </w:pPr>
          </w:p>
        </w:tc>
      </w:tr>
    </w:tbl>
    <w:p w14:paraId="6FEBC2B0">
      <w:pPr>
        <w:rPr>
          <w:rFonts w:asciiTheme="minorEastAsia" w:hAnsiTheme="minorEastAsia" w:eastAsiaTheme="minorEastAsia"/>
        </w:rPr>
      </w:pPr>
    </w:p>
    <w:p w14:paraId="4BC3B0E1">
      <w:pPr>
        <w:rPr>
          <w:rFonts w:asciiTheme="minorEastAsia" w:hAnsiTheme="minorEastAsia" w:eastAsiaTheme="minorEastAsia"/>
        </w:rPr>
      </w:pPr>
      <w:r>
        <w:rPr>
          <w:rFonts w:hint="eastAsia" w:asciiTheme="minorEastAsia" w:hAnsiTheme="minorEastAsia" w:eastAsiaTheme="minorEastAsia"/>
          <w:szCs w:val="21"/>
        </w:rPr>
        <w:t>注：投标人应将《资格审查资料》中所填报的主要人员证书及企业业绩信息在上表中进行汇总，且上表中汇总的人员个人信息、证书信息、以及企业业绩信息必须与《资格审查资料》中所填报的保持一致。</w:t>
      </w:r>
    </w:p>
    <w:p w14:paraId="4D185DF9">
      <w:pPr>
        <w:pStyle w:val="17"/>
        <w:wordWrap w:val="0"/>
        <w:spacing w:after="0" w:line="400" w:lineRule="atLeast"/>
        <w:ind w:left="0" w:leftChars="0"/>
        <w:jc w:val="both"/>
        <w:rPr>
          <w:rFonts w:hint="eastAsia" w:asciiTheme="majorEastAsia" w:hAnsiTheme="majorEastAsia" w:eastAsiaTheme="majorEastAsia"/>
          <w:sz w:val="24"/>
        </w:rPr>
      </w:pPr>
    </w:p>
    <w:p w14:paraId="1FD58317">
      <w:pPr>
        <w:spacing w:line="360" w:lineRule="auto"/>
        <w:ind w:left="2520" w:leftChars="1200" w:firstLine="1920" w:firstLineChars="800"/>
        <w:rPr>
          <w:sz w:val="24"/>
        </w:rPr>
      </w:pPr>
    </w:p>
    <w:p w14:paraId="0852FF0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2050891">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7759E146">
      <w:pPr>
        <w:pageBreakBefore w:val="0"/>
        <w:kinsoku/>
        <w:wordWrap w:val="0"/>
        <w:bidi w:val="0"/>
        <w:spacing w:line="440" w:lineRule="exact"/>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val="en-US" w:eastAsia="zh-CN"/>
        </w:rPr>
        <w:t>施工招标</w:t>
      </w:r>
    </w:p>
    <w:p w14:paraId="1D9A486E">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47C54E32">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5A3CDE21">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35B1C687">
      <w:pPr>
        <w:pStyle w:val="16"/>
        <w:rPr>
          <w:rFonts w:hint="default" w:ascii="Times New Roman" w:hAnsi="Times New Roman" w:eastAsia="黑体" w:cs="Times New Roman"/>
          <w:color w:val="auto"/>
          <w:sz w:val="40"/>
          <w:szCs w:val="40"/>
          <w:highlight w:val="none"/>
        </w:rPr>
      </w:pPr>
    </w:p>
    <w:p w14:paraId="4752992C">
      <w:pPr>
        <w:pStyle w:val="16"/>
        <w:rPr>
          <w:rFonts w:hint="default" w:ascii="Times New Roman" w:hAnsi="Times New Roman" w:eastAsia="黑体" w:cs="Times New Roman"/>
          <w:color w:val="auto"/>
          <w:sz w:val="40"/>
          <w:szCs w:val="40"/>
          <w:highlight w:val="none"/>
        </w:rPr>
      </w:pPr>
    </w:p>
    <w:p w14:paraId="4669CE5E">
      <w:pPr>
        <w:pStyle w:val="16"/>
        <w:rPr>
          <w:rFonts w:hint="default" w:ascii="Times New Roman" w:hAnsi="Times New Roman" w:eastAsia="黑体" w:cs="Times New Roman"/>
          <w:color w:val="auto"/>
          <w:sz w:val="40"/>
          <w:szCs w:val="40"/>
          <w:highlight w:val="none"/>
        </w:rPr>
      </w:pPr>
    </w:p>
    <w:p w14:paraId="6F53962E">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6A3C5243">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黑体" w:cs="Times New Roman"/>
          <w:b w:val="0"/>
          <w:color w:val="auto"/>
          <w:sz w:val="72"/>
          <w:szCs w:val="72"/>
          <w:highlight w:val="none"/>
        </w:rPr>
      </w:pPr>
      <w:bookmarkStart w:id="2017" w:name="_Toc11826"/>
      <w:bookmarkStart w:id="2018" w:name="_Toc25715"/>
      <w:bookmarkStart w:id="2019" w:name="_Toc9419"/>
      <w:r>
        <w:rPr>
          <w:rFonts w:hint="default" w:ascii="Times New Roman" w:hAnsi="Times New Roman" w:eastAsia="黑体" w:cs="Times New Roman"/>
          <w:b w:val="0"/>
          <w:color w:val="auto"/>
          <w:sz w:val="72"/>
          <w:szCs w:val="72"/>
          <w:highlight w:val="none"/>
        </w:rPr>
        <w:t>投  标  文  件</w:t>
      </w:r>
      <w:bookmarkEnd w:id="2017"/>
      <w:bookmarkEnd w:id="2018"/>
      <w:bookmarkEnd w:id="2019"/>
    </w:p>
    <w:p w14:paraId="38EE1068">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黑体" w:cs="Times New Roman"/>
          <w:b w:val="0"/>
          <w:color w:val="auto"/>
          <w:sz w:val="30"/>
          <w:szCs w:val="30"/>
          <w:highlight w:val="none"/>
        </w:rPr>
      </w:pPr>
      <w:bookmarkStart w:id="2020" w:name="_Toc16866"/>
      <w:bookmarkStart w:id="2021" w:name="_Toc5781"/>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第二个信封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报价文件）</w:t>
      </w:r>
      <w:bookmarkEnd w:id="2020"/>
      <w:bookmarkEnd w:id="2021"/>
    </w:p>
    <w:p w14:paraId="14253E4F">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52B50469">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2B16E99D">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DEDCCE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902662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FFBEE5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CFAC73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29D6A6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F22918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EDB125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690AFE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6AF2761E">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03ADA251">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296B2360">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br w:type="page"/>
      </w:r>
    </w:p>
    <w:p w14:paraId="398C72D6">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p>
    <w:p w14:paraId="584BC0A6">
      <w:pPr>
        <w:pageBreakBefore w:val="0"/>
        <w:kinsoku/>
        <w:wordWrap w:val="0"/>
        <w:bidi w:val="0"/>
        <w:spacing w:line="440" w:lineRule="exact"/>
        <w:ind w:firstLine="151" w:firstLineChars="50"/>
        <w:jc w:val="center"/>
        <w:rPr>
          <w:rFonts w:hint="default" w:ascii="Times New Roman" w:hAnsi="Times New Roman" w:eastAsia="黑体" w:cs="Times New Roman"/>
          <w:b/>
          <w:color w:val="auto"/>
          <w:sz w:val="30"/>
          <w:szCs w:val="30"/>
          <w:highlight w:val="none"/>
        </w:rPr>
      </w:pPr>
      <w:r>
        <w:rPr>
          <w:rFonts w:hint="default" w:ascii="Times New Roman" w:hAnsi="Times New Roman" w:eastAsia="黑体" w:cs="Times New Roman"/>
          <w:b/>
          <w:color w:val="auto"/>
          <w:sz w:val="30"/>
          <w:szCs w:val="30"/>
          <w:highlight w:val="none"/>
        </w:rPr>
        <w:t>目     录</w:t>
      </w:r>
    </w:p>
    <w:p w14:paraId="55F12CD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16F815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w:t>
      </w:r>
    </w:p>
    <w:p w14:paraId="68FBF419">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二、已标价工程量清单</w:t>
      </w:r>
    </w:p>
    <w:p w14:paraId="07E6AEA6">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三、合同用款估算表</w:t>
      </w:r>
    </w:p>
    <w:p w14:paraId="590E563F">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p>
    <w:p w14:paraId="41C20B9F">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46BD397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0C8D1E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867305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9448AE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27CE3E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AF0016D">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1843EB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1E11A2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62706B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2FC10E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64D629D">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7304B0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5A228D2">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1524C8CB">
      <w:pPr>
        <w:pStyle w:val="2"/>
        <w:pageBreakBefore w:val="0"/>
        <w:kinsoku/>
        <w:wordWrap w:val="0"/>
        <w:bidi w:val="0"/>
        <w:spacing w:before="0" w:after="0" w:line="400" w:lineRule="atLeast"/>
        <w:jc w:val="center"/>
        <w:outlineLvl w:val="1"/>
        <w:rPr>
          <w:rFonts w:hint="default" w:ascii="Times New Roman" w:hAnsi="Times New Roman" w:eastAsia="黑体" w:cs="Times New Roman"/>
          <w:b w:val="0"/>
          <w:color w:val="auto"/>
          <w:sz w:val="30"/>
          <w:szCs w:val="30"/>
          <w:highlight w:val="none"/>
        </w:rPr>
      </w:pPr>
      <w:bookmarkStart w:id="2022" w:name="_Toc29275"/>
      <w:bookmarkStart w:id="2023" w:name="_Toc9512"/>
      <w:bookmarkStart w:id="2024" w:name="_Toc13802"/>
      <w:r>
        <w:rPr>
          <w:rFonts w:hint="default" w:ascii="Times New Roman" w:hAnsi="Times New Roman" w:eastAsia="黑体" w:cs="Times New Roman"/>
          <w:b w:val="0"/>
          <w:color w:val="auto"/>
          <w:sz w:val="30"/>
          <w:szCs w:val="30"/>
          <w:highlight w:val="none"/>
        </w:rPr>
        <w:t>一、投标函</w:t>
      </w:r>
      <w:bookmarkEnd w:id="2022"/>
      <w:bookmarkEnd w:id="2023"/>
      <w:bookmarkEnd w:id="2024"/>
    </w:p>
    <w:p w14:paraId="7CE336AA">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color w:val="auto"/>
          <w:sz w:val="28"/>
          <w:szCs w:val="28"/>
          <w:highlight w:val="none"/>
        </w:rPr>
      </w:pPr>
    </w:p>
    <w:p w14:paraId="5533C437">
      <w:pPr>
        <w:pageBreakBefore w:val="0"/>
        <w:kinsoku/>
        <w:wordWrap w:val="0"/>
        <w:bidi w:val="0"/>
        <w:spacing w:before="240" w:beforeLines="100" w:after="120" w:afterLines="5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42C24F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标段名称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施工招标文件的全部内容（含补遗书第___号至第___号），在考察工程现场后，愿意以人民币（大写）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）的投标总报价（或根据招标文件规定修正核实后确定的另一金额，其中，增值税税率为</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），按合同约定实施和完成承包工程，修补工程中的任何缺陷。</w:t>
      </w:r>
    </w:p>
    <w:p w14:paraId="2F88E7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2．在合同协议书正式签署生效之前，本投标函连同你方的中标通知书将构成我们双方之间共同遵守的文件，对双方具有约束力。</w:t>
      </w:r>
    </w:p>
    <w:p w14:paraId="4ACB4D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273BC0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37A7F67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3FEA7F3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4991B056">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28D614B5">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p>
    <w:p w14:paraId="208B90D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5E82BFAA">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48F086D2">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p>
    <w:p w14:paraId="289DC5A2">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p>
    <w:p w14:paraId="07338102">
      <w:pPr>
        <w:pageBreakBefore w:val="0"/>
        <w:kinsoku/>
        <w:wordWrap w:val="0"/>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rPr>
        <w:br w:type="page"/>
      </w:r>
    </w:p>
    <w:p w14:paraId="164F4723">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rPr>
      </w:pPr>
      <w:bookmarkStart w:id="2025" w:name="_Toc27163"/>
      <w:bookmarkStart w:id="2026" w:name="_Toc14806"/>
      <w:bookmarkStart w:id="2027" w:name="_Toc9477"/>
      <w:bookmarkStart w:id="2028" w:name="_Toc234833263"/>
      <w:r>
        <w:rPr>
          <w:rFonts w:hint="default" w:ascii="Times New Roman" w:hAnsi="Times New Roman" w:eastAsia="黑体" w:cs="Times New Roman"/>
          <w:b w:val="0"/>
          <w:color w:val="auto"/>
          <w:sz w:val="28"/>
          <w:szCs w:val="28"/>
          <w:highlight w:val="none"/>
        </w:rPr>
        <w:t>二、已标价工程量清单</w:t>
      </w:r>
      <w:bookmarkEnd w:id="2025"/>
      <w:bookmarkEnd w:id="2026"/>
      <w:bookmarkEnd w:id="2027"/>
      <w:bookmarkEnd w:id="2028"/>
    </w:p>
    <w:p w14:paraId="406A6F62">
      <w:pPr>
        <w:pageBreakBefore w:val="0"/>
        <w:kinsoku/>
        <w:wordWrap w:val="0"/>
        <w:bidi w:val="0"/>
        <w:spacing w:line="440" w:lineRule="exact"/>
        <w:rPr>
          <w:rFonts w:hint="default" w:ascii="Times New Roman" w:hAnsi="Times New Roman" w:eastAsia="黑体" w:cs="Times New Roman"/>
          <w:color w:val="auto"/>
          <w:sz w:val="24"/>
          <w:highlight w:val="none"/>
        </w:rPr>
      </w:pPr>
    </w:p>
    <w:p w14:paraId="61ABA328">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投标人应按照第五章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的要求逐项填报工程量清单，包括工程量清单说明、投标报价说明、计日工说明、其他说明及工程量清单各项表格（工程量清单表5.1～表5.5）。</w:t>
      </w:r>
    </w:p>
    <w:p w14:paraId="3F49E51D">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2029" w:name="_Toc6563"/>
      <w:bookmarkStart w:id="2030" w:name="_Toc933"/>
      <w:bookmarkStart w:id="2031" w:name="_Toc25809"/>
      <w:bookmarkStart w:id="2032" w:name="_Toc234833274"/>
      <w:r>
        <w:rPr>
          <w:rFonts w:hint="default" w:ascii="Times New Roman" w:hAnsi="Times New Roman" w:eastAsia="黑体" w:cs="Times New Roman"/>
          <w:b w:val="0"/>
          <w:color w:val="auto"/>
          <w:sz w:val="28"/>
          <w:szCs w:val="28"/>
          <w:highlight w:val="none"/>
        </w:rPr>
        <w:t>三、合同用款估算表</w:t>
      </w:r>
      <w:bookmarkEnd w:id="2029"/>
      <w:bookmarkEnd w:id="2030"/>
      <w:bookmarkEnd w:id="2031"/>
      <w:bookmarkEnd w:id="2032"/>
    </w:p>
    <w:p w14:paraId="1399C445">
      <w:pPr>
        <w:pStyle w:val="80"/>
        <w:pageBreakBefore w:val="0"/>
        <w:kinsoku/>
        <w:wordWrap w:val="0"/>
        <w:bidi w:val="0"/>
        <w:snapToGrid w:val="0"/>
        <w:spacing w:before="0" w:after="0" w:line="400" w:lineRule="atLeast"/>
        <w:jc w:val="center"/>
        <w:rPr>
          <w:rFonts w:hint="default" w:ascii="Times New Roman" w:hAnsi="Times New Roman" w:cs="Times New Roman"/>
          <w:b w:val="0"/>
          <w:color w:val="auto"/>
          <w:highlight w:val="none"/>
        </w:rPr>
      </w:pPr>
    </w:p>
    <w:tbl>
      <w:tblPr>
        <w:tblStyle w:val="3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3C73F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05D8AC1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从开工月算起的时间</w:t>
            </w:r>
          </w:p>
          <w:p w14:paraId="7076F04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（月）</w:t>
            </w:r>
          </w:p>
        </w:tc>
        <w:tc>
          <w:tcPr>
            <w:tcW w:w="6191" w:type="dxa"/>
            <w:gridSpan w:val="4"/>
            <w:tcBorders>
              <w:left w:val="single" w:color="auto" w:sz="6" w:space="0"/>
            </w:tcBorders>
            <w:noWrap w:val="0"/>
            <w:vAlign w:val="center"/>
          </w:tcPr>
          <w:p w14:paraId="389299F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投标人的估算</w:t>
            </w:r>
          </w:p>
        </w:tc>
      </w:tr>
      <w:tr w14:paraId="2562D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79E1105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1B09BB8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     期</w:t>
            </w:r>
          </w:p>
        </w:tc>
        <w:tc>
          <w:tcPr>
            <w:tcW w:w="3096" w:type="dxa"/>
            <w:gridSpan w:val="2"/>
            <w:tcBorders>
              <w:left w:val="single" w:color="auto" w:sz="6" w:space="0"/>
            </w:tcBorders>
            <w:noWrap w:val="0"/>
            <w:vAlign w:val="center"/>
          </w:tcPr>
          <w:p w14:paraId="59666A5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累     计</w:t>
            </w:r>
          </w:p>
        </w:tc>
      </w:tr>
      <w:tr w14:paraId="7DD3D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2AE4685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tcBorders>
              <w:top w:val="single" w:color="auto" w:sz="6" w:space="0"/>
              <w:left w:val="single" w:color="auto" w:sz="6" w:space="0"/>
            </w:tcBorders>
            <w:noWrap w:val="0"/>
            <w:vAlign w:val="center"/>
          </w:tcPr>
          <w:p w14:paraId="17DFF8B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tcBorders>
              <w:top w:val="single" w:color="auto" w:sz="6" w:space="0"/>
            </w:tcBorders>
            <w:noWrap w:val="0"/>
            <w:vAlign w:val="center"/>
          </w:tcPr>
          <w:p w14:paraId="7533B73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8" w:type="dxa"/>
            <w:noWrap w:val="0"/>
            <w:vAlign w:val="center"/>
          </w:tcPr>
          <w:p w14:paraId="54FB869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noWrap w:val="0"/>
            <w:vAlign w:val="center"/>
          </w:tcPr>
          <w:p w14:paraId="3BDDADF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4A0BA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01469E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第一次开工预付款</w:t>
            </w:r>
          </w:p>
        </w:tc>
        <w:tc>
          <w:tcPr>
            <w:tcW w:w="1547" w:type="dxa"/>
            <w:noWrap w:val="0"/>
            <w:vAlign w:val="center"/>
          </w:tcPr>
          <w:p w14:paraId="3A4A62C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621374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3C93EB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F55ADE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1A9F6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45987BD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 3</w:t>
            </w:r>
          </w:p>
        </w:tc>
        <w:tc>
          <w:tcPr>
            <w:tcW w:w="1547" w:type="dxa"/>
            <w:noWrap w:val="0"/>
            <w:vAlign w:val="center"/>
          </w:tcPr>
          <w:p w14:paraId="6D6963D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5B9457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71DAE6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B80B8B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02FD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48C4DA2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 6</w:t>
            </w:r>
          </w:p>
        </w:tc>
        <w:tc>
          <w:tcPr>
            <w:tcW w:w="1547" w:type="dxa"/>
            <w:noWrap w:val="0"/>
            <w:vAlign w:val="center"/>
          </w:tcPr>
          <w:p w14:paraId="66AD55D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5F0844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1EF77E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D07CCF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0A9E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09B9D2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 9</w:t>
            </w:r>
          </w:p>
        </w:tc>
        <w:tc>
          <w:tcPr>
            <w:tcW w:w="1547" w:type="dxa"/>
            <w:noWrap w:val="0"/>
            <w:vAlign w:val="center"/>
          </w:tcPr>
          <w:p w14:paraId="5300E13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0230F6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47D4B2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1E0790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71424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4EA382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 12</w:t>
            </w:r>
          </w:p>
        </w:tc>
        <w:tc>
          <w:tcPr>
            <w:tcW w:w="1547" w:type="dxa"/>
            <w:noWrap w:val="0"/>
            <w:vAlign w:val="center"/>
          </w:tcPr>
          <w:p w14:paraId="010DABE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B613D8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0E42A5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FFFC9C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00D34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56F3CEA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 ~ 15</w:t>
            </w:r>
          </w:p>
        </w:tc>
        <w:tc>
          <w:tcPr>
            <w:tcW w:w="1547" w:type="dxa"/>
            <w:noWrap w:val="0"/>
            <w:vAlign w:val="center"/>
          </w:tcPr>
          <w:p w14:paraId="260335E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E7C226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876C95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D44E5C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CDE9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3A706E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4F4363C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9D7C90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6A1AA3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8C7312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7577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A950BB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12C8181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902B9F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79836B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F49C21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AEE2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21F6A5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noWrap w:val="0"/>
            <w:vAlign w:val="center"/>
          </w:tcPr>
          <w:p w14:paraId="45FAEDF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D64F67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B255DA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DF32FC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0B761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8E36CE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547" w:type="dxa"/>
            <w:noWrap w:val="0"/>
            <w:vAlign w:val="center"/>
          </w:tcPr>
          <w:p w14:paraId="3242A3F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F79A9D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3F60AF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232C95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00600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7878DE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      计</w:t>
            </w:r>
          </w:p>
        </w:tc>
        <w:tc>
          <w:tcPr>
            <w:tcW w:w="1547" w:type="dxa"/>
            <w:noWrap w:val="0"/>
            <w:vAlign w:val="center"/>
          </w:tcPr>
          <w:p w14:paraId="15FA666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4D96D5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100.00</w:t>
            </w:r>
          </w:p>
        </w:tc>
        <w:tc>
          <w:tcPr>
            <w:tcW w:w="1548" w:type="dxa"/>
            <w:noWrap w:val="0"/>
            <w:vAlign w:val="center"/>
          </w:tcPr>
          <w:p w14:paraId="338B31E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75C186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729C9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38D7E11F">
            <w:pPr>
              <w:pStyle w:val="26"/>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投标价：</w:t>
            </w:r>
          </w:p>
        </w:tc>
      </w:tr>
      <w:tr w14:paraId="3A223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5108358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w:t>
            </w:r>
          </w:p>
          <w:p w14:paraId="1B7DE155">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3B77BB9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4E45BF2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65117BF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明</w:t>
            </w:r>
          </w:p>
        </w:tc>
        <w:tc>
          <w:tcPr>
            <w:tcW w:w="8216" w:type="dxa"/>
            <w:gridSpan w:val="5"/>
            <w:noWrap w:val="0"/>
            <w:vAlign w:val="center"/>
          </w:tcPr>
          <w:p w14:paraId="5AC97E3F">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756E5A8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16C10FA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tc>
      </w:tr>
    </w:tbl>
    <w:p w14:paraId="1CCBA73A">
      <w:pPr>
        <w:pageBreakBefore w:val="0"/>
        <w:kinsoku/>
        <w:wordWrap w:val="0"/>
        <w:bidi w:val="0"/>
        <w:snapToGrid w:val="0"/>
        <w:spacing w:line="340" w:lineRule="atLeast"/>
        <w:ind w:left="894" w:leftChars="100" w:hanging="684" w:hangingChars="32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注：1.投标人可按工程进度估算并填写本表。</w:t>
      </w:r>
    </w:p>
    <w:p w14:paraId="09B18DA7">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2.用款额按所报单价和总额价估算，不包括价格调整和暂列金额、暂估价，但应考虑开工预付款的扣回以及签发付款证书后到实际支付的时间间隔。</w:t>
      </w:r>
    </w:p>
    <w:p w14:paraId="7D75B0D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3BB56B7-0029-4C8B-91D1-5F7E9BBAB4CD}"/>
  </w:font>
  <w:font w:name="黑体">
    <w:panose1 w:val="02010609060101010101"/>
    <w:charset w:val="86"/>
    <w:family w:val="auto"/>
    <w:pitch w:val="default"/>
    <w:sig w:usb0="800002BF" w:usb1="38CF7CFA" w:usb2="00000016" w:usb3="00000000" w:csb0="00040001" w:csb1="00000000"/>
    <w:embedRegular r:id="rId2" w:fontKey="{DBDC5E4A-2F72-46F7-9564-7415529C47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7AB6BDA2-0F95-4360-A34C-CCCF9DACDA5A}"/>
  </w:font>
  <w:font w:name="Calibri">
    <w:panose1 w:val="020F0502020204030204"/>
    <w:charset w:val="00"/>
    <w:family w:val="swiss"/>
    <w:pitch w:val="default"/>
    <w:sig w:usb0="E4002EFF" w:usb1="C000247B" w:usb2="00000009" w:usb3="00000000" w:csb0="200001FF" w:csb1="00000000"/>
    <w:embedRegular r:id="rId4" w:fontKey="{0D818C7B-FC19-49A9-8202-E29644F61A78}"/>
  </w:font>
  <w:font w:name="仿宋_GB2312">
    <w:altName w:val="仿宋"/>
    <w:panose1 w:val="02010609030101010101"/>
    <w:charset w:val="86"/>
    <w:family w:val="modern"/>
    <w:pitch w:val="default"/>
    <w:sig w:usb0="00000000" w:usb1="00000000" w:usb2="00000000" w:usb3="00000000" w:csb0="00040000" w:csb1="00000000"/>
    <w:embedRegular r:id="rId5" w:fontKey="{D48D3997-BBB8-4797-83F3-9E5B1DE7CEF4}"/>
  </w:font>
  <w:font w:name="仿宋">
    <w:panose1 w:val="02010609060101010101"/>
    <w:charset w:val="86"/>
    <w:family w:val="auto"/>
    <w:pitch w:val="default"/>
    <w:sig w:usb0="800002BF" w:usb1="38CF7CFA" w:usb2="00000016" w:usb3="00000000" w:csb0="00040001" w:csb1="00000000"/>
    <w:embedRegular r:id="rId6" w:fontKey="{A2A6D421-F74B-4A29-B06F-14B3D65954F1}"/>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7" w:fontKey="{A6531706-AE7B-4DA8-850D-E9C54CE0525D}"/>
  </w:font>
  <w:font w:name="Cambria">
    <w:panose1 w:val="02040503050406030204"/>
    <w:charset w:val="00"/>
    <w:family w:val="roman"/>
    <w:pitch w:val="default"/>
    <w:sig w:usb0="E00006FF" w:usb1="420024FF" w:usb2="02000000" w:usb3="00000000" w:csb0="2000019F" w:csb1="00000000"/>
  </w:font>
  <w:font w:name="华文彩云">
    <w:panose1 w:val="02010800040101010101"/>
    <w:charset w:val="86"/>
    <w:family w:val="auto"/>
    <w:pitch w:val="default"/>
    <w:sig w:usb0="00000001" w:usb1="080F0000" w:usb2="00000000" w:usb3="00000000" w:csb0="00040000" w:csb1="00000000"/>
    <w:embedRegular r:id="rId8" w:fontKey="{7EA0BC45-9F33-4C90-85E9-40D88A313661}"/>
  </w:font>
  <w:font w:name="楷体_GB2312">
    <w:altName w:val="楷体"/>
    <w:panose1 w:val="02010609030101010101"/>
    <w:charset w:val="86"/>
    <w:family w:val="modern"/>
    <w:pitch w:val="default"/>
    <w:sig w:usb0="00000000" w:usb1="00000000" w:usb2="00000000" w:usb3="00000000" w:csb0="00040000" w:csb1="00000000"/>
    <w:embedRegular r:id="rId9" w:fontKey="{EC3D26F0-2D07-4644-90B2-A735A27F12E8}"/>
  </w:font>
  <w:font w:name="宋体-18030">
    <w:altName w:val="宋体"/>
    <w:panose1 w:val="00000000000000000000"/>
    <w:charset w:val="86"/>
    <w:family w:val="modern"/>
    <w:pitch w:val="default"/>
    <w:sig w:usb0="00000000" w:usb1="00000000" w:usb2="000A005E" w:usb3="00000000" w:csb0="00040001" w:csb1="00000000"/>
    <w:embedRegular r:id="rId10" w:fontKey="{26D575D1-39CA-4DC9-AEFE-2B4FA8C01229}"/>
  </w:font>
  <w:font w:name="MS Gothic">
    <w:panose1 w:val="020B0609070205080204"/>
    <w:charset w:val="80"/>
    <w:family w:val="modern"/>
    <w:pitch w:val="default"/>
    <w:sig w:usb0="E00002FF" w:usb1="6AC7FDFB" w:usb2="08000012" w:usb3="00000000" w:csb0="4002009F" w:csb1="DFD70000"/>
    <w:embedRegular r:id="rId11" w:fontKey="{7F8F5E5E-0260-43ED-9542-E1435B5891BE}"/>
  </w:font>
  <w:font w:name="隶书">
    <w:panose1 w:val="02010509060101010101"/>
    <w:charset w:val="86"/>
    <w:family w:val="modern"/>
    <w:pitch w:val="default"/>
    <w:sig w:usb0="00000001" w:usb1="080E0000" w:usb2="00000000" w:usb3="00000000" w:csb0="00040000" w:csb1="00000000"/>
    <w:embedRegular r:id="rId12" w:fontKey="{EF765B52-D360-4152-86CE-3CF6140D2E37}"/>
  </w:font>
  <w:font w:name="华文隶书">
    <w:panose1 w:val="02010800040101010101"/>
    <w:charset w:val="86"/>
    <w:family w:val="auto"/>
    <w:pitch w:val="default"/>
    <w:sig w:usb0="00000001" w:usb1="080F0000" w:usb2="00000000" w:usb3="00000000" w:csb0="00040000" w:csb1="00000000"/>
    <w:embedRegular r:id="rId13" w:fontKey="{EE732C3A-52D3-4369-967A-AD0D05317D5C}"/>
  </w:font>
  <w:font w:name="WPSEMBED1">
    <w:panose1 w:val="02010800040101010101"/>
    <w:charset w:val="86"/>
    <w:family w:val="auto"/>
    <w:pitch w:val="default"/>
    <w:sig w:usb0="00000001" w:usb1="080F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宋体 ，Arial">
    <w:altName w:val="宋体"/>
    <w:panose1 w:val="00000000000000000000"/>
    <w:charset w:val="86"/>
    <w:family w:val="roman"/>
    <w:pitch w:val="default"/>
    <w:sig w:usb0="00000000" w:usb1="00000000" w:usb2="00000010" w:usb3="00000000" w:csb0="00040000" w:csb1="00000000"/>
    <w:embedRegular r:id="rId14" w:fontKey="{D0245507-56B9-4C6E-BEB4-FF6094B84595}"/>
  </w:font>
  <w:font w:name="Roman">
    <w:altName w:val="Times New Roman"/>
    <w:panose1 w:val="00000000000000000000"/>
    <w:charset w:val="00"/>
    <w:family w:val="roman"/>
    <w:pitch w:val="default"/>
    <w:sig w:usb0="00000000" w:usb1="00000000" w:usb2="00000000" w:usb3="00000000" w:csb0="00000000" w:csb1="00000000"/>
  </w:font>
  <w:font w:name="WPSEMBED2">
    <w:panose1 w:val="02010509060101010101"/>
    <w:charset w:val="86"/>
    <w:family w:val="auto"/>
    <w:pitch w:val="default"/>
    <w:sig w:usb0="00000001" w:usb1="080E0000" w:usb2="00000000" w:usb3="00000000" w:csb0="00040000" w:csb1="00000000"/>
  </w:font>
  <w:font w:name="WPSEMBED3">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024E">
    <w:pPr>
      <w:pStyle w:val="26"/>
      <w:spacing w:line="240" w:lineRule="exact"/>
      <w:ind w:right="360" w:firstLine="360"/>
      <w:rPr>
        <w:rFonts w:hint="eastAsia" w:eastAsia="黑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FBADA">
    <w:pPr>
      <w:pStyle w:val="26"/>
      <w:rPr>
        <w:rStyle w:val="43"/>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9E6CC">
                          <w:pPr>
                            <w:pStyle w:val="2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529E6CC">
                    <w:pPr>
                      <w:pStyle w:val="26"/>
                    </w:pPr>
                    <w:r>
                      <w:fldChar w:fldCharType="begin"/>
                    </w:r>
                    <w:r>
                      <w:instrText xml:space="preserve"> PAGE  \* MERGEFORMAT </w:instrText>
                    </w:r>
                    <w:r>
                      <w:fldChar w:fldCharType="separate"/>
                    </w:r>
                    <w:r>
                      <w:t>8</w:t>
                    </w:r>
                    <w:r>
                      <w:fldChar w:fldCharType="end"/>
                    </w:r>
                  </w:p>
                </w:txbxContent>
              </v:textbox>
            </v:shape>
          </w:pict>
        </mc:Fallback>
      </mc:AlternateContent>
    </w:r>
  </w:p>
  <w:p w14:paraId="697D4092">
    <w:pPr>
      <w:pStyle w:val="26"/>
      <w:spacing w:line="240" w:lineRule="exact"/>
      <w:ind w:right="360" w:firstLine="360"/>
      <w:jc w:val="center"/>
      <w:rPr>
        <w:rFonts w:hint="eastAsia" w:eastAsia="黑体"/>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7DB7E">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26EC4">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A926EC4">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5C387">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558E6">
                          <w:pPr>
                            <w:pStyle w:val="2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B3558E6">
                    <w:pPr>
                      <w:pStyle w:val="2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82C6A">
    <w:pPr>
      <w:pStyle w:val="2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0F3D1">
                          <w:pPr>
                            <w:pStyle w:val="2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030F3D1">
                    <w:pPr>
                      <w:pStyle w:val="2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6680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546F8">
                          <w:pPr>
                            <w:pStyle w:val="2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2B546F8">
                    <w:pPr>
                      <w:pStyle w:val="2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675B4">
    <w:pPr>
      <w:pStyle w:val="2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830B0">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EC830B0">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41FB6">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46705">
                          <w:pPr>
                            <w:pStyle w:val="2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1246705">
                    <w:pPr>
                      <w:pStyle w:val="2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A66D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195D8">
                          <w:pPr>
                            <w:pStyle w:val="2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16195D8">
                    <w:pPr>
                      <w:pStyle w:val="2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D2736">
    <w:pPr>
      <w:pStyle w:val="26"/>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846C4">
                          <w:pPr>
                            <w:pStyle w:val="26"/>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5F6846C4">
                    <w:pPr>
                      <w:pStyle w:val="26"/>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D575">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1B9A2">
                          <w:pPr>
                            <w:pStyle w:val="26"/>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F01B9A2">
                    <w:pPr>
                      <w:pStyle w:val="26"/>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C490">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9CE3E">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EE2C0">
                          <w:pPr>
                            <w:pStyle w:val="26"/>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E0EE2C0">
                    <w:pPr>
                      <w:pStyle w:val="26"/>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993AC">
    <w:pPr>
      <w:pStyle w:val="2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77544">
                          <w:pPr>
                            <w:pStyle w:val="2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7AA77544">
                    <w:pPr>
                      <w:pStyle w:val="2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6A943">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F35BB">
                          <w:pPr>
                            <w:pStyle w:val="26"/>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53F35BB">
                    <w:pPr>
                      <w:pStyle w:val="2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52E4C">
    <w:pPr>
      <w:pStyle w:val="26"/>
      <w:spacing w:line="240" w:lineRule="exact"/>
      <w:ind w:right="360" w:firstLine="360"/>
      <w:jc w:val="center"/>
      <w:rPr>
        <w:rFonts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0B562">
                          <w:pPr>
                            <w:pStyle w:val="26"/>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1930B562">
                    <w:pPr>
                      <w:pStyle w:val="26"/>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CCB7C">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251F4">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C5251F4">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F496B">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818BC">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7818BC">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93216">
    <w:pPr>
      <w:pStyle w:val="2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E86FE">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F5E86FE">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06722">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06D6B">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A206D6B">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37EDD">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B3F01">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4B3F01">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44326">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65C48">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6365C48">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86DE1">
    <w:pPr>
      <w:pStyle w:val="2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AEBFD">
                          <w:pPr>
                            <w:pStyle w:val="2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E3AEBFD">
                    <w:pPr>
                      <w:pStyle w:val="2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16">
    <w:p>
      <w:r>
        <w:separator/>
      </w:r>
    </w:p>
  </w:footnote>
  <w:footnote w:type="continuationSeparator" w:id="117">
    <w:p>
      <w:r>
        <w:continuationSeparator/>
      </w:r>
    </w:p>
  </w:footnote>
  <w:footnote w:id="0">
    <w:p w14:paraId="3552DEDF">
      <w:pPr>
        <w:pStyle w:val="30"/>
        <w:spacing w:line="300" w:lineRule="atLeast"/>
        <w:ind w:left="180" w:hanging="180" w:hangingChars="100"/>
        <w:jc w:val="both"/>
        <w:rPr>
          <w:rFonts w:hint="eastAsia"/>
          <w:szCs w:val="18"/>
        </w:rPr>
      </w:pPr>
      <w:r>
        <w:rPr>
          <w:rStyle w:val="47"/>
          <w:szCs w:val="18"/>
        </w:rPr>
        <w:footnoteRef/>
      </w:r>
      <w:r>
        <w:rPr>
          <w:rFonts w:hint="eastAsia"/>
          <w:szCs w:val="18"/>
        </w:rPr>
        <w:t xml:space="preserve"> 招标人可根据项目具体特点和实际需要对本章内容进行补充、细化，但应遵守有关法律法规、部门规章和行政规范性文件的规定。</w:t>
      </w:r>
    </w:p>
  </w:footnote>
  <w:footnote w:id="1">
    <w:p w14:paraId="1C9115AF">
      <w:pPr>
        <w:pStyle w:val="30"/>
        <w:spacing w:line="300" w:lineRule="atLeast"/>
        <w:ind w:left="180" w:hanging="180" w:hangingChars="100"/>
        <w:jc w:val="both"/>
        <w:rPr>
          <w:rFonts w:hint="eastAsia"/>
          <w:szCs w:val="18"/>
        </w:rPr>
      </w:pPr>
      <w:r>
        <w:rPr>
          <w:rStyle w:val="47"/>
        </w:rPr>
        <w:footnoteRef/>
      </w:r>
      <w:r>
        <w:t xml:space="preserve"> </w:t>
      </w:r>
      <w:r>
        <w:rPr>
          <w:rFonts w:hint="eastAsia"/>
          <w:szCs w:val="18"/>
        </w:rPr>
        <w:t>招标人应自招标文件开始发售之日起，将招标文件的关键内容上传至</w:t>
      </w:r>
      <w:r>
        <w:rPr>
          <w:rFonts w:hint="eastAsia"/>
          <w:szCs w:val="18"/>
          <w:lang w:val="en-US" w:eastAsia="zh-CN"/>
        </w:rPr>
        <w:t>电子交易平台和</w:t>
      </w:r>
      <w:r>
        <w:rPr>
          <w:rFonts w:hint="eastAsia"/>
          <w:szCs w:val="18"/>
        </w:rPr>
        <w:t>具有招标监督职责的交通运输主管部门政府网站，</w:t>
      </w:r>
      <w:r>
        <w:rPr>
          <w:rFonts w:hint="eastAsia"/>
          <w:szCs w:val="18"/>
          <w:lang w:val="en-US" w:eastAsia="zh-CN"/>
        </w:rPr>
        <w:t>公告</w:t>
      </w:r>
      <w:r>
        <w:rPr>
          <w:rFonts w:hint="eastAsia"/>
          <w:szCs w:val="18"/>
        </w:rPr>
        <w:t>内容</w:t>
      </w:r>
      <w:r>
        <w:rPr>
          <w:rFonts w:hint="eastAsia"/>
          <w:szCs w:val="18"/>
          <w:lang w:val="en-US" w:eastAsia="zh-CN"/>
        </w:rPr>
        <w:t>应当</w:t>
      </w:r>
      <w:r>
        <w:rPr>
          <w:rFonts w:hint="eastAsia"/>
          <w:szCs w:val="18"/>
        </w:rPr>
        <w:t>载明项目概况、投标人资格条件要求、评标办法、潜在投标人访问电子交易系统的网络地址和方法、异议受理联系人和招标监督部门投诉举报电话等信息，接受社会监督。招标人可将招标文件的关键内容全部载明在招标公告正文中，或作为招标公告的附件进行公开，或作为独立文件在网站上进行公开。</w:t>
      </w:r>
    </w:p>
  </w:footnote>
  <w:footnote w:id="2">
    <w:p w14:paraId="2A6BB01C">
      <w:pPr>
        <w:pStyle w:val="30"/>
        <w:snapToGrid/>
        <w:spacing w:line="300" w:lineRule="atLeast"/>
        <w:ind w:left="180" w:hanging="180" w:hangingChars="100"/>
        <w:jc w:val="both"/>
        <w:rPr>
          <w:rFonts w:hint="eastAsia"/>
          <w:szCs w:val="18"/>
        </w:rPr>
      </w:pPr>
      <w:r>
        <w:rPr>
          <w:rStyle w:val="47"/>
          <w:rFonts w:hint="eastAsia"/>
        </w:rPr>
        <w:footnoteRef/>
      </w:r>
      <w:r>
        <w:rPr>
          <w:rStyle w:val="47"/>
          <w:rFonts w:hint="eastAsia"/>
        </w:rPr>
        <w:t xml:space="preserve"> </w:t>
      </w:r>
      <w:r>
        <w:rPr>
          <w:rFonts w:hint="eastAsia"/>
          <w:szCs w:val="18"/>
        </w:rPr>
        <w:t>招标人不得在招投标过程中设置各类不合理限制和壁垒，不得存在</w:t>
      </w:r>
      <w:r>
        <w:rPr>
          <w:rFonts w:hint="eastAsia"/>
          <w:szCs w:val="18"/>
          <w:lang w:val="en-US" w:eastAsia="zh-CN"/>
        </w:rPr>
        <w:t>限制或变相限制符合准入条件的企业参与招投标采购活动</w:t>
      </w:r>
      <w:r>
        <w:rPr>
          <w:rFonts w:hint="eastAsia"/>
          <w:szCs w:val="18"/>
        </w:rPr>
        <w:t>。</w:t>
      </w:r>
    </w:p>
  </w:footnote>
  <w:footnote w:id="3">
    <w:p w14:paraId="04F81503">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本段规定仅适用于</w:t>
      </w:r>
      <w:bookmarkStart w:id="2033" w:name="_Toc315861048"/>
      <w:bookmarkStart w:id="2034" w:name="_Toc411777490"/>
      <w:r>
        <w:rPr>
          <w:rFonts w:hint="eastAsia" w:ascii="Times New Roman" w:hAnsi="Times New Roman" w:eastAsia="宋体" w:cs="Times New Roman"/>
          <w:kern w:val="0"/>
          <w:sz w:val="18"/>
          <w:szCs w:val="18"/>
        </w:rPr>
        <w:t>根据《关于发布公路工程从业企业资质名录的通知》</w:t>
      </w:r>
      <w:bookmarkEnd w:id="2033"/>
      <w:bookmarkEnd w:id="2034"/>
      <w:r>
        <w:rPr>
          <w:rFonts w:hint="eastAsia" w:ascii="Times New Roman" w:hAnsi="Times New Roman" w:eastAsia="宋体" w:cs="Times New Roman"/>
          <w:kern w:val="0"/>
          <w:sz w:val="18"/>
          <w:szCs w:val="18"/>
        </w:rPr>
        <w:t>（厅公路字〔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号）要求，招标人应通过名录对投标人资质条件进行审核的公路施工企业；如前款文件中规定的资质已由省级相关部门负责审核、审批，则</w:t>
      </w:r>
      <w:r>
        <w:rPr>
          <w:rFonts w:hint="eastAsia" w:cs="Times New Roman"/>
          <w:kern w:val="0"/>
          <w:sz w:val="18"/>
          <w:szCs w:val="18"/>
          <w:lang w:val="en-US" w:eastAsia="zh-CN"/>
        </w:rPr>
        <w:t>不做要求</w:t>
      </w:r>
      <w:r>
        <w:rPr>
          <w:rFonts w:hint="eastAsia" w:ascii="Times New Roman" w:hAnsi="Times New Roman" w:eastAsia="宋体" w:cs="Times New Roman"/>
          <w:kern w:val="0"/>
          <w:sz w:val="18"/>
          <w:szCs w:val="18"/>
        </w:rPr>
        <w:t>。</w:t>
      </w:r>
    </w:p>
  </w:footnote>
  <w:footnote w:id="4">
    <w:p w14:paraId="6308A0C1">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7A8FAE1A">
      <w:pPr>
        <w:pStyle w:val="30"/>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5">
    <w:p w14:paraId="1B4A0B73">
      <w:pPr>
        <w:pStyle w:val="30"/>
        <w:spacing w:line="320" w:lineRule="atLeast"/>
        <w:ind w:left="180" w:hanging="210" w:hangingChars="100"/>
        <w:rPr>
          <w:rFonts w:hint="eastAsia"/>
          <w:szCs w:val="18"/>
        </w:rPr>
      </w:pPr>
      <w:r>
        <w:rPr>
          <w:rStyle w:val="47"/>
          <w:kern w:val="2"/>
          <w:sz w:val="21"/>
          <w:szCs w:val="18"/>
        </w:rPr>
        <w:footnoteRef/>
      </w:r>
      <w:r>
        <w:rPr>
          <w:szCs w:val="18"/>
        </w:rPr>
        <w:t xml:space="preserve"> </w:t>
      </w:r>
      <w:r>
        <w:rPr>
          <w:rFonts w:hint="eastAsia"/>
          <w:szCs w:val="18"/>
        </w:rPr>
        <w:t>存在多个同一类型专业工程和同等资格条件要求标段的，应当采用随机分配投标标段方式。</w:t>
      </w:r>
    </w:p>
  </w:footnote>
  <w:footnote w:id="6">
    <w:p w14:paraId="631847CD">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7">
    <w:p w14:paraId="572B7B31">
      <w:pPr>
        <w:pStyle w:val="30"/>
        <w:snapToGrid/>
        <w:spacing w:line="320" w:lineRule="atLeast"/>
        <w:ind w:left="180" w:hanging="180" w:hangingChars="100"/>
        <w:rPr>
          <w:rFonts w:hint="eastAsia" w:eastAsia="宋体"/>
          <w:szCs w:val="18"/>
          <w:lang w:val="en-US" w:eastAsia="zh-CN"/>
        </w:rPr>
      </w:pPr>
      <w:r>
        <w:rPr>
          <w:rStyle w:val="47"/>
          <w:rFonts w:hint="eastAsia"/>
          <w:szCs w:val="18"/>
        </w:rPr>
        <w:footnoteRef/>
      </w:r>
      <w:r>
        <w:rPr>
          <w:rFonts w:hint="eastAsia"/>
          <w:szCs w:val="18"/>
        </w:rPr>
        <w:t xml:space="preserve"> </w:t>
      </w:r>
      <w:r>
        <w:rPr>
          <w:rFonts w:hint="eastAsia"/>
          <w:szCs w:val="18"/>
          <w:lang w:val="en-US" w:eastAsia="zh-CN"/>
        </w:rPr>
        <w:t>根据《国务院办公厅关于创新完善体制机制推动招标投标市场规范健康发展的意见》（国办发〔2024〕21号）规定，招标人应结合项目特点和需求，明确定标规则。</w:t>
      </w:r>
    </w:p>
  </w:footnote>
  <w:footnote w:id="8">
    <w:p w14:paraId="6BAF25AF">
      <w:pPr>
        <w:pStyle w:val="30"/>
        <w:spacing w:line="320" w:lineRule="atLeast"/>
        <w:ind w:left="180" w:right="-229" w:rightChars="-109" w:hanging="180" w:hangingChars="100"/>
        <w:rPr>
          <w:szCs w:val="18"/>
        </w:rPr>
      </w:pPr>
      <w:r>
        <w:rPr>
          <w:rStyle w:val="47"/>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9">
    <w:p w14:paraId="203BC41E">
      <w:pPr>
        <w:pStyle w:val="30"/>
        <w:spacing w:line="320" w:lineRule="atLeast"/>
        <w:ind w:left="180" w:right="-229" w:rightChars="-109" w:hanging="210" w:hangingChars="100"/>
        <w:rPr>
          <w:szCs w:val="18"/>
        </w:rPr>
      </w:pPr>
      <w:r>
        <w:rPr>
          <w:rStyle w:val="47"/>
          <w:kern w:val="2"/>
          <w:sz w:val="21"/>
          <w:szCs w:val="18"/>
        </w:rPr>
        <w:footnoteRef/>
      </w:r>
      <w:r>
        <w:rPr>
          <w:rFonts w:hint="eastAsia"/>
        </w:rPr>
        <w:t xml:space="preserve"> 招标人应当按照国家有关规定，在招标文件中明确履约保证金收取比例，对于</w:t>
      </w:r>
      <w:r>
        <w:rPr>
          <w:rFonts w:hint="eastAsia"/>
          <w:lang w:eastAsia="zh-CN"/>
        </w:rPr>
        <w:t>最近年度</w:t>
      </w:r>
      <w:r>
        <w:rPr>
          <w:rFonts w:hint="eastAsia"/>
        </w:rPr>
        <w:t>信用等级为AA的中标人，可给予减少履约保证金。</w:t>
      </w:r>
    </w:p>
  </w:footnote>
  <w:footnote w:id="10">
    <w:p w14:paraId="046DF24A">
      <w:pPr>
        <w:pStyle w:val="30"/>
        <w:snapToGrid w:val="0"/>
        <w:rPr>
          <w:rFonts w:hint="eastAsia" w:eastAsia="宋体"/>
          <w:lang w:eastAsia="zh-CN"/>
        </w:rPr>
      </w:pPr>
      <w:r>
        <w:rPr>
          <w:rStyle w:val="47"/>
        </w:rPr>
        <w:footnoteRef/>
      </w:r>
      <w:r>
        <w:t xml:space="preserve"> </w:t>
      </w:r>
      <w:r>
        <w:rPr>
          <w:rFonts w:hint="eastAsia"/>
          <w:lang w:val="en-US" w:eastAsia="zh-CN"/>
        </w:rPr>
        <w:t>仅适用于采用</w:t>
      </w:r>
      <w:r>
        <w:rPr>
          <w:rFonts w:hint="eastAsia"/>
        </w:rPr>
        <w:t>技术评分最低标价法、技术评分合理低价法和综合评分法</w:t>
      </w:r>
      <w:r>
        <w:rPr>
          <w:rFonts w:hint="eastAsia"/>
          <w:lang w:val="en-US" w:eastAsia="zh-CN"/>
        </w:rPr>
        <w:t>的项目</w:t>
      </w:r>
      <w:r>
        <w:rPr>
          <w:rFonts w:hint="eastAsia"/>
          <w:lang w:eastAsia="zh-CN"/>
        </w:rPr>
        <w:t>。</w:t>
      </w:r>
    </w:p>
  </w:footnote>
  <w:footnote w:id="11">
    <w:p w14:paraId="682A9C6C">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en-US" w:eastAsia="zh-CN" w:bidi="ar-SA"/>
        </w:rPr>
        <w:t xml:space="preserve"> </w:t>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2">
    <w:p w14:paraId="7D96E239">
      <w:pPr>
        <w:pStyle w:val="30"/>
        <w:ind w:left="210" w:hanging="210"/>
        <w:rPr>
          <w:rFonts w:hint="eastAsia"/>
          <w:szCs w:val="18"/>
        </w:rPr>
      </w:pPr>
      <w:r>
        <w:rPr>
          <w:rStyle w:val="47"/>
          <w:szCs w:val="18"/>
        </w:rPr>
        <w:footnoteRef/>
      </w:r>
      <w:r>
        <w:rPr>
          <w:rFonts w:hint="eastAsia"/>
          <w:szCs w:val="18"/>
        </w:rPr>
        <w:t xml:space="preserve"> 具体资质要求由招标人在满足国家相关法律法规前提下，根据招标项目具体特点和实际情况确定。</w:t>
      </w:r>
    </w:p>
  </w:footnote>
  <w:footnote w:id="13">
    <w:p w14:paraId="56E07409">
      <w:pPr>
        <w:pStyle w:val="30"/>
        <w:snapToGrid w:val="0"/>
        <w:ind w:firstLine="0"/>
      </w:pPr>
      <w:r>
        <w:rPr>
          <w:rStyle w:val="47"/>
          <w:kern w:val="2"/>
          <w:sz w:val="21"/>
          <w:szCs w:val="24"/>
        </w:rPr>
        <w:footnoteRef/>
      </w:r>
      <w:r>
        <w:t xml:space="preserve"> </w:t>
      </w:r>
      <w:r>
        <w:rPr>
          <w:rFonts w:hint="eastAsia"/>
          <w:lang w:val="en-US" w:eastAsia="zh-CN"/>
        </w:rPr>
        <w:t>企业资质等级</w:t>
      </w:r>
      <w:r>
        <w:rPr>
          <w:rFonts w:hint="eastAsia"/>
        </w:rPr>
        <w:t>应当严格按照从业资质管理相关规定，提出与招标项目相适应的资质最低条件，不得提高资质等级要求。</w:t>
      </w:r>
    </w:p>
  </w:footnote>
  <w:footnote w:id="14">
    <w:p w14:paraId="30BCE76F">
      <w:pPr>
        <w:pStyle w:val="30"/>
        <w:spacing w:line="240" w:lineRule="auto"/>
        <w:ind w:left="180" w:hanging="180" w:hangingChars="100"/>
        <w:rPr>
          <w:rFonts w:hint="eastAsia"/>
          <w:szCs w:val="18"/>
        </w:rPr>
      </w:pPr>
      <w:r>
        <w:rPr>
          <w:rStyle w:val="47"/>
          <w:szCs w:val="18"/>
        </w:rPr>
        <w:footnoteRef/>
      </w:r>
      <w:r>
        <w:rPr>
          <w:rFonts w:hint="eastAsia"/>
          <w:szCs w:val="18"/>
        </w:rPr>
        <w:t xml:space="preserve"> 具体财务要求由招标人在满足国家相关法律法规前提下，根据招标项目具体特点和实际情况确定。</w:t>
      </w:r>
    </w:p>
  </w:footnote>
  <w:footnote w:id="15">
    <w:p w14:paraId="1C453D59">
      <w:pPr>
        <w:pStyle w:val="30"/>
        <w:spacing w:line="300" w:lineRule="atLeast"/>
        <w:ind w:left="180" w:hanging="180" w:hangingChars="100"/>
        <w:rPr>
          <w:rFonts w:hint="eastAsia"/>
          <w:szCs w:val="18"/>
        </w:rPr>
      </w:pPr>
      <w:r>
        <w:rPr>
          <w:rStyle w:val="47"/>
          <w:szCs w:val="18"/>
        </w:rPr>
        <w:footnoteRef/>
      </w:r>
      <w:r>
        <w:rPr>
          <w:rFonts w:hint="eastAsia"/>
          <w:szCs w:val="18"/>
        </w:rPr>
        <w:t xml:space="preserve"> 具体业绩要求由招标人在满足国家相关法律法规前提下，根据招标项目具体特点和实际情况确定，但不得设置过高的业绩资格条件。</w:t>
      </w:r>
    </w:p>
  </w:footnote>
  <w:footnote w:id="16">
    <w:p w14:paraId="1D71B627">
      <w:pPr>
        <w:pStyle w:val="30"/>
        <w:snapToGrid w:val="0"/>
        <w:ind w:firstLine="0"/>
        <w:rPr>
          <w:rFonts w:hint="default"/>
          <w:highlight w:val="yellow"/>
          <w:lang w:val="en-US" w:eastAsia="zh-CN"/>
        </w:rPr>
      </w:pPr>
      <w:r>
        <w:rPr>
          <w:rStyle w:val="47"/>
          <w:kern w:val="2"/>
          <w:sz w:val="21"/>
          <w:szCs w:val="24"/>
        </w:rPr>
        <w:footnoteRef/>
      </w:r>
      <w:r>
        <w:t xml:space="preserve"> </w:t>
      </w:r>
      <w:r>
        <w:rPr>
          <w:rFonts w:hint="eastAsia"/>
          <w:lang w:val="en-US" w:eastAsia="zh-CN"/>
        </w:rPr>
        <w:t>业绩量化指标不得超过项目标的规模。</w:t>
      </w:r>
    </w:p>
  </w:footnote>
  <w:footnote w:id="17">
    <w:p w14:paraId="272A01A3">
      <w:pPr>
        <w:pStyle w:val="30"/>
        <w:ind w:left="210" w:hanging="210"/>
        <w:rPr>
          <w:rFonts w:hint="eastAsia"/>
          <w:szCs w:val="18"/>
        </w:rPr>
      </w:pPr>
      <w:r>
        <w:rPr>
          <w:rStyle w:val="47"/>
          <w:szCs w:val="18"/>
        </w:rPr>
        <w:footnoteRef/>
      </w:r>
      <w:r>
        <w:rPr>
          <w:rFonts w:hint="eastAsia"/>
          <w:szCs w:val="18"/>
        </w:rPr>
        <w:t xml:space="preserve"> </w:t>
      </w:r>
      <w:r>
        <w:rPr>
          <w:rFonts w:hint="eastAsia"/>
        </w:rPr>
        <w:t>具体信誉要求由招标人在满足国家相关法律法规前提下，根据招标项目具体特点和实际情况确定</w:t>
      </w:r>
      <w:r>
        <w:rPr>
          <w:lang w:eastAsia="zh-CN"/>
        </w:rPr>
        <w:t>。</w:t>
      </w:r>
    </w:p>
  </w:footnote>
  <w:footnote w:id="18">
    <w:p w14:paraId="5B2533B6">
      <w:pPr>
        <w:pStyle w:val="30"/>
        <w:spacing w:line="360" w:lineRule="atLeast"/>
        <w:ind w:left="180" w:hanging="180" w:hangingChars="100"/>
        <w:rPr>
          <w:rFonts w:hint="eastAsia"/>
          <w:szCs w:val="18"/>
        </w:rPr>
      </w:pPr>
      <w:r>
        <w:rPr>
          <w:rStyle w:val="47"/>
          <w:szCs w:val="18"/>
        </w:rPr>
        <w:footnoteRef/>
      </w:r>
      <w:r>
        <w:rPr>
          <w:rFonts w:hint="eastAsia"/>
          <w:szCs w:val="18"/>
        </w:rPr>
        <w:t xml:space="preserve"> 对项目经理和项目总工的具体资格要求由招标人在满足国家相关法律法规前提下，根据招标项目具体特点和实际情况确定，但不得设置过高的资格条件。</w:t>
      </w:r>
    </w:p>
  </w:footnote>
  <w:footnote w:id="19">
    <w:p w14:paraId="683511A6">
      <w:pPr>
        <w:pStyle w:val="30"/>
        <w:snapToGrid w:val="0"/>
        <w:ind w:firstLine="0"/>
      </w:pPr>
      <w:r>
        <w:rPr>
          <w:rStyle w:val="47"/>
        </w:rPr>
        <w:footnoteRef/>
      </w:r>
      <w:r>
        <w:t xml:space="preserve"> </w:t>
      </w:r>
      <w:r>
        <w:rPr>
          <w:rFonts w:hint="eastAsia"/>
        </w:rPr>
        <w:t>项目经理应当具有注册建造师证书，其专业和等级按照相关规定根据项目实际设置，招标人不得再另行设置相应等级技术职称要求</w:t>
      </w:r>
      <w:r>
        <w:rPr>
          <w:rFonts w:hint="eastAsia"/>
          <w:lang w:eastAsia="zh-CN"/>
        </w:rPr>
        <w:t>；</w:t>
      </w:r>
      <w:r>
        <w:rPr>
          <w:rFonts w:hint="eastAsia"/>
        </w:rPr>
        <w:t>项目经理应当具有相应安全生产考核合格证书。项目总工程师一般应当设置技术职称要求。主要人员业绩量化指标不得超过项目标的规模。</w:t>
      </w:r>
    </w:p>
  </w:footnote>
  <w:footnote w:id="20">
    <w:p w14:paraId="7B0ED823">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21">
    <w:p w14:paraId="0B699E87">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22">
    <w:p w14:paraId="40192CEF">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号）要求，招标人应通过名录对投标人资质条件进行审核的公路施工企业；如前款文件中规定的资质已由省级相关部门负责审核、审批，则不做要求。</w:t>
      </w:r>
    </w:p>
  </w:footnote>
  <w:footnote w:id="23">
    <w:p w14:paraId="51227DBC">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w:t>
      </w:r>
      <w:r>
        <w:rPr>
          <w:rFonts w:hint="eastAsia" w:ascii="Times New Roman" w:hAnsi="Times New Roman" w:eastAsia="宋体" w:cs="Times New Roman"/>
          <w:kern w:val="0"/>
          <w:sz w:val="18"/>
          <w:szCs w:val="18"/>
          <w:highlight w:val="none"/>
        </w:rPr>
        <w:t>的公路施工企</w:t>
      </w:r>
      <w:r>
        <w:rPr>
          <w:rFonts w:hint="eastAsia" w:ascii="Times New Roman" w:hAnsi="Times New Roman" w:eastAsia="宋体" w:cs="Times New Roman"/>
          <w:kern w:val="0"/>
          <w:sz w:val="18"/>
          <w:szCs w:val="18"/>
        </w:rPr>
        <w:t>业</w:t>
      </w:r>
      <w:r>
        <w:rPr>
          <w:rFonts w:hint="eastAsia" w:cs="Times New Roman"/>
          <w:kern w:val="0"/>
          <w:sz w:val="18"/>
          <w:szCs w:val="18"/>
          <w:lang w:eastAsia="zh-CN"/>
        </w:rPr>
        <w:t>；</w:t>
      </w:r>
      <w:r>
        <w:rPr>
          <w:rFonts w:hint="eastAsia" w:cs="Times New Roman"/>
          <w:kern w:val="0"/>
          <w:sz w:val="18"/>
          <w:szCs w:val="18"/>
          <w:lang w:val="en-US" w:eastAsia="zh-CN"/>
        </w:rPr>
        <w:t>如前款文件中规定的资质已由省级相关部门负责审核、审批，则投标人无需提供相应资质的网页截图</w:t>
      </w:r>
      <w:r>
        <w:rPr>
          <w:rFonts w:hint="eastAsia" w:ascii="Times New Roman" w:hAnsi="Times New Roman" w:eastAsia="宋体" w:cs="Times New Roman"/>
          <w:kern w:val="0"/>
          <w:sz w:val="18"/>
          <w:szCs w:val="18"/>
        </w:rPr>
        <w:t>。</w:t>
      </w:r>
    </w:p>
  </w:footnote>
  <w:footnote w:id="24">
    <w:p w14:paraId="4C896160">
      <w:pPr>
        <w:pStyle w:val="30"/>
        <w:snapToGrid w:val="0"/>
        <w:rPr>
          <w:rFonts w:hint="default" w:eastAsia="宋体"/>
          <w:lang w:val="en-US" w:eastAsia="zh-CN"/>
        </w:rPr>
      </w:pPr>
      <w:r>
        <w:rPr>
          <w:rStyle w:val="47"/>
        </w:rPr>
        <w:footnoteRef/>
      </w:r>
      <w:r>
        <w:t xml:space="preserve"> </w:t>
      </w:r>
      <w:r>
        <w:rPr>
          <w:rFonts w:hint="eastAsia"/>
          <w:lang w:val="en-US" w:eastAsia="zh-CN"/>
        </w:rPr>
        <w:t>G值详见评标办法。</w:t>
      </w:r>
    </w:p>
  </w:footnote>
  <w:footnote w:id="25">
    <w:p w14:paraId="6E464D0C">
      <w:pPr>
        <w:pStyle w:val="30"/>
        <w:tabs>
          <w:tab w:val="left" w:pos="3780"/>
        </w:tabs>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招标人可根据</w:t>
      </w:r>
      <w:r>
        <w:rPr>
          <w:rFonts w:hint="eastAsia"/>
          <w:szCs w:val="18"/>
          <w:lang w:eastAsia="zh-CN"/>
        </w:rPr>
        <w:t>实际</w:t>
      </w:r>
      <w:r>
        <w:rPr>
          <w:rFonts w:hint="eastAsia"/>
          <w:szCs w:val="18"/>
        </w:rPr>
        <w:t>需要进行修改。</w:t>
      </w:r>
    </w:p>
  </w:footnote>
  <w:footnote w:id="26">
    <w:p w14:paraId="0F8591A0">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投标人仅须在投标文件的澄清或说明上加盖CA数字证书中的单位章，或由法定代表人或其委托代理人的个人电子印章或电子签名</w:t>
      </w:r>
      <w:r>
        <w:rPr>
          <w:rFonts w:hint="eastAsia" w:hAnsi="宋体"/>
          <w:szCs w:val="18"/>
        </w:rPr>
        <w:t>。</w:t>
      </w:r>
    </w:p>
  </w:footnote>
  <w:footnote w:id="27">
    <w:p w14:paraId="77E6E45A">
      <w:pPr>
        <w:pStyle w:val="30"/>
        <w:spacing w:line="320" w:lineRule="atLeast"/>
        <w:ind w:left="180" w:hanging="180" w:hangingChars="100"/>
        <w:jc w:val="both"/>
        <w:rPr>
          <w:rFonts w:hint="eastAsia"/>
          <w:szCs w:val="18"/>
        </w:rPr>
      </w:pPr>
      <w:r>
        <w:rPr>
          <w:rStyle w:val="47"/>
          <w:szCs w:val="18"/>
        </w:rPr>
        <w:footnoteRef/>
      </w:r>
      <w:r>
        <w:rPr>
          <w:rFonts w:hint="eastAsia"/>
          <w:szCs w:val="18"/>
        </w:rPr>
        <w:t xml:space="preserve"> “合理低价法”是综合评估法的评分因素中评标价得分为100分、其他评分因素分值为0分的特例。“合理低价法”中，第一个信封（商务及技术文件）的评审应采用合格制。</w:t>
      </w:r>
    </w:p>
  </w:footnote>
  <w:footnote w:id="28">
    <w:p w14:paraId="3DE0CDAB">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29">
    <w:p w14:paraId="17BE9561">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30">
    <w:p w14:paraId="6E132FF6">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号）要求，招标人应通过名录对投标人资质条件进行审核的公路施工企业；如前款文件中规定的资质已由省级相关部门负责审核、审批，则不做要求。</w:t>
      </w:r>
    </w:p>
  </w:footnote>
  <w:footnote w:id="31">
    <w:p w14:paraId="7F6648C5">
      <w:pPr>
        <w:pStyle w:val="30"/>
        <w:spacing w:line="320" w:lineRule="atLeast"/>
        <w:ind w:left="180" w:hanging="180" w:hangingChars="100"/>
        <w:rPr>
          <w:rStyle w:val="47"/>
          <w:szCs w:val="18"/>
        </w:rPr>
      </w:pPr>
      <w:r>
        <w:rPr>
          <w:rStyle w:val="47"/>
          <w:szCs w:val="18"/>
        </w:rPr>
        <w:footnoteRef/>
      </w:r>
      <w:r>
        <w:rPr>
          <w:rFonts w:hint="eastAsia"/>
          <w:szCs w:val="18"/>
        </w:rPr>
        <w:t xml:space="preserve"> 如</w:t>
      </w:r>
      <w:r>
        <w:rPr>
          <w:rStyle w:val="47"/>
          <w:szCs w:val="18"/>
          <w:vertAlign w:val="baseline"/>
        </w:rPr>
        <w:t>本项目招标</w:t>
      </w:r>
      <w:r>
        <w:rPr>
          <w:rStyle w:val="47"/>
          <w:rFonts w:hint="eastAsia"/>
          <w:szCs w:val="18"/>
          <w:vertAlign w:val="baseline"/>
          <w:lang w:eastAsia="zh-CN"/>
        </w:rPr>
        <w:t>由</w:t>
      </w:r>
      <w:r>
        <w:rPr>
          <w:rFonts w:hint="eastAsia"/>
          <w:szCs w:val="18"/>
        </w:rPr>
        <w:t>投标人按照招标人提供的</w:t>
      </w:r>
      <w:r>
        <w:rPr>
          <w:szCs w:val="18"/>
        </w:rPr>
        <w:t>工程量固化清单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2">
    <w:p w14:paraId="11DE86F7">
      <w:pPr>
        <w:pStyle w:val="30"/>
        <w:snapToGrid w:val="0"/>
      </w:pPr>
      <w:r>
        <w:rPr>
          <w:rStyle w:val="47"/>
        </w:rPr>
        <w:footnoteRef/>
      </w:r>
      <w:r>
        <w:t xml:space="preserve"> </w:t>
      </w:r>
      <w:r>
        <w:rPr>
          <w:rFonts w:hint="eastAsia"/>
          <w:lang w:val="en-US" w:eastAsia="zh-CN"/>
        </w:rPr>
        <w:t>本合同仅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合同可</w:t>
      </w:r>
      <w:r>
        <w:rPr>
          <w:rFonts w:hint="eastAsia"/>
        </w:rPr>
        <w:t>参照</w:t>
      </w:r>
      <w:r>
        <w:rPr>
          <w:rFonts w:hint="eastAsia"/>
          <w:lang w:val="en-US" w:eastAsia="zh-CN"/>
        </w:rPr>
        <w:t>执行。</w:t>
      </w:r>
    </w:p>
  </w:footnote>
  <w:footnote w:id="33">
    <w:p w14:paraId="378A19A7">
      <w:pPr>
        <w:pStyle w:val="30"/>
        <w:rPr>
          <w:rFonts w:hint="eastAsia"/>
          <w:lang w:eastAsia="zh-CN"/>
        </w:rPr>
      </w:pPr>
      <w:r>
        <w:rPr>
          <w:rStyle w:val="47"/>
        </w:rPr>
        <w:footnoteRef/>
      </w:r>
      <w:r>
        <w:t xml:space="preserve"> </w:t>
      </w:r>
      <w:r>
        <w:rPr>
          <w:rFonts w:hint="eastAsia"/>
          <w:lang w:eastAsia="zh-CN"/>
        </w:rPr>
        <w:t>本部分不加修改地引用了国家九部委《标准施工招标文件》（2007年版）相关内容。</w:t>
      </w:r>
    </w:p>
  </w:footnote>
  <w:footnote w:id="34">
    <w:p w14:paraId="0322C7F7">
      <w:pPr>
        <w:pStyle w:val="30"/>
        <w:spacing w:line="320" w:lineRule="atLeast"/>
        <w:ind w:left="180" w:hanging="180" w:hangingChars="100"/>
        <w:rPr>
          <w:rFonts w:hint="eastAsia"/>
          <w:lang w:eastAsia="zh-CN"/>
        </w:rPr>
      </w:pPr>
      <w:r>
        <w:rPr>
          <w:rStyle w:val="47"/>
        </w:rPr>
        <w:footnoteRef/>
      </w:r>
      <w:r>
        <w:t xml:space="preserve"> 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35">
    <w:p w14:paraId="3FCA7CBC">
      <w:pPr>
        <w:pStyle w:val="30"/>
        <w:spacing w:line="300" w:lineRule="atLeast"/>
        <w:ind w:left="210" w:hanging="210"/>
        <w:rPr>
          <w:rFonts w:hint="eastAsia"/>
          <w:szCs w:val="18"/>
        </w:rPr>
      </w:pPr>
      <w:r>
        <w:rPr>
          <w:rStyle w:val="47"/>
          <w:szCs w:val="18"/>
        </w:rPr>
        <w:footnoteRef/>
      </w:r>
      <w:r>
        <w:rPr>
          <w:rFonts w:hint="eastAsia" w:hAnsi="Roman"/>
          <w:szCs w:val="18"/>
        </w:rPr>
        <w:t xml:space="preserve"> 缺陷责任期一般为自实际交工日期起计算</w:t>
      </w:r>
      <w:r>
        <w:rPr>
          <w:rFonts w:hint="eastAsia" w:hAnsi="Roman"/>
          <w:szCs w:val="18"/>
          <w:lang w:eastAsia="zh-CN"/>
        </w:rPr>
        <w:t>1</w:t>
      </w:r>
      <w:r>
        <w:rPr>
          <w:rFonts w:hint="eastAsia" w:hAnsi="Roman"/>
          <w:szCs w:val="18"/>
        </w:rPr>
        <w:t>年</w:t>
      </w:r>
      <w:r>
        <w:rPr>
          <w:rFonts w:hint="eastAsia" w:hAnsi="Roman"/>
          <w:szCs w:val="18"/>
          <w:lang w:eastAsia="zh-CN"/>
        </w:rPr>
        <w:t>，</w:t>
      </w:r>
      <w:r>
        <w:rPr>
          <w:rFonts w:hint="eastAsia" w:hAnsi="Roman"/>
          <w:szCs w:val="18"/>
        </w:rPr>
        <w:t>最长不超过</w:t>
      </w:r>
      <w:r>
        <w:rPr>
          <w:rFonts w:hint="eastAsia" w:hAnsi="Roman"/>
          <w:szCs w:val="18"/>
          <w:lang w:eastAsia="zh-CN"/>
        </w:rPr>
        <w:t>2年</w:t>
      </w:r>
      <w:r>
        <w:rPr>
          <w:rFonts w:hint="eastAsia" w:hAnsi="Roman"/>
          <w:szCs w:val="18"/>
        </w:rPr>
        <w:t>。</w:t>
      </w:r>
    </w:p>
  </w:footnote>
  <w:footnote w:id="36">
    <w:p w14:paraId="402EE391">
      <w:pPr>
        <w:pStyle w:val="30"/>
        <w:spacing w:line="300" w:lineRule="atLeast"/>
        <w:ind w:left="210" w:hanging="210"/>
        <w:rPr>
          <w:rFonts w:hint="eastAsia"/>
          <w:szCs w:val="18"/>
        </w:rPr>
      </w:pPr>
      <w:r>
        <w:rPr>
          <w:rStyle w:val="47"/>
          <w:szCs w:val="18"/>
        </w:rPr>
        <w:footnoteRef/>
      </w:r>
      <w:r>
        <w:rPr>
          <w:rFonts w:hint="eastAsia" w:hAnsi="Roman"/>
          <w:szCs w:val="18"/>
        </w:rPr>
        <w:t xml:space="preserve"> </w:t>
      </w:r>
      <w:r>
        <w:rPr>
          <w:rFonts w:hAnsi="Roman"/>
          <w:szCs w:val="18"/>
        </w:rPr>
        <w:t>逾期交工违约金限额</w:t>
      </w:r>
      <w:r>
        <w:rPr>
          <w:rFonts w:hint="eastAsia" w:hAnsi="Roman"/>
          <w:szCs w:val="18"/>
        </w:rPr>
        <w:t>一般应为10</w:t>
      </w:r>
      <w:r>
        <w:rPr>
          <w:rFonts w:hAnsi="Roman"/>
          <w:szCs w:val="18"/>
        </w:rPr>
        <w:t>%签约合同价</w:t>
      </w:r>
      <w:r>
        <w:rPr>
          <w:rFonts w:hint="eastAsia" w:hAnsi="Roman"/>
          <w:szCs w:val="18"/>
        </w:rPr>
        <w:t>。</w:t>
      </w:r>
    </w:p>
  </w:footnote>
  <w:footnote w:id="37">
    <w:p w14:paraId="7E25EA09">
      <w:pPr>
        <w:pStyle w:val="30"/>
        <w:spacing w:line="280" w:lineRule="atLeast"/>
        <w:ind w:left="210" w:hanging="210"/>
        <w:rPr>
          <w:rFonts w:hint="eastAsia"/>
          <w:szCs w:val="18"/>
        </w:rPr>
      </w:pPr>
      <w:r>
        <w:rPr>
          <w:rStyle w:val="47"/>
          <w:szCs w:val="18"/>
        </w:rPr>
        <w:footnoteRef/>
      </w:r>
      <w:r>
        <w:rPr>
          <w:szCs w:val="18"/>
        </w:rPr>
        <w:t xml:space="preserve"> </w:t>
      </w:r>
      <w:r>
        <w:rPr>
          <w:rFonts w:hint="eastAsia"/>
          <w:szCs w:val="18"/>
        </w:rPr>
        <w:t xml:space="preserve"> </w:t>
      </w:r>
      <w:r>
        <w:rPr>
          <w:rFonts w:hint="eastAsia" w:hAnsi="Roman"/>
          <w:szCs w:val="18"/>
        </w:rPr>
        <w:t>开工预付款金额一般应为10％签约合同价。</w:t>
      </w:r>
    </w:p>
  </w:footnote>
  <w:footnote w:id="38">
    <w:p w14:paraId="176C0BFA">
      <w:pPr>
        <w:pStyle w:val="30"/>
        <w:spacing w:line="280" w:lineRule="atLeast"/>
        <w:ind w:left="210" w:hanging="210"/>
        <w:rPr>
          <w:rFonts w:hint="eastAsia"/>
          <w:szCs w:val="18"/>
        </w:rPr>
      </w:pPr>
      <w:r>
        <w:rPr>
          <w:rStyle w:val="47"/>
          <w:szCs w:val="18"/>
        </w:rPr>
        <w:footnoteRef/>
      </w:r>
      <w:r>
        <w:rPr>
          <w:rFonts w:hint="eastAsia" w:hAnsi="Roman"/>
          <w:szCs w:val="18"/>
        </w:rPr>
        <w:t xml:space="preserve">  指主要材料，一般应为70%～75%，最低不少于60%。</w:t>
      </w:r>
    </w:p>
  </w:footnote>
  <w:footnote w:id="39">
    <w:p w14:paraId="1C32CE35">
      <w:pPr>
        <w:pStyle w:val="30"/>
        <w:spacing w:line="280" w:lineRule="atLeast"/>
        <w:ind w:left="210" w:hanging="210"/>
        <w:rPr>
          <w:rFonts w:hint="eastAsia"/>
          <w:szCs w:val="18"/>
        </w:rPr>
      </w:pPr>
      <w:r>
        <w:rPr>
          <w:rStyle w:val="47"/>
          <w:szCs w:val="18"/>
        </w:rPr>
        <w:footnoteRef/>
      </w:r>
      <w:r>
        <w:rPr>
          <w:rFonts w:hint="eastAsia" w:hAnsi="Roman"/>
          <w:szCs w:val="18"/>
        </w:rPr>
        <w:t xml:space="preserve">  国际上一般按月平均支付额的0.3</w:t>
      </w:r>
      <w:r>
        <w:rPr>
          <w:rFonts w:hint="eastAsia" w:hAnsi="Roman"/>
          <w:szCs w:val="18"/>
        </w:rPr>
        <w:sym w:font="Symbol" w:char="F07E"/>
      </w:r>
      <w:r>
        <w:rPr>
          <w:rFonts w:hint="eastAsia" w:hAnsi="Roman"/>
          <w:szCs w:val="18"/>
        </w:rPr>
        <w:t>0.5倍计算，我国可按0.2</w:t>
      </w:r>
      <w:r>
        <w:rPr>
          <w:rFonts w:hint="eastAsia" w:hAnsi="Roman"/>
          <w:szCs w:val="18"/>
        </w:rPr>
        <w:sym w:font="Symbol" w:char="F07E"/>
      </w:r>
      <w:r>
        <w:rPr>
          <w:rFonts w:hAnsi="Roman"/>
          <w:szCs w:val="18"/>
        </w:rPr>
        <w:t>0.3倍</w:t>
      </w:r>
      <w:r>
        <w:rPr>
          <w:rFonts w:hint="eastAsia" w:hAnsi="Roman"/>
          <w:szCs w:val="18"/>
        </w:rPr>
        <w:t>计</w:t>
      </w:r>
      <w:r>
        <w:rPr>
          <w:rFonts w:hint="eastAsia" w:hAnsi="Roman"/>
          <w:szCs w:val="18"/>
          <w:lang w:eastAsia="zh-CN"/>
        </w:rPr>
        <w:t>，</w:t>
      </w:r>
      <w:r>
        <w:rPr>
          <w:rFonts w:hint="eastAsia" w:hAnsi="Roman"/>
          <w:szCs w:val="18"/>
        </w:rPr>
        <w:t>以利承包人资金周转。</w:t>
      </w:r>
    </w:p>
  </w:footnote>
  <w:footnote w:id="40">
    <w:p w14:paraId="556DEC10">
      <w:pPr>
        <w:pStyle w:val="30"/>
        <w:spacing w:line="280" w:lineRule="atLeast"/>
        <w:ind w:left="210" w:hanging="210"/>
        <w:rPr>
          <w:rFonts w:hint="eastAsia"/>
          <w:szCs w:val="18"/>
        </w:rPr>
      </w:pPr>
      <w:r>
        <w:rPr>
          <w:rStyle w:val="47"/>
          <w:szCs w:val="18"/>
        </w:rPr>
        <w:footnoteRef/>
      </w:r>
      <w:r>
        <w:rPr>
          <w:rFonts w:hint="eastAsia"/>
          <w:szCs w:val="18"/>
        </w:rPr>
        <w:t xml:space="preserve"> </w:t>
      </w:r>
      <w:r>
        <w:rPr>
          <w:rFonts w:hint="eastAsia"/>
          <w:szCs w:val="18"/>
          <w:lang w:eastAsia="zh-CN"/>
        </w:rPr>
        <w:t xml:space="preserve"> </w:t>
      </w:r>
      <w:r>
        <w:rPr>
          <w:rFonts w:hint="eastAsia"/>
          <w:szCs w:val="18"/>
          <w:lang w:val="en-US" w:eastAsia="zh-CN"/>
        </w:rPr>
        <w:t>建设项目</w:t>
      </w:r>
      <w:r>
        <w:rPr>
          <w:rFonts w:hAnsi="Roman"/>
          <w:szCs w:val="18"/>
        </w:rPr>
        <w:t>保修期一般应为自实际交工日期起计算5年</w:t>
      </w:r>
      <w:r>
        <w:rPr>
          <w:rFonts w:hint="eastAsia" w:hAnsi="Roman"/>
          <w:szCs w:val="18"/>
          <w:lang w:eastAsia="zh-CN"/>
        </w:rPr>
        <w:t>，</w:t>
      </w:r>
      <w:r>
        <w:rPr>
          <w:rFonts w:hint="eastAsia" w:hAnsi="Roman"/>
          <w:szCs w:val="18"/>
          <w:lang w:val="en-US" w:eastAsia="zh-CN"/>
        </w:rPr>
        <w:t>养护项目根据项目实际情况设定</w:t>
      </w:r>
      <w:r>
        <w:rPr>
          <w:rFonts w:hint="eastAsia" w:hAnsi="Roman"/>
          <w:szCs w:val="18"/>
        </w:rPr>
        <w:t>。</w:t>
      </w:r>
    </w:p>
  </w:footnote>
  <w:footnote w:id="41">
    <w:p w14:paraId="002161AD">
      <w:pPr>
        <w:pStyle w:val="30"/>
        <w:snapToGrid w:val="0"/>
        <w:ind w:firstLine="0"/>
      </w:pPr>
      <w:r>
        <w:rPr>
          <w:rStyle w:val="47"/>
        </w:rPr>
        <w:footnoteRef/>
      </w:r>
      <w:r>
        <w:t xml:space="preserve"> </w:t>
      </w:r>
      <w:r>
        <w:rPr>
          <w:rFonts w:hint="eastAsia"/>
        </w:rPr>
        <w:t>招标人可结合</w:t>
      </w:r>
      <w:r>
        <w:rPr>
          <w:rFonts w:hint="eastAsia"/>
          <w:lang w:val="en-US" w:eastAsia="zh-CN"/>
        </w:rPr>
        <w:t>辽宁</w:t>
      </w:r>
      <w:r>
        <w:rPr>
          <w:rFonts w:hint="eastAsia"/>
        </w:rPr>
        <w:t>省公路建设领域管理政策文件</w:t>
      </w:r>
      <w:r>
        <w:rPr>
          <w:rFonts w:hint="eastAsia"/>
          <w:lang w:eastAsia="zh-CN"/>
        </w:rPr>
        <w:t>、招标项目具体特点和实际需要</w:t>
      </w:r>
      <w:r>
        <w:rPr>
          <w:rFonts w:hint="eastAsia"/>
        </w:rPr>
        <w:t>对项目专用合同条款进行补充、细化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42">
    <w:p w14:paraId="46EE37E6">
      <w:pPr>
        <w:pStyle w:val="30"/>
        <w:spacing w:line="300" w:lineRule="atLeast"/>
        <w:ind w:left="360" w:hanging="360" w:hangingChars="200"/>
        <w:jc w:val="both"/>
        <w:rPr>
          <w:szCs w:val="18"/>
        </w:rPr>
      </w:pPr>
      <w:r>
        <w:rPr>
          <w:rStyle w:val="47"/>
          <w:rFonts w:ascii="宋体" w:hAnsi="宋体"/>
          <w:szCs w:val="18"/>
        </w:rPr>
        <w:footnoteRef/>
      </w:r>
      <w:r>
        <w:rPr>
          <w:rFonts w:hint="eastAsia"/>
          <w:szCs w:val="18"/>
        </w:rPr>
        <w:t xml:space="preserve"> </w:t>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45DFBF6C">
      <w:pPr>
        <w:pStyle w:val="30"/>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43">
    <w:p w14:paraId="233BBC1C">
      <w:pPr>
        <w:pStyle w:val="30"/>
        <w:spacing w:line="300" w:lineRule="atLeast"/>
        <w:ind w:left="360" w:hanging="360" w:hangingChars="200"/>
        <w:rPr>
          <w:szCs w:val="18"/>
        </w:rPr>
      </w:pPr>
      <w:r>
        <w:rPr>
          <w:rStyle w:val="47"/>
          <w:szCs w:val="18"/>
        </w:rPr>
        <w:footnoteRef/>
      </w:r>
      <w:r>
        <w:rPr>
          <w:rFonts w:hint="eastAsia"/>
          <w:szCs w:val="18"/>
        </w:rPr>
        <w:t xml:space="preserve"> </w:t>
      </w:r>
      <w:r>
        <w:rPr>
          <w:szCs w:val="18"/>
        </w:rPr>
        <w:t>a.</w:t>
      </w:r>
      <w:r>
        <w:rPr>
          <w:rFonts w:hint="eastAsia"/>
          <w:szCs w:val="18"/>
        </w:rPr>
        <w:t xml:space="preserve"> </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698EA37E">
      <w:pPr>
        <w:pStyle w:val="30"/>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7871AFAF">
      <w:pPr>
        <w:pStyle w:val="30"/>
        <w:ind w:left="210" w:hanging="210"/>
        <w:rPr>
          <w:rFonts w:hint="eastAsia"/>
          <w:sz w:val="21"/>
          <w:szCs w:val="21"/>
        </w:rPr>
      </w:pPr>
    </w:p>
  </w:footnote>
  <w:footnote w:id="44">
    <w:p w14:paraId="315B33E9">
      <w:pPr>
        <w:pStyle w:val="30"/>
        <w:tabs>
          <w:tab w:val="left" w:pos="3780"/>
        </w:tabs>
        <w:spacing w:line="340" w:lineRule="atLeast"/>
        <w:ind w:left="210" w:hanging="210"/>
        <w:rPr>
          <w:rFonts w:hint="eastAsia"/>
        </w:rPr>
      </w:pPr>
      <w:r>
        <w:rPr>
          <w:rStyle w:val="47"/>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45">
    <w:p w14:paraId="2EBEDF32">
      <w:pPr>
        <w:pStyle w:val="30"/>
        <w:snapToGrid w:val="0"/>
      </w:pPr>
      <w:r>
        <w:rPr>
          <w:rStyle w:val="47"/>
          <w:kern w:val="2"/>
          <w:sz w:val="21"/>
          <w:szCs w:val="24"/>
        </w:rPr>
        <w:footnoteRef/>
      </w:r>
      <w:r>
        <w:t xml:space="preserve"> </w:t>
      </w:r>
      <w:r>
        <w:rPr>
          <w:rFonts w:hint="eastAsia"/>
          <w:lang w:val="en-US" w:eastAsia="zh-CN"/>
        </w:rPr>
        <w:t>本工程量清单仅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工程量清单应</w:t>
      </w:r>
      <w:r>
        <w:rPr>
          <w:rFonts w:hint="eastAsia"/>
        </w:rPr>
        <w:t>参照</w:t>
      </w:r>
      <w:r>
        <w:rPr>
          <w:rFonts w:hint="eastAsia"/>
          <w:lang w:val="en-US" w:eastAsia="zh-CN"/>
        </w:rPr>
        <w:t>执行</w:t>
      </w:r>
    </w:p>
  </w:footnote>
  <w:footnote w:id="46">
    <w:p w14:paraId="68DF7A92">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w:t>
      </w:r>
      <w:r>
        <w:rPr>
          <w:rFonts w:hint="eastAsia" w:cs="Times New Roman"/>
          <w:kern w:val="0"/>
          <w:sz w:val="18"/>
          <w:szCs w:val="20"/>
          <w:lang w:val="en-US" w:eastAsia="zh-CN" w:bidi="ar-SA"/>
        </w:rPr>
        <w:t>二</w:t>
      </w:r>
      <w:r>
        <w:rPr>
          <w:rFonts w:hint="eastAsia" w:ascii="Times New Roman" w:hAnsi="Times New Roman" w:eastAsia="宋体" w:cs="Times New Roman"/>
          <w:kern w:val="0"/>
          <w:sz w:val="18"/>
          <w:szCs w:val="20"/>
          <w:lang w:val="en-US" w:eastAsia="zh-CN" w:bidi="ar-SA"/>
        </w:rPr>
        <w:t>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 技术规范”、“第八章 工程量清单计量规则”中相关规定，根据项目特点和实际情况进行编制，向投标人免费提供下载。</w:t>
      </w:r>
    </w:p>
  </w:footnote>
  <w:footnote w:id="47">
    <w:p w14:paraId="3208B6D9">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详见《公路工程标准施工招标文件》（2018年版第三册），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 技术规范”、“第八章 工程量清单计量规则”中相关规定，根据项目特点和实际情况进行编制，向投标人免费提供下载。</w:t>
      </w:r>
    </w:p>
  </w:footnote>
  <w:footnote w:id="48">
    <w:p w14:paraId="31108465">
      <w:pPr>
        <w:pStyle w:val="30"/>
        <w:ind w:left="210" w:hanging="210"/>
        <w:rPr>
          <w:rFonts w:hint="eastAsia"/>
          <w:szCs w:val="18"/>
        </w:rPr>
      </w:pPr>
      <w:r>
        <w:rPr>
          <w:rStyle w:val="47"/>
          <w:szCs w:val="18"/>
        </w:rPr>
        <w:footnoteRef/>
      </w:r>
      <w:r>
        <w:rPr>
          <w:rFonts w:hint="eastAsia"/>
          <w:szCs w:val="18"/>
        </w:rPr>
        <w:t xml:space="preserve"> 招标人可结合招标项目具体特点和实际需要，对本章内容进行补充、细化。</w:t>
      </w:r>
    </w:p>
  </w:footnote>
  <w:footnote w:id="49">
    <w:p w14:paraId="18AD2F8F">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50">
    <w:p w14:paraId="77BAEC05">
      <w:pPr>
        <w:pStyle w:val="30"/>
        <w:spacing w:line="300" w:lineRule="atLeast"/>
        <w:ind w:left="180" w:hanging="210" w:hangingChars="100"/>
        <w:rPr>
          <w:szCs w:val="18"/>
        </w:rPr>
      </w:pPr>
      <w:r>
        <w:rPr>
          <w:rStyle w:val="47"/>
          <w:kern w:val="2"/>
          <w:sz w:val="21"/>
          <w:szCs w:val="18"/>
        </w:rPr>
        <w:footnoteRef/>
      </w:r>
      <w:r>
        <w:rPr>
          <w:szCs w:val="18"/>
        </w:rPr>
        <w:t xml:space="preserve"> </w:t>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51">
    <w:p w14:paraId="669834A2">
      <w:pPr>
        <w:pStyle w:val="30"/>
        <w:snapToGrid w:val="0"/>
        <w:ind w:firstLine="0"/>
        <w:rPr>
          <w:rFonts w:hint="default" w:eastAsia="宋体"/>
          <w:lang w:val="en-US" w:eastAsia="zh-CN"/>
        </w:rPr>
      </w:pPr>
      <w:r>
        <w:rPr>
          <w:rStyle w:val="47"/>
        </w:rPr>
        <w:footnoteRef/>
      </w:r>
      <w:r>
        <w:t xml:space="preserve"> </w:t>
      </w:r>
      <w:r>
        <w:rPr>
          <w:rFonts w:hint="eastAsia"/>
          <w:lang w:val="en-US" w:eastAsia="zh-CN"/>
        </w:rPr>
        <w:t>牵头人承担施工的份额不得低于联合体其他成员。</w:t>
      </w:r>
    </w:p>
  </w:footnote>
  <w:footnote w:id="52">
    <w:p w14:paraId="5E41AAD7">
      <w:pPr>
        <w:pStyle w:val="30"/>
        <w:spacing w:line="300" w:lineRule="atLeast"/>
        <w:ind w:left="180" w:hanging="180" w:hangingChars="100"/>
        <w:rPr>
          <w:rFonts w:hint="eastAsia" w:ascii="宋体-18030" w:hAnsi="宋体-18030" w:eastAsia="宋体-18030" w:cs="宋体-18030"/>
          <w:szCs w:val="18"/>
        </w:rPr>
      </w:pPr>
      <w:r>
        <w:rPr>
          <w:rStyle w:val="47"/>
          <w:rFonts w:ascii="宋体-18030" w:hAnsi="宋体-18030" w:eastAsia="宋体-18030" w:cs="宋体-18030"/>
          <w:szCs w:val="18"/>
        </w:rPr>
        <w:footnoteRef/>
      </w:r>
      <w:r>
        <w:rPr>
          <w:rFonts w:hint="eastAsia"/>
          <w:szCs w:val="18"/>
        </w:rPr>
        <w:t xml:space="preserve"> 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53">
    <w:p w14:paraId="7E65299B">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54">
    <w:p w14:paraId="6DB29027">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55">
    <w:p w14:paraId="41001978">
      <w:pPr>
        <w:pStyle w:val="30"/>
        <w:ind w:firstLine="0"/>
        <w:jc w:val="both"/>
        <w:rPr>
          <w:rFonts w:hint="eastAsia" w:ascii="宋体" w:hAnsi="宋体"/>
          <w:sz w:val="21"/>
          <w:szCs w:val="21"/>
        </w:rPr>
      </w:pPr>
      <w:r>
        <w:rPr>
          <w:rStyle w:val="47"/>
          <w:rFonts w:ascii="宋体" w:hAnsi="宋体"/>
        </w:rPr>
        <w:footnoteRef/>
      </w:r>
      <w:r>
        <w:rPr>
          <w:rFonts w:hint="eastAsia" w:ascii="宋体" w:hAnsi="宋体"/>
          <w:szCs w:val="18"/>
          <w:lang w:eastAsia="zh-CN"/>
        </w:rPr>
        <w:t xml:space="preserve"> </w:t>
      </w:r>
      <w:r>
        <w:rPr>
          <w:rFonts w:hint="eastAsia" w:ascii="宋体" w:hAnsi="宋体"/>
          <w:szCs w:val="18"/>
        </w:rPr>
        <w:t>本表仅适用于特别复杂的特大桥梁和特长隧道项目主体工程以及其他有特殊要求的工程。</w:t>
      </w:r>
    </w:p>
  </w:footnote>
  <w:footnote w:id="56">
    <w:p w14:paraId="13854128">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57">
    <w:p w14:paraId="4BD4D153">
      <w:pPr>
        <w:widowControl w:val="0"/>
        <w:adjustRightInd w:val="0"/>
        <w:snapToGrid w:val="0"/>
        <w:spacing w:line="420" w:lineRule="atLeast"/>
        <w:ind w:firstLine="454"/>
        <w:jc w:val="left"/>
        <w:textAlignment w:val="baseline"/>
        <w:rPr>
          <w:rFonts w:hint="default"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zh-CN" w:eastAsia="zh-CN" w:bidi="ar-SA"/>
        </w:rPr>
        <w:t xml:space="preserve"> </w:t>
      </w:r>
      <w:r>
        <w:rPr>
          <w:rFonts w:hint="eastAsia" w:ascii="Times New Roman" w:hAnsi="Times New Roman" w:eastAsia="宋体" w:cs="Times New Roman"/>
          <w:kern w:val="0"/>
          <w:sz w:val="18"/>
          <w:szCs w:val="20"/>
          <w:lang w:val="en-US" w:eastAsia="zh-CN" w:bidi="ar-SA"/>
        </w:rPr>
        <w:t>若本次招标接受联合体投标，以联合体形式参与投标的投标人，联合体各成员应分别填写信息。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1CDAF">
    <w:pPr>
      <w:pStyle w:val="27"/>
      <w:pBdr>
        <w:bottom w:val="none" w:color="auto" w:sz="0" w:space="0"/>
      </w:pBdr>
      <w:tabs>
        <w:tab w:val="left" w:pos="464"/>
        <w:tab w:val="center" w:pos="4397"/>
        <w:tab w:val="right" w:pos="8675"/>
        <w:tab w:val="clear" w:pos="8306"/>
      </w:tabs>
      <w:jc w:val="left"/>
      <w:rPr>
        <w:u w:val="single"/>
      </w:rPr>
    </w:pPr>
    <w:r>
      <w:rPr>
        <w:rFonts w:hint="eastAsia" w:eastAsia="黑体" w:cs="Times New Roman"/>
        <w:sz w:val="20"/>
        <w:szCs w:val="21"/>
        <w:u w:val="single"/>
        <w:lang w:eastAsia="zh-CN"/>
      </w:rPr>
      <w:t>营口市庄西线（太阳升至桥南段）修复养护工程</w:t>
    </w:r>
    <w:r>
      <w:rPr>
        <w:rFonts w:hint="eastAsia" w:eastAsia="黑体" w:cs="Times New Roman"/>
        <w:sz w:val="20"/>
        <w:szCs w:val="21"/>
        <w:u w:val="single"/>
        <w:lang w:eastAsia="zh-C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DC81F">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77038F3F">
    <w:pPr>
      <w:pStyle w:val="2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B2642">
    <w:pPr>
      <w:pStyle w:val="27"/>
      <w:jc w:val="left"/>
      <w:rPr>
        <w:rFonts w:hint="default" w:eastAsia="宋体"/>
        <w:szCs w:val="17"/>
        <w:lang w:val="en-US" w:eastAsia="zh-CN"/>
      </w:rPr>
    </w:pPr>
    <w:r>
      <w:rPr>
        <w:rFonts w:hint="eastAsia"/>
        <w:u w:val="single"/>
        <w:lang w:eastAsia="zh-CN"/>
      </w:rPr>
      <w:t>营口市庄西线（太阳升至桥南段）修复养护工程</w:t>
    </w:r>
    <w:r>
      <w:rPr>
        <w:rFonts w:hint="default"/>
        <w:u w:val="single"/>
      </w:rPr>
      <w:t>施工</w:t>
    </w:r>
    <w:r>
      <w:rPr>
        <w:rFonts w:hint="eastAsia"/>
        <w:u w:val="single"/>
        <w:lang w:val="en-US" w:eastAsia="zh-CN"/>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2F4E9">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78DBBA15">
    <w:pPr>
      <w:pStyle w:val="27"/>
    </w:pPr>
  </w:p>
  <w:p w14:paraId="25F0D245">
    <w:pPr>
      <w:pStyle w:val="27"/>
      <w:rPr>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0C50">
    <w:pPr>
      <w:pStyle w:val="27"/>
      <w:jc w:val="left"/>
      <w:rPr>
        <w:rFonts w:hint="default" w:eastAsia="宋体"/>
        <w:lang w:val="en-US" w:eastAsia="zh-CN"/>
      </w:rPr>
    </w:pPr>
    <w:r>
      <w:rPr>
        <w:rFonts w:hint="eastAsia"/>
        <w:u w:val="single"/>
        <w:lang w:eastAsia="zh-CN"/>
      </w:rPr>
      <w:t>营口市庄西线（太阳升至桥南段）修复养护工程</w:t>
    </w:r>
    <w:r>
      <w:rPr>
        <w:rFonts w:hint="default"/>
        <w:u w:val="single"/>
      </w:rPr>
      <w:t>施工</w:t>
    </w:r>
    <w:r>
      <w:rPr>
        <w:rFonts w:hint="eastAsia"/>
        <w:u w:val="single"/>
        <w:lang w:val="en-US" w:eastAsia="zh-CN"/>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83D54">
    <w:pPr>
      <w:pStyle w:val="27"/>
      <w:jc w:val="left"/>
      <w:rPr>
        <w:rFonts w:hint="default"/>
        <w:lang w:val="en-US"/>
      </w:rPr>
    </w:pPr>
    <w:r>
      <w:rPr>
        <w:rFonts w:hint="eastAsia" w:eastAsia="黑体" w:cs="Times New Roman"/>
        <w:sz w:val="20"/>
        <w:szCs w:val="21"/>
        <w:u w:val="single"/>
        <w:lang w:eastAsia="zh-CN"/>
      </w:rPr>
      <w:t>营口市庄西线（太阳升至桥南段）修复养护工程</w:t>
    </w:r>
    <w:r>
      <w:rPr>
        <w:rFonts w:hint="eastAsia" w:eastAsia="黑体" w:cs="Times New Roman"/>
        <w:sz w:val="20"/>
        <w:szCs w:val="21"/>
        <w:u w:val="single"/>
        <w:lang w:val="en-US" w:eastAsia="zh-CN"/>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32A32">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32DA6072">
    <w:pPr>
      <w:pStyle w:val="2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ADED4">
    <w:pPr>
      <w:pStyle w:val="27"/>
      <w:pBdr>
        <w:bottom w:val="single" w:color="auto" w:sz="4" w:space="0"/>
      </w:pBdr>
      <w:jc w:val="left"/>
      <w:rPr>
        <w:szCs w:val="17"/>
      </w:rPr>
    </w:pPr>
    <w:r>
      <w:rPr>
        <w:rFonts w:hint="eastAsia" w:eastAsia="黑体" w:cs="Times New Roman"/>
        <w:sz w:val="20"/>
        <w:szCs w:val="21"/>
        <w:lang w:eastAsia="zh-CN"/>
      </w:rPr>
      <w:t>辽宁省公路工程标准施工电子招标文件（2025年版）</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50632">
    <w:pPr>
      <w:pStyle w:val="27"/>
      <w:jc w:val="left"/>
      <w:rPr>
        <w:rFonts w:hint="default"/>
        <w:lang w:val="en-US"/>
      </w:rPr>
    </w:pPr>
    <w:r>
      <w:rPr>
        <w:rFonts w:hint="eastAsia" w:eastAsia="黑体" w:cs="Times New Roman"/>
        <w:sz w:val="20"/>
        <w:szCs w:val="21"/>
        <w:u w:val="single"/>
        <w:lang w:eastAsia="zh-CN"/>
      </w:rPr>
      <w:t>营口市庄西线（太阳升至桥南段）修复养护工程</w:t>
    </w:r>
    <w:r>
      <w:rPr>
        <w:rFonts w:hint="eastAsia" w:eastAsia="黑体" w:cs="Times New Roman"/>
        <w:sz w:val="20"/>
        <w:szCs w:val="21"/>
        <w:u w:val="single"/>
        <w:lang w:val="en-US" w:eastAsia="zh-CN"/>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3FB92">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2739DB7D">
    <w:pPr>
      <w:pStyle w:val="27"/>
      <w:rPr>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8F3E0">
    <w:pPr>
      <w:pStyle w:val="27"/>
      <w:wordWrap w:val="0"/>
      <w:jc w:val="right"/>
      <w:rPr>
        <w:sz w:val="17"/>
        <w:szCs w:val="17"/>
      </w:rPr>
    </w:pPr>
    <w:r>
      <w:rPr>
        <w:sz w:val="19"/>
        <w:szCs w:val="19"/>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61312;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5F27">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250C320E">
    <w:pPr>
      <w:pStyle w:val="2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7974">
    <w:pPr>
      <w:pStyle w:val="27"/>
      <w:jc w:val="left"/>
      <w:rPr>
        <w:rFonts w:hint="default"/>
        <w:lang w:val="en-US"/>
      </w:rPr>
    </w:pPr>
    <w:r>
      <w:rPr>
        <w:rFonts w:hint="eastAsia" w:eastAsia="黑体" w:cs="Times New Roman"/>
        <w:sz w:val="20"/>
        <w:szCs w:val="21"/>
        <w:u w:val="single"/>
        <w:lang w:eastAsia="zh-CN"/>
      </w:rPr>
      <w:t>营口市庄西线（太阳升至桥南段）修复养护工程</w:t>
    </w:r>
    <w:r>
      <w:rPr>
        <w:rFonts w:hint="eastAsia" w:eastAsia="黑体" w:cs="Times New Roman"/>
        <w:sz w:val="20"/>
        <w:szCs w:val="21"/>
        <w:u w:val="single"/>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425E9">
    <w:pPr>
      <w:pStyle w:val="27"/>
      <w:wordWrap w:val="0"/>
      <w:ind w:right="315"/>
      <w:jc w:val="right"/>
      <w:rPr>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678BE">
    <w:pPr>
      <w:pStyle w:val="27"/>
      <w:jc w:val="left"/>
      <w:rPr>
        <w:rFonts w:hint="default" w:eastAsia="宋体"/>
        <w:u w:val="single"/>
        <w:lang w:val="en-US" w:eastAsia="zh-CN"/>
      </w:rPr>
    </w:pPr>
    <w:r>
      <w:rPr>
        <w:rFonts w:hint="eastAsia"/>
        <w:u w:val="single"/>
        <w:lang w:eastAsia="zh-CN"/>
      </w:rPr>
      <w:t>营口市庄西线（太阳升至桥南段）修复养护工程</w:t>
    </w:r>
    <w:r>
      <w:rPr>
        <w:rFonts w:hint="default"/>
        <w:u w:val="single"/>
      </w:rPr>
      <w:t>施工</w:t>
    </w:r>
    <w:r>
      <w:rPr>
        <w:rFonts w:hint="eastAsia"/>
        <w:u w:val="single"/>
        <w:lang w:val="en-US" w:eastAsia="zh-CN"/>
      </w:rPr>
      <w:t xml:space="preserve">                                                </w:t>
    </w:r>
  </w:p>
  <w:p w14:paraId="36BA5C21">
    <w:pPr>
      <w:pStyle w:val="27"/>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8CA43">
    <w:pPr>
      <w:pStyle w:val="27"/>
      <w:jc w:val="left"/>
      <w:rPr>
        <w:rFonts w:hint="default" w:eastAsia="宋体"/>
        <w:u w:val="single"/>
        <w:lang w:val="en-US" w:eastAsia="zh-CN"/>
      </w:rPr>
    </w:pPr>
    <w:r>
      <w:rPr>
        <w:rFonts w:hint="eastAsia"/>
        <w:u w:val="single"/>
        <w:lang w:eastAsia="zh-CN"/>
      </w:rPr>
      <w:t>营口市庄西线（太阳升至桥南段）修复养护工程</w:t>
    </w:r>
    <w:r>
      <w:rPr>
        <w:rFonts w:hint="default"/>
        <w:u w:val="single"/>
      </w:rPr>
      <w:t>施工</w:t>
    </w:r>
    <w:r>
      <w:rPr>
        <w:rFonts w:hint="eastAsia"/>
        <w:u w:val="single"/>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07EDD">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3919B157">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1E276">
    <w:pPr>
      <w:pStyle w:val="27"/>
      <w:jc w:val="left"/>
      <w:rPr>
        <w:rFonts w:hint="default" w:eastAsia="宋体"/>
        <w:lang w:val="en-US" w:eastAsia="zh-CN"/>
      </w:rPr>
    </w:pPr>
    <w:r>
      <w:rPr>
        <w:rFonts w:hint="eastAsia"/>
        <w:u w:val="single"/>
        <w:lang w:eastAsia="zh-CN"/>
      </w:rPr>
      <w:t>营口市庄西线（太阳升至桥南段）修复养护工程</w:t>
    </w:r>
    <w:r>
      <w:rPr>
        <w:rFonts w:hint="default"/>
        <w:u w:val="single"/>
      </w:rPr>
      <w:t>施工</w:t>
    </w:r>
    <w:r>
      <w:rPr>
        <w:rFonts w:hint="eastAsia"/>
        <w:u w:val="single"/>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9ABB6">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37856793">
    <w:pPr>
      <w:pStyle w:val="27"/>
    </w:pPr>
  </w:p>
  <w:p w14:paraId="6BF6DFFE">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440F">
    <w:pPr>
      <w:pStyle w:val="27"/>
      <w:jc w:val="left"/>
      <w:rPr>
        <w:rFonts w:hint="default" w:eastAsia="宋体"/>
        <w:lang w:val="en-US" w:eastAsia="zh-CN"/>
      </w:rPr>
    </w:pPr>
    <w:r>
      <w:rPr>
        <w:rFonts w:hint="eastAsia"/>
        <w:u w:val="single"/>
        <w:lang w:eastAsia="zh-CN"/>
      </w:rPr>
      <w:t>营口市庄西线（太阳升至桥南段）修复养护工程</w:t>
    </w:r>
    <w:r>
      <w:rPr>
        <w:rFonts w:hint="default"/>
        <w:u w:val="single"/>
      </w:rPr>
      <w:t>施工</w:t>
    </w:r>
    <w:r>
      <w:rPr>
        <w:rFonts w:hint="eastAsia"/>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410E9"/>
    <w:multiLevelType w:val="singleLevel"/>
    <w:tmpl w:val="94F410E9"/>
    <w:lvl w:ilvl="0" w:tentative="0">
      <w:start w:val="2"/>
      <w:numFmt w:val="decimal"/>
      <w:suff w:val="space"/>
      <w:lvlText w:val="（%1）"/>
      <w:lvlJc w:val="left"/>
    </w:lvl>
  </w:abstractNum>
  <w:abstractNum w:abstractNumId="1">
    <w:nsid w:val="AA78C048"/>
    <w:multiLevelType w:val="singleLevel"/>
    <w:tmpl w:val="AA78C048"/>
    <w:lvl w:ilvl="0" w:tentative="0">
      <w:start w:val="5"/>
      <w:numFmt w:val="chineseCounting"/>
      <w:suff w:val="nothing"/>
      <w:lvlText w:val="（%1）"/>
      <w:lvlJc w:val="left"/>
      <w:rPr>
        <w:rFonts w:hint="eastAsia"/>
      </w:rPr>
    </w:lvl>
  </w:abstractNum>
  <w:abstractNum w:abstractNumId="2">
    <w:nsid w:val="0726403C"/>
    <w:multiLevelType w:val="singleLevel"/>
    <w:tmpl w:val="0726403C"/>
    <w:lvl w:ilvl="0" w:tentative="0">
      <w:start w:val="2"/>
      <w:numFmt w:val="decimal"/>
      <w:lvlText w:val="%1."/>
      <w:lvlJc w:val="left"/>
      <w:pPr>
        <w:tabs>
          <w:tab w:val="left" w:pos="312"/>
        </w:tabs>
      </w:pPr>
    </w:lvl>
  </w:abstractNum>
  <w:abstractNum w:abstractNumId="3">
    <w:nsid w:val="39A0FE32"/>
    <w:multiLevelType w:val="singleLevel"/>
    <w:tmpl w:val="39A0FE32"/>
    <w:lvl w:ilvl="0" w:tentative="0">
      <w:start w:val="1"/>
      <w:numFmt w:val="decimal"/>
      <w:suff w:val="nothing"/>
      <w:lvlText w:val="（%1）"/>
      <w:lvlJc w:val="left"/>
    </w:lvl>
  </w:abstractNum>
  <w:abstractNum w:abstractNumId="4">
    <w:nsid w:val="768F206C"/>
    <w:multiLevelType w:val="singleLevel"/>
    <w:tmpl w:val="768F206C"/>
    <w:lvl w:ilvl="0" w:tentative="0">
      <w:start w:val="3"/>
      <w:numFmt w:val="decimal"/>
      <w:suff w:val="nothing"/>
      <w:lvlText w:val="（%1）"/>
      <w:lvlJc w:val="left"/>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numFmt w:val="decimalEnclosedCircleChinese"/>
    <w:numRestart w:val="eachPage"/>
    <w:footnote w:id="116"/>
    <w:footnote w:id="11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ZTQ4Y2Y2NGEzY2MxZDQyNGU0OThlOWNkMmVjZTM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19"/>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C14"/>
    <w:rsid w:val="006150E6"/>
    <w:rsid w:val="00616991"/>
    <w:rsid w:val="00616DE0"/>
    <w:rsid w:val="006170F0"/>
    <w:rsid w:val="00617454"/>
    <w:rsid w:val="006203D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3C246A"/>
    <w:rsid w:val="014A14D6"/>
    <w:rsid w:val="01761461"/>
    <w:rsid w:val="0179527E"/>
    <w:rsid w:val="01CF0D89"/>
    <w:rsid w:val="020D657A"/>
    <w:rsid w:val="0223236F"/>
    <w:rsid w:val="022624E7"/>
    <w:rsid w:val="02287C7B"/>
    <w:rsid w:val="02952C5E"/>
    <w:rsid w:val="02BC242F"/>
    <w:rsid w:val="02E465FD"/>
    <w:rsid w:val="02FB5F01"/>
    <w:rsid w:val="03CA0201"/>
    <w:rsid w:val="04250D9C"/>
    <w:rsid w:val="046E5030"/>
    <w:rsid w:val="047C774D"/>
    <w:rsid w:val="049B596F"/>
    <w:rsid w:val="04CC1D57"/>
    <w:rsid w:val="05105453"/>
    <w:rsid w:val="053A2227"/>
    <w:rsid w:val="059A5C98"/>
    <w:rsid w:val="05E41A1D"/>
    <w:rsid w:val="0652373C"/>
    <w:rsid w:val="065B4DA2"/>
    <w:rsid w:val="06636FB2"/>
    <w:rsid w:val="06644482"/>
    <w:rsid w:val="06A64F55"/>
    <w:rsid w:val="06B55198"/>
    <w:rsid w:val="06C66471"/>
    <w:rsid w:val="07041C7C"/>
    <w:rsid w:val="07222102"/>
    <w:rsid w:val="073B6441"/>
    <w:rsid w:val="07D97889"/>
    <w:rsid w:val="07F461D2"/>
    <w:rsid w:val="089B2A84"/>
    <w:rsid w:val="08AB319A"/>
    <w:rsid w:val="092142EF"/>
    <w:rsid w:val="09525099"/>
    <w:rsid w:val="09774987"/>
    <w:rsid w:val="097F26F2"/>
    <w:rsid w:val="09B8437B"/>
    <w:rsid w:val="0A294445"/>
    <w:rsid w:val="0A391C3C"/>
    <w:rsid w:val="0A456833"/>
    <w:rsid w:val="0AC345EC"/>
    <w:rsid w:val="0AC54D37"/>
    <w:rsid w:val="0B544A8F"/>
    <w:rsid w:val="0B5A4560"/>
    <w:rsid w:val="0B952081"/>
    <w:rsid w:val="0B960351"/>
    <w:rsid w:val="0C867A32"/>
    <w:rsid w:val="0C936BC5"/>
    <w:rsid w:val="0CB8497B"/>
    <w:rsid w:val="0CF555B7"/>
    <w:rsid w:val="0CF57E91"/>
    <w:rsid w:val="0CF75B15"/>
    <w:rsid w:val="0D305579"/>
    <w:rsid w:val="0D5867A2"/>
    <w:rsid w:val="0D5B47C8"/>
    <w:rsid w:val="0DB25FD8"/>
    <w:rsid w:val="0E7A1107"/>
    <w:rsid w:val="0ECD60CB"/>
    <w:rsid w:val="0ED87C76"/>
    <w:rsid w:val="0EE53CAA"/>
    <w:rsid w:val="0F342827"/>
    <w:rsid w:val="0F630EB1"/>
    <w:rsid w:val="0F6A1754"/>
    <w:rsid w:val="0F6B6962"/>
    <w:rsid w:val="0FBE2456"/>
    <w:rsid w:val="0FBF030D"/>
    <w:rsid w:val="0FCF7A0F"/>
    <w:rsid w:val="0FE443F8"/>
    <w:rsid w:val="0FE53F92"/>
    <w:rsid w:val="0FED5C57"/>
    <w:rsid w:val="10075607"/>
    <w:rsid w:val="101501AD"/>
    <w:rsid w:val="102953CE"/>
    <w:rsid w:val="106F0518"/>
    <w:rsid w:val="10807302"/>
    <w:rsid w:val="1083627A"/>
    <w:rsid w:val="113349F9"/>
    <w:rsid w:val="116515C8"/>
    <w:rsid w:val="11CF2F85"/>
    <w:rsid w:val="11EE5EEA"/>
    <w:rsid w:val="12284C92"/>
    <w:rsid w:val="129E4D82"/>
    <w:rsid w:val="12AC31BF"/>
    <w:rsid w:val="12D84F2E"/>
    <w:rsid w:val="12D940DE"/>
    <w:rsid w:val="12F6691D"/>
    <w:rsid w:val="1303121D"/>
    <w:rsid w:val="13555C66"/>
    <w:rsid w:val="1379754E"/>
    <w:rsid w:val="137E6702"/>
    <w:rsid w:val="139B3968"/>
    <w:rsid w:val="13AA0314"/>
    <w:rsid w:val="13BE6177"/>
    <w:rsid w:val="13BF31B2"/>
    <w:rsid w:val="13BF47FD"/>
    <w:rsid w:val="13FA2E27"/>
    <w:rsid w:val="14382F65"/>
    <w:rsid w:val="143E2EE3"/>
    <w:rsid w:val="14787805"/>
    <w:rsid w:val="1486741F"/>
    <w:rsid w:val="149B570F"/>
    <w:rsid w:val="14A012B1"/>
    <w:rsid w:val="14E13D7A"/>
    <w:rsid w:val="15320AA9"/>
    <w:rsid w:val="15D31197"/>
    <w:rsid w:val="15D46D50"/>
    <w:rsid w:val="15D84585"/>
    <w:rsid w:val="15F34711"/>
    <w:rsid w:val="16077093"/>
    <w:rsid w:val="160F7CF5"/>
    <w:rsid w:val="162166CB"/>
    <w:rsid w:val="16B40898"/>
    <w:rsid w:val="16C17241"/>
    <w:rsid w:val="16C968FB"/>
    <w:rsid w:val="1705493D"/>
    <w:rsid w:val="1736653A"/>
    <w:rsid w:val="177A699D"/>
    <w:rsid w:val="17A1683C"/>
    <w:rsid w:val="17B46CFB"/>
    <w:rsid w:val="17D8243D"/>
    <w:rsid w:val="18367024"/>
    <w:rsid w:val="18381BC6"/>
    <w:rsid w:val="185F0EA1"/>
    <w:rsid w:val="18624A54"/>
    <w:rsid w:val="18851D55"/>
    <w:rsid w:val="18C13618"/>
    <w:rsid w:val="18F460C2"/>
    <w:rsid w:val="19051B6A"/>
    <w:rsid w:val="19150E7F"/>
    <w:rsid w:val="193E287A"/>
    <w:rsid w:val="19622356"/>
    <w:rsid w:val="19802244"/>
    <w:rsid w:val="198028E2"/>
    <w:rsid w:val="19930475"/>
    <w:rsid w:val="19E1230A"/>
    <w:rsid w:val="1A352354"/>
    <w:rsid w:val="1A47372A"/>
    <w:rsid w:val="1A7D03A7"/>
    <w:rsid w:val="1B3452EB"/>
    <w:rsid w:val="1B8013F7"/>
    <w:rsid w:val="1B9B0E19"/>
    <w:rsid w:val="1BB13295"/>
    <w:rsid w:val="1BB9498B"/>
    <w:rsid w:val="1BDC4942"/>
    <w:rsid w:val="1C2E32EC"/>
    <w:rsid w:val="1C8F12C8"/>
    <w:rsid w:val="1C9A707C"/>
    <w:rsid w:val="1CF63BC0"/>
    <w:rsid w:val="1D2A5330"/>
    <w:rsid w:val="1D72244E"/>
    <w:rsid w:val="1D8A5E16"/>
    <w:rsid w:val="1D93318F"/>
    <w:rsid w:val="1D9F3C04"/>
    <w:rsid w:val="1DB91B5D"/>
    <w:rsid w:val="1DFC3698"/>
    <w:rsid w:val="1E0647C5"/>
    <w:rsid w:val="1EB070A6"/>
    <w:rsid w:val="1EBF46A7"/>
    <w:rsid w:val="1F157ADB"/>
    <w:rsid w:val="1F200154"/>
    <w:rsid w:val="1F417171"/>
    <w:rsid w:val="1F582468"/>
    <w:rsid w:val="1F621C78"/>
    <w:rsid w:val="1F8C2A73"/>
    <w:rsid w:val="1FB231D9"/>
    <w:rsid w:val="1FB36144"/>
    <w:rsid w:val="1FBF1CE9"/>
    <w:rsid w:val="1FCD2AA2"/>
    <w:rsid w:val="200B7C2C"/>
    <w:rsid w:val="20567506"/>
    <w:rsid w:val="205A2A93"/>
    <w:rsid w:val="21EF7359"/>
    <w:rsid w:val="22206454"/>
    <w:rsid w:val="22241AE3"/>
    <w:rsid w:val="22360C22"/>
    <w:rsid w:val="22397D58"/>
    <w:rsid w:val="225B3EBB"/>
    <w:rsid w:val="22832D4C"/>
    <w:rsid w:val="22920A1B"/>
    <w:rsid w:val="22DB0789"/>
    <w:rsid w:val="2307194D"/>
    <w:rsid w:val="231F117D"/>
    <w:rsid w:val="234500A6"/>
    <w:rsid w:val="23640EA6"/>
    <w:rsid w:val="23966838"/>
    <w:rsid w:val="23CA2319"/>
    <w:rsid w:val="23F24EDE"/>
    <w:rsid w:val="24352EBB"/>
    <w:rsid w:val="246B212F"/>
    <w:rsid w:val="247C0254"/>
    <w:rsid w:val="24E85830"/>
    <w:rsid w:val="24EC7CE0"/>
    <w:rsid w:val="2500391B"/>
    <w:rsid w:val="25043B62"/>
    <w:rsid w:val="25295B12"/>
    <w:rsid w:val="252A328F"/>
    <w:rsid w:val="25503253"/>
    <w:rsid w:val="25787F96"/>
    <w:rsid w:val="25CF3ED6"/>
    <w:rsid w:val="25D725DE"/>
    <w:rsid w:val="261A6219"/>
    <w:rsid w:val="26341C2C"/>
    <w:rsid w:val="263961BD"/>
    <w:rsid w:val="2666008D"/>
    <w:rsid w:val="26A52B1C"/>
    <w:rsid w:val="26E21CEE"/>
    <w:rsid w:val="272938E6"/>
    <w:rsid w:val="273713E4"/>
    <w:rsid w:val="27436592"/>
    <w:rsid w:val="274769D1"/>
    <w:rsid w:val="27545B4C"/>
    <w:rsid w:val="278B7DC4"/>
    <w:rsid w:val="27BD3A55"/>
    <w:rsid w:val="28056DA0"/>
    <w:rsid w:val="282E0A77"/>
    <w:rsid w:val="283261F1"/>
    <w:rsid w:val="28987C75"/>
    <w:rsid w:val="28C719C7"/>
    <w:rsid w:val="28DF440F"/>
    <w:rsid w:val="2908745E"/>
    <w:rsid w:val="29D84B76"/>
    <w:rsid w:val="29F83574"/>
    <w:rsid w:val="2A10518F"/>
    <w:rsid w:val="2A1262DA"/>
    <w:rsid w:val="2A1C3B9F"/>
    <w:rsid w:val="2A367F13"/>
    <w:rsid w:val="2A4009B3"/>
    <w:rsid w:val="2A6571D9"/>
    <w:rsid w:val="2AA077A9"/>
    <w:rsid w:val="2AA1765E"/>
    <w:rsid w:val="2AF459E0"/>
    <w:rsid w:val="2B9F589A"/>
    <w:rsid w:val="2BBE286E"/>
    <w:rsid w:val="2BFD78DC"/>
    <w:rsid w:val="2C7F52AD"/>
    <w:rsid w:val="2CE4003B"/>
    <w:rsid w:val="2D5B7F98"/>
    <w:rsid w:val="2D8868B3"/>
    <w:rsid w:val="2D957CF5"/>
    <w:rsid w:val="2DDD37EA"/>
    <w:rsid w:val="2DEF2F2B"/>
    <w:rsid w:val="2DF13843"/>
    <w:rsid w:val="2E8C4181"/>
    <w:rsid w:val="2EED766F"/>
    <w:rsid w:val="2EFE144D"/>
    <w:rsid w:val="2F1D3524"/>
    <w:rsid w:val="2FD72080"/>
    <w:rsid w:val="301E35DD"/>
    <w:rsid w:val="30AA4E20"/>
    <w:rsid w:val="30B5232B"/>
    <w:rsid w:val="30B74C4B"/>
    <w:rsid w:val="30F93D50"/>
    <w:rsid w:val="314F1BC2"/>
    <w:rsid w:val="31666628"/>
    <w:rsid w:val="3172765E"/>
    <w:rsid w:val="31E30425"/>
    <w:rsid w:val="321E1D1F"/>
    <w:rsid w:val="32430FFB"/>
    <w:rsid w:val="33613FFE"/>
    <w:rsid w:val="336143E6"/>
    <w:rsid w:val="337445BC"/>
    <w:rsid w:val="34692E8B"/>
    <w:rsid w:val="34886BFB"/>
    <w:rsid w:val="348C6C89"/>
    <w:rsid w:val="34957CEA"/>
    <w:rsid w:val="34B55906"/>
    <w:rsid w:val="34EF4842"/>
    <w:rsid w:val="34F66FC6"/>
    <w:rsid w:val="3518676F"/>
    <w:rsid w:val="3537548D"/>
    <w:rsid w:val="35594B75"/>
    <w:rsid w:val="3576279B"/>
    <w:rsid w:val="357A2DF7"/>
    <w:rsid w:val="35A41BC7"/>
    <w:rsid w:val="35C70A00"/>
    <w:rsid w:val="35E37C57"/>
    <w:rsid w:val="36320DCE"/>
    <w:rsid w:val="36940077"/>
    <w:rsid w:val="36993E75"/>
    <w:rsid w:val="36D3445E"/>
    <w:rsid w:val="37075C97"/>
    <w:rsid w:val="37297BEE"/>
    <w:rsid w:val="374B13F0"/>
    <w:rsid w:val="3756191A"/>
    <w:rsid w:val="37671737"/>
    <w:rsid w:val="379A18B5"/>
    <w:rsid w:val="37B704C1"/>
    <w:rsid w:val="37D75647"/>
    <w:rsid w:val="37DB681C"/>
    <w:rsid w:val="38017E84"/>
    <w:rsid w:val="38141101"/>
    <w:rsid w:val="384C15E7"/>
    <w:rsid w:val="3862042D"/>
    <w:rsid w:val="38C01602"/>
    <w:rsid w:val="39243B3D"/>
    <w:rsid w:val="396B3311"/>
    <w:rsid w:val="39706D97"/>
    <w:rsid w:val="39A14223"/>
    <w:rsid w:val="39A828A4"/>
    <w:rsid w:val="39E24842"/>
    <w:rsid w:val="3A0E1EEE"/>
    <w:rsid w:val="3A346490"/>
    <w:rsid w:val="3A8B1791"/>
    <w:rsid w:val="3AC56C4A"/>
    <w:rsid w:val="3AE73B09"/>
    <w:rsid w:val="3B217D32"/>
    <w:rsid w:val="3B6B584A"/>
    <w:rsid w:val="3CC2593E"/>
    <w:rsid w:val="3D1433A2"/>
    <w:rsid w:val="3D29758D"/>
    <w:rsid w:val="3D93125D"/>
    <w:rsid w:val="3D941B11"/>
    <w:rsid w:val="3D9C2ADA"/>
    <w:rsid w:val="3D9D11C2"/>
    <w:rsid w:val="3DAD0409"/>
    <w:rsid w:val="3DC93E69"/>
    <w:rsid w:val="3E2724E7"/>
    <w:rsid w:val="3E27676D"/>
    <w:rsid w:val="3E795988"/>
    <w:rsid w:val="3E907376"/>
    <w:rsid w:val="3EA476C2"/>
    <w:rsid w:val="3ECB4852"/>
    <w:rsid w:val="3EDE3CCE"/>
    <w:rsid w:val="3F177A97"/>
    <w:rsid w:val="3F213F04"/>
    <w:rsid w:val="3F421D64"/>
    <w:rsid w:val="3F951D52"/>
    <w:rsid w:val="3FC901E2"/>
    <w:rsid w:val="40C1415E"/>
    <w:rsid w:val="410D3D4D"/>
    <w:rsid w:val="41112B20"/>
    <w:rsid w:val="41150C03"/>
    <w:rsid w:val="41377EA7"/>
    <w:rsid w:val="413F78B7"/>
    <w:rsid w:val="415914C1"/>
    <w:rsid w:val="41766CF7"/>
    <w:rsid w:val="418677AA"/>
    <w:rsid w:val="41B25855"/>
    <w:rsid w:val="41BC374E"/>
    <w:rsid w:val="41C90103"/>
    <w:rsid w:val="429B3FD5"/>
    <w:rsid w:val="42C62596"/>
    <w:rsid w:val="434846C3"/>
    <w:rsid w:val="434B078A"/>
    <w:rsid w:val="438870AF"/>
    <w:rsid w:val="43A279BA"/>
    <w:rsid w:val="43BA2B9E"/>
    <w:rsid w:val="43E80323"/>
    <w:rsid w:val="43EA6644"/>
    <w:rsid w:val="43FA5FE2"/>
    <w:rsid w:val="44322D4A"/>
    <w:rsid w:val="444A6219"/>
    <w:rsid w:val="44C64D54"/>
    <w:rsid w:val="44D779CD"/>
    <w:rsid w:val="44DC3C69"/>
    <w:rsid w:val="44F77F05"/>
    <w:rsid w:val="45856946"/>
    <w:rsid w:val="45A84FC2"/>
    <w:rsid w:val="45D8555E"/>
    <w:rsid w:val="45F770E7"/>
    <w:rsid w:val="463351B6"/>
    <w:rsid w:val="469D4D26"/>
    <w:rsid w:val="46AB6703"/>
    <w:rsid w:val="46BC589A"/>
    <w:rsid w:val="4736312B"/>
    <w:rsid w:val="476602F6"/>
    <w:rsid w:val="47700D63"/>
    <w:rsid w:val="478F0B12"/>
    <w:rsid w:val="47A869D1"/>
    <w:rsid w:val="47AC1243"/>
    <w:rsid w:val="47C02B27"/>
    <w:rsid w:val="47C031D6"/>
    <w:rsid w:val="47FF5F01"/>
    <w:rsid w:val="481B23A3"/>
    <w:rsid w:val="485B2011"/>
    <w:rsid w:val="4866760A"/>
    <w:rsid w:val="489F24E0"/>
    <w:rsid w:val="48AC1C02"/>
    <w:rsid w:val="4948005A"/>
    <w:rsid w:val="498E6BA8"/>
    <w:rsid w:val="49AE1FB3"/>
    <w:rsid w:val="49D74501"/>
    <w:rsid w:val="4A3634C7"/>
    <w:rsid w:val="4A3B4A5C"/>
    <w:rsid w:val="4A565917"/>
    <w:rsid w:val="4AAB53E3"/>
    <w:rsid w:val="4AEF36A5"/>
    <w:rsid w:val="4AF306B5"/>
    <w:rsid w:val="4BDA4326"/>
    <w:rsid w:val="4C8B5BC6"/>
    <w:rsid w:val="4D081D6E"/>
    <w:rsid w:val="4D3B0DF4"/>
    <w:rsid w:val="4D4C3002"/>
    <w:rsid w:val="4D5214EF"/>
    <w:rsid w:val="4D79052A"/>
    <w:rsid w:val="4D7E0E31"/>
    <w:rsid w:val="4DD82969"/>
    <w:rsid w:val="4E025A20"/>
    <w:rsid w:val="4E4C43BA"/>
    <w:rsid w:val="4E7B0D91"/>
    <w:rsid w:val="4E997359"/>
    <w:rsid w:val="4ED92F65"/>
    <w:rsid w:val="4F0D3938"/>
    <w:rsid w:val="4F3E57BE"/>
    <w:rsid w:val="4F46001C"/>
    <w:rsid w:val="4F766E4A"/>
    <w:rsid w:val="4FFF6735"/>
    <w:rsid w:val="50224539"/>
    <w:rsid w:val="503B7ECA"/>
    <w:rsid w:val="50562373"/>
    <w:rsid w:val="50D15CF8"/>
    <w:rsid w:val="51122012"/>
    <w:rsid w:val="512962D7"/>
    <w:rsid w:val="51501312"/>
    <w:rsid w:val="518D4B89"/>
    <w:rsid w:val="519059F2"/>
    <w:rsid w:val="51A72DA3"/>
    <w:rsid w:val="51D718C7"/>
    <w:rsid w:val="51FB0B52"/>
    <w:rsid w:val="52CF44B9"/>
    <w:rsid w:val="52E863D3"/>
    <w:rsid w:val="532A2A4A"/>
    <w:rsid w:val="53622C10"/>
    <w:rsid w:val="536426E8"/>
    <w:rsid w:val="537340B4"/>
    <w:rsid w:val="53C71634"/>
    <w:rsid w:val="5459778E"/>
    <w:rsid w:val="547D2C1A"/>
    <w:rsid w:val="54D83366"/>
    <w:rsid w:val="54F324F8"/>
    <w:rsid w:val="55381ED8"/>
    <w:rsid w:val="5543788A"/>
    <w:rsid w:val="554F18E1"/>
    <w:rsid w:val="55EE58B3"/>
    <w:rsid w:val="563E7AA9"/>
    <w:rsid w:val="568850AA"/>
    <w:rsid w:val="56C25B6C"/>
    <w:rsid w:val="56F22E81"/>
    <w:rsid w:val="57140367"/>
    <w:rsid w:val="57154464"/>
    <w:rsid w:val="57313F33"/>
    <w:rsid w:val="575D6106"/>
    <w:rsid w:val="57A35F14"/>
    <w:rsid w:val="57B9772B"/>
    <w:rsid w:val="5805272B"/>
    <w:rsid w:val="58207C04"/>
    <w:rsid w:val="585A4F2F"/>
    <w:rsid w:val="595765E7"/>
    <w:rsid w:val="597638E0"/>
    <w:rsid w:val="59A05FAE"/>
    <w:rsid w:val="59A349B6"/>
    <w:rsid w:val="59CB2704"/>
    <w:rsid w:val="59E1204C"/>
    <w:rsid w:val="5A0A04CC"/>
    <w:rsid w:val="5B1F079D"/>
    <w:rsid w:val="5B526733"/>
    <w:rsid w:val="5B562F03"/>
    <w:rsid w:val="5B5F03A4"/>
    <w:rsid w:val="5B8A1310"/>
    <w:rsid w:val="5BF1122A"/>
    <w:rsid w:val="5C080114"/>
    <w:rsid w:val="5C12295F"/>
    <w:rsid w:val="5C283EC9"/>
    <w:rsid w:val="5C405F77"/>
    <w:rsid w:val="5C437174"/>
    <w:rsid w:val="5D0E7222"/>
    <w:rsid w:val="5D51434E"/>
    <w:rsid w:val="5DB71AE2"/>
    <w:rsid w:val="5DC23EA0"/>
    <w:rsid w:val="5DC866D4"/>
    <w:rsid w:val="5E50108F"/>
    <w:rsid w:val="5EDB4749"/>
    <w:rsid w:val="5EF01CA8"/>
    <w:rsid w:val="5F2416FD"/>
    <w:rsid w:val="5F29531B"/>
    <w:rsid w:val="5F2D2C93"/>
    <w:rsid w:val="5F9F09A1"/>
    <w:rsid w:val="5FD737D1"/>
    <w:rsid w:val="603077A1"/>
    <w:rsid w:val="606968D4"/>
    <w:rsid w:val="60940868"/>
    <w:rsid w:val="60A26FD1"/>
    <w:rsid w:val="60A47149"/>
    <w:rsid w:val="60DA6DED"/>
    <w:rsid w:val="612B7408"/>
    <w:rsid w:val="617B7D81"/>
    <w:rsid w:val="61A90EE7"/>
    <w:rsid w:val="61B70402"/>
    <w:rsid w:val="61FB55A6"/>
    <w:rsid w:val="62032B48"/>
    <w:rsid w:val="620A534B"/>
    <w:rsid w:val="623C4832"/>
    <w:rsid w:val="62610F56"/>
    <w:rsid w:val="628462D0"/>
    <w:rsid w:val="62A611DF"/>
    <w:rsid w:val="62EE44E7"/>
    <w:rsid w:val="62F6602C"/>
    <w:rsid w:val="630B0D25"/>
    <w:rsid w:val="63377F97"/>
    <w:rsid w:val="633B5253"/>
    <w:rsid w:val="639D576F"/>
    <w:rsid w:val="63C85E98"/>
    <w:rsid w:val="63EC3E4B"/>
    <w:rsid w:val="6402249F"/>
    <w:rsid w:val="644D16E1"/>
    <w:rsid w:val="648D6455"/>
    <w:rsid w:val="64A62BA0"/>
    <w:rsid w:val="65261C11"/>
    <w:rsid w:val="65711400"/>
    <w:rsid w:val="65742EC7"/>
    <w:rsid w:val="6580369E"/>
    <w:rsid w:val="65931376"/>
    <w:rsid w:val="65FC516D"/>
    <w:rsid w:val="660E7CE2"/>
    <w:rsid w:val="666351EC"/>
    <w:rsid w:val="666D68AF"/>
    <w:rsid w:val="66C8504F"/>
    <w:rsid w:val="66CC3556"/>
    <w:rsid w:val="66E638C0"/>
    <w:rsid w:val="66E95763"/>
    <w:rsid w:val="67180AF8"/>
    <w:rsid w:val="676C20F3"/>
    <w:rsid w:val="676C45F3"/>
    <w:rsid w:val="67801DCE"/>
    <w:rsid w:val="67F53618"/>
    <w:rsid w:val="6804655B"/>
    <w:rsid w:val="6820733F"/>
    <w:rsid w:val="68210EBB"/>
    <w:rsid w:val="6826190D"/>
    <w:rsid w:val="686F0AF0"/>
    <w:rsid w:val="688C4126"/>
    <w:rsid w:val="68F42334"/>
    <w:rsid w:val="691B590A"/>
    <w:rsid w:val="69423AFE"/>
    <w:rsid w:val="694D30F2"/>
    <w:rsid w:val="69572F2E"/>
    <w:rsid w:val="69631A3C"/>
    <w:rsid w:val="697F4AA5"/>
    <w:rsid w:val="69F13A07"/>
    <w:rsid w:val="69F45E5D"/>
    <w:rsid w:val="6A366934"/>
    <w:rsid w:val="6A44239D"/>
    <w:rsid w:val="6A4721BE"/>
    <w:rsid w:val="6A75300F"/>
    <w:rsid w:val="6AA735D6"/>
    <w:rsid w:val="6B2D5DC9"/>
    <w:rsid w:val="6B3E69F2"/>
    <w:rsid w:val="6B481FF8"/>
    <w:rsid w:val="6B6E6329"/>
    <w:rsid w:val="6BF665EC"/>
    <w:rsid w:val="6C3A66BC"/>
    <w:rsid w:val="6C7D68DC"/>
    <w:rsid w:val="6CAF1D3C"/>
    <w:rsid w:val="6CD40BF2"/>
    <w:rsid w:val="6CE030B0"/>
    <w:rsid w:val="6CF556F7"/>
    <w:rsid w:val="6D4A4A10"/>
    <w:rsid w:val="6D4B6130"/>
    <w:rsid w:val="6D6E4F1D"/>
    <w:rsid w:val="6DA00AD4"/>
    <w:rsid w:val="6DB14A8F"/>
    <w:rsid w:val="6DB9605E"/>
    <w:rsid w:val="6E2200E3"/>
    <w:rsid w:val="6E9D1680"/>
    <w:rsid w:val="6EB0094B"/>
    <w:rsid w:val="6F0F1435"/>
    <w:rsid w:val="6F1B4E65"/>
    <w:rsid w:val="6F2C2BA0"/>
    <w:rsid w:val="6F2E3093"/>
    <w:rsid w:val="6F4162E7"/>
    <w:rsid w:val="6F5953DE"/>
    <w:rsid w:val="6F8259ED"/>
    <w:rsid w:val="6FD459CC"/>
    <w:rsid w:val="7054775D"/>
    <w:rsid w:val="7056191E"/>
    <w:rsid w:val="70B22023"/>
    <w:rsid w:val="70D43718"/>
    <w:rsid w:val="70D91188"/>
    <w:rsid w:val="70DC4260"/>
    <w:rsid w:val="70E22E6B"/>
    <w:rsid w:val="70E44F58"/>
    <w:rsid w:val="70EC5FE7"/>
    <w:rsid w:val="71265794"/>
    <w:rsid w:val="714176D5"/>
    <w:rsid w:val="71645191"/>
    <w:rsid w:val="717007BD"/>
    <w:rsid w:val="719F6A56"/>
    <w:rsid w:val="71A1306D"/>
    <w:rsid w:val="720D24B0"/>
    <w:rsid w:val="72802C82"/>
    <w:rsid w:val="72E451C2"/>
    <w:rsid w:val="72E804B1"/>
    <w:rsid w:val="73047407"/>
    <w:rsid w:val="73055543"/>
    <w:rsid w:val="73284FC8"/>
    <w:rsid w:val="738E367E"/>
    <w:rsid w:val="73DB1B03"/>
    <w:rsid w:val="73DB4206"/>
    <w:rsid w:val="73FE2B4F"/>
    <w:rsid w:val="747F1A52"/>
    <w:rsid w:val="74984A16"/>
    <w:rsid w:val="74C01A5C"/>
    <w:rsid w:val="74C57302"/>
    <w:rsid w:val="74F636CF"/>
    <w:rsid w:val="75426428"/>
    <w:rsid w:val="75604BFB"/>
    <w:rsid w:val="757F4F2B"/>
    <w:rsid w:val="75F36C04"/>
    <w:rsid w:val="75F6664F"/>
    <w:rsid w:val="76CA0970"/>
    <w:rsid w:val="7702635B"/>
    <w:rsid w:val="771856CB"/>
    <w:rsid w:val="77694336"/>
    <w:rsid w:val="778D79A7"/>
    <w:rsid w:val="77A1279F"/>
    <w:rsid w:val="7829682B"/>
    <w:rsid w:val="78C54F61"/>
    <w:rsid w:val="78FB178A"/>
    <w:rsid w:val="792720A9"/>
    <w:rsid w:val="79870D9A"/>
    <w:rsid w:val="79AB2CDA"/>
    <w:rsid w:val="79B570A3"/>
    <w:rsid w:val="7A195DA1"/>
    <w:rsid w:val="7A700510"/>
    <w:rsid w:val="7A9E639B"/>
    <w:rsid w:val="7AA240DD"/>
    <w:rsid w:val="7AA76D5B"/>
    <w:rsid w:val="7AAB7433"/>
    <w:rsid w:val="7AF01424"/>
    <w:rsid w:val="7B162D99"/>
    <w:rsid w:val="7B2D1921"/>
    <w:rsid w:val="7B3F44E4"/>
    <w:rsid w:val="7B7E4979"/>
    <w:rsid w:val="7B896DFB"/>
    <w:rsid w:val="7BCB1412"/>
    <w:rsid w:val="7BEE05A2"/>
    <w:rsid w:val="7BF3017A"/>
    <w:rsid w:val="7C0132AF"/>
    <w:rsid w:val="7C2C6727"/>
    <w:rsid w:val="7CD15B82"/>
    <w:rsid w:val="7CDF4D92"/>
    <w:rsid w:val="7CED7B6F"/>
    <w:rsid w:val="7D757DAE"/>
    <w:rsid w:val="7D7F24B4"/>
    <w:rsid w:val="7D7F72F7"/>
    <w:rsid w:val="7D951EC0"/>
    <w:rsid w:val="7DC9372F"/>
    <w:rsid w:val="7E236173"/>
    <w:rsid w:val="7E497A3C"/>
    <w:rsid w:val="7E7328E3"/>
    <w:rsid w:val="7ECC79AF"/>
    <w:rsid w:val="7ED5043F"/>
    <w:rsid w:val="7F2A28F3"/>
    <w:rsid w:val="7F9972B4"/>
    <w:rsid w:val="7FC37164"/>
    <w:rsid w:val="7FD029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8"/>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2"/>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1">
    <w:name w:val="Default Paragraph Font"/>
    <w:semiHidden/>
    <w:qFormat/>
    <w:uiPriority w:val="0"/>
  </w:style>
  <w:style w:type="table" w:default="1" w:styleId="39">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11">
    <w:name w:val="toc 7"/>
    <w:basedOn w:val="1"/>
    <w:next w:val="1"/>
    <w:unhideWhenUsed/>
    <w:qFormat/>
    <w:uiPriority w:val="39"/>
    <w:pPr>
      <w:ind w:left="2520" w:leftChars="1200"/>
    </w:pPr>
    <w:rPr>
      <w:rFonts w:ascii="Calibri" w:hAnsi="Calibri" w:eastAsia="宋体" w:cs="Times New Roman"/>
      <w:szCs w:val="22"/>
    </w:rPr>
  </w:style>
  <w:style w:type="paragraph" w:styleId="12">
    <w:name w:val="caption"/>
    <w:basedOn w:val="1"/>
    <w:next w:val="1"/>
    <w:qFormat/>
    <w:uiPriority w:val="0"/>
    <w:rPr>
      <w:rFonts w:ascii="Arial" w:hAnsi="Arial" w:eastAsia="黑体" w:cs="Arial"/>
      <w:sz w:val="20"/>
      <w:szCs w:val="20"/>
    </w:rPr>
  </w:style>
  <w:style w:type="paragraph" w:styleId="13">
    <w:name w:val="Document Map"/>
    <w:basedOn w:val="1"/>
    <w:link w:val="56"/>
    <w:qFormat/>
    <w:uiPriority w:val="0"/>
    <w:rPr>
      <w:rFonts w:ascii="宋体"/>
      <w:sz w:val="18"/>
      <w:szCs w:val="18"/>
    </w:rPr>
  </w:style>
  <w:style w:type="paragraph" w:styleId="14">
    <w:name w:val="annotation text"/>
    <w:basedOn w:val="1"/>
    <w:link w:val="50"/>
    <w:qFormat/>
    <w:uiPriority w:val="0"/>
    <w:pPr>
      <w:jc w:val="left"/>
    </w:pPr>
  </w:style>
  <w:style w:type="paragraph" w:styleId="15">
    <w:name w:val="Body Text 3"/>
    <w:basedOn w:val="1"/>
    <w:link w:val="48"/>
    <w:qFormat/>
    <w:uiPriority w:val="0"/>
    <w:rPr>
      <w:rFonts w:ascii="宋体"/>
      <w:sz w:val="24"/>
      <w:szCs w:val="20"/>
    </w:rPr>
  </w:style>
  <w:style w:type="paragraph" w:styleId="16">
    <w:name w:val="Body Text"/>
    <w:basedOn w:val="1"/>
    <w:qFormat/>
    <w:uiPriority w:val="0"/>
    <w:pPr>
      <w:spacing w:after="120"/>
    </w:pPr>
  </w:style>
  <w:style w:type="paragraph" w:styleId="17">
    <w:name w:val="Body Text Indent"/>
    <w:basedOn w:val="1"/>
    <w:qFormat/>
    <w:uiPriority w:val="0"/>
    <w:pPr>
      <w:spacing w:after="120"/>
      <w:ind w:left="420" w:leftChars="200"/>
    </w:pPr>
  </w:style>
  <w:style w:type="paragraph" w:styleId="18">
    <w:name w:val="toc 5"/>
    <w:basedOn w:val="1"/>
    <w:next w:val="1"/>
    <w:unhideWhenUsed/>
    <w:qFormat/>
    <w:uiPriority w:val="39"/>
    <w:pPr>
      <w:ind w:left="1680" w:leftChars="800"/>
    </w:pPr>
    <w:rPr>
      <w:rFonts w:ascii="Calibri" w:hAnsi="Calibri" w:eastAsia="宋体" w:cs="Times New Roman"/>
      <w:szCs w:val="22"/>
    </w:rPr>
  </w:style>
  <w:style w:type="paragraph" w:styleId="19">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0">
    <w:name w:val="Plain Text"/>
    <w:basedOn w:val="1"/>
    <w:link w:val="55"/>
    <w:qFormat/>
    <w:uiPriority w:val="0"/>
    <w:rPr>
      <w:rFonts w:ascii="宋体" w:hAnsi="Courier New"/>
      <w:szCs w:val="20"/>
    </w:rPr>
  </w:style>
  <w:style w:type="paragraph" w:styleId="21">
    <w:name w:val="toc 8"/>
    <w:basedOn w:val="1"/>
    <w:next w:val="1"/>
    <w:unhideWhenUsed/>
    <w:qFormat/>
    <w:uiPriority w:val="39"/>
    <w:pPr>
      <w:ind w:left="2940" w:leftChars="1400"/>
    </w:pPr>
    <w:rPr>
      <w:rFonts w:ascii="Calibri" w:hAnsi="Calibri" w:eastAsia="宋体" w:cs="Times New Roman"/>
      <w:szCs w:val="22"/>
    </w:rPr>
  </w:style>
  <w:style w:type="paragraph" w:styleId="22">
    <w:name w:val="Date"/>
    <w:basedOn w:val="1"/>
    <w:next w:val="1"/>
    <w:qFormat/>
    <w:uiPriority w:val="0"/>
    <w:rPr>
      <w:sz w:val="24"/>
      <w:szCs w:val="20"/>
    </w:rPr>
  </w:style>
  <w:style w:type="paragraph" w:styleId="23">
    <w:name w:val="Body Text Indent 2"/>
    <w:basedOn w:val="1"/>
    <w:qFormat/>
    <w:uiPriority w:val="0"/>
    <w:pPr>
      <w:spacing w:line="500" w:lineRule="exact"/>
      <w:ind w:firstLine="540" w:firstLineChars="200"/>
    </w:pPr>
    <w:rPr>
      <w:rFonts w:ascii="宋体" w:hAnsi="宋体"/>
      <w:sz w:val="27"/>
      <w:szCs w:val="27"/>
    </w:rPr>
  </w:style>
  <w:style w:type="paragraph" w:styleId="24">
    <w:name w:val="endnote text"/>
    <w:basedOn w:val="1"/>
    <w:semiHidden/>
    <w:qFormat/>
    <w:uiPriority w:val="0"/>
    <w:pPr>
      <w:snapToGrid w:val="0"/>
      <w:jc w:val="left"/>
    </w:pPr>
  </w:style>
  <w:style w:type="paragraph" w:styleId="25">
    <w:name w:val="Balloon Text"/>
    <w:basedOn w:val="1"/>
    <w:semiHidden/>
    <w:qFormat/>
    <w:uiPriority w:val="0"/>
    <w:rPr>
      <w:sz w:val="18"/>
      <w:szCs w:val="18"/>
    </w:rPr>
  </w:style>
  <w:style w:type="paragraph" w:styleId="26">
    <w:name w:val="footer"/>
    <w:basedOn w:val="1"/>
    <w:link w:val="51"/>
    <w:qFormat/>
    <w:uiPriority w:val="0"/>
    <w:pPr>
      <w:tabs>
        <w:tab w:val="center" w:pos="4153"/>
        <w:tab w:val="right" w:pos="8306"/>
      </w:tabs>
      <w:snapToGrid w:val="0"/>
      <w:jc w:val="left"/>
    </w:pPr>
    <w:rPr>
      <w:sz w:val="18"/>
      <w:szCs w:val="18"/>
    </w:rPr>
  </w:style>
  <w:style w:type="paragraph" w:styleId="27">
    <w:name w:val="header"/>
    <w:basedOn w:val="1"/>
    <w:link w:val="65"/>
    <w:qFormat/>
    <w:uiPriority w:val="0"/>
    <w:pPr>
      <w:tabs>
        <w:tab w:val="center" w:pos="4153"/>
        <w:tab w:val="right" w:pos="8306"/>
      </w:tabs>
      <w:snapToGrid w:val="0"/>
      <w:jc w:val="center"/>
    </w:pPr>
    <w:rPr>
      <w:sz w:val="18"/>
      <w:szCs w:val="18"/>
    </w:rPr>
  </w:style>
  <w:style w:type="paragraph" w:styleId="28">
    <w:name w:val="toc 1"/>
    <w:basedOn w:val="1"/>
    <w:next w:val="1"/>
    <w:qFormat/>
    <w:uiPriority w:val="39"/>
    <w:pPr>
      <w:tabs>
        <w:tab w:val="left" w:pos="425"/>
        <w:tab w:val="right" w:leader="dot" w:pos="8805"/>
      </w:tabs>
      <w:spacing w:line="440" w:lineRule="exact"/>
      <w:jc w:val="center"/>
    </w:pPr>
    <w:rPr>
      <w:color w:val="000000"/>
      <w:sz w:val="20"/>
      <w:szCs w:val="20"/>
    </w:rPr>
  </w:style>
  <w:style w:type="paragraph" w:styleId="29">
    <w:name w:val="toc 4"/>
    <w:basedOn w:val="1"/>
    <w:next w:val="1"/>
    <w:unhideWhenUsed/>
    <w:qFormat/>
    <w:uiPriority w:val="39"/>
    <w:pPr>
      <w:ind w:left="1260" w:leftChars="600"/>
    </w:pPr>
    <w:rPr>
      <w:rFonts w:ascii="Calibri" w:hAnsi="Calibri" w:eastAsia="宋体" w:cs="Times New Roman"/>
      <w:szCs w:val="22"/>
    </w:rPr>
  </w:style>
  <w:style w:type="paragraph" w:styleId="30">
    <w:name w:val="footnote text"/>
    <w:basedOn w:val="1"/>
    <w:link w:val="57"/>
    <w:qFormat/>
    <w:uiPriority w:val="0"/>
    <w:pPr>
      <w:adjustRightInd w:val="0"/>
      <w:snapToGrid w:val="0"/>
      <w:spacing w:line="420" w:lineRule="atLeast"/>
      <w:ind w:firstLine="454"/>
      <w:jc w:val="left"/>
      <w:textAlignment w:val="baseline"/>
    </w:pPr>
    <w:rPr>
      <w:kern w:val="0"/>
      <w:sz w:val="18"/>
      <w:szCs w:val="20"/>
    </w:rPr>
  </w:style>
  <w:style w:type="paragraph" w:styleId="31">
    <w:name w:val="toc 6"/>
    <w:basedOn w:val="1"/>
    <w:next w:val="1"/>
    <w:unhideWhenUsed/>
    <w:qFormat/>
    <w:uiPriority w:val="39"/>
    <w:pPr>
      <w:ind w:left="2100" w:leftChars="1000"/>
    </w:pPr>
    <w:rPr>
      <w:rFonts w:ascii="Calibri" w:hAnsi="Calibri" w:eastAsia="宋体" w:cs="Times New Roman"/>
      <w:szCs w:val="22"/>
    </w:rPr>
  </w:style>
  <w:style w:type="paragraph" w:styleId="32">
    <w:name w:val="Body Text Indent 3"/>
    <w:basedOn w:val="1"/>
    <w:qFormat/>
    <w:uiPriority w:val="0"/>
    <w:pPr>
      <w:spacing w:after="120"/>
      <w:ind w:left="420" w:leftChars="200"/>
    </w:pPr>
    <w:rPr>
      <w:sz w:val="16"/>
      <w:szCs w:val="16"/>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ind w:left="3360" w:leftChars="1600"/>
    </w:pPr>
    <w:rPr>
      <w:rFonts w:ascii="Calibri" w:hAnsi="Calibri" w:eastAsia="宋体" w:cs="Times New Roman"/>
      <w:szCs w:val="22"/>
    </w:rPr>
  </w:style>
  <w:style w:type="paragraph" w:styleId="35">
    <w:name w:val="Body Text 2"/>
    <w:basedOn w:val="1"/>
    <w:qFormat/>
    <w:uiPriority w:val="0"/>
    <w:pPr>
      <w:spacing w:after="120" w:line="480" w:lineRule="auto"/>
    </w:pPr>
  </w:style>
  <w:style w:type="paragraph" w:styleId="36">
    <w:name w:val="index 1"/>
    <w:basedOn w:val="1"/>
    <w:next w:val="1"/>
    <w:semiHidden/>
    <w:qFormat/>
    <w:uiPriority w:val="0"/>
    <w:pPr>
      <w:spacing w:line="220" w:lineRule="exact"/>
      <w:jc w:val="center"/>
    </w:pPr>
    <w:rPr>
      <w:rFonts w:ascii="仿宋_GB2312" w:eastAsia="仿宋_GB2312"/>
      <w:szCs w:val="21"/>
    </w:rPr>
  </w:style>
  <w:style w:type="paragraph" w:styleId="37">
    <w:name w:val="Title"/>
    <w:basedOn w:val="1"/>
    <w:link w:val="5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8">
    <w:name w:val="annotation subject"/>
    <w:basedOn w:val="14"/>
    <w:next w:val="14"/>
    <w:link w:val="49"/>
    <w:qFormat/>
    <w:uiPriority w:val="0"/>
    <w:rPr>
      <w:b/>
      <w:bCs/>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endnote reference"/>
    <w:semiHidden/>
    <w:qFormat/>
    <w:uiPriority w:val="0"/>
    <w:rPr>
      <w:vertAlign w:val="superscript"/>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character" w:styleId="47">
    <w:name w:val="footnote reference"/>
    <w:qFormat/>
    <w:uiPriority w:val="0"/>
    <w:rPr>
      <w:vertAlign w:val="superscript"/>
    </w:rPr>
  </w:style>
  <w:style w:type="character" w:customStyle="1" w:styleId="48">
    <w:name w:val="正文文本 3 Char"/>
    <w:basedOn w:val="41"/>
    <w:link w:val="15"/>
    <w:qFormat/>
    <w:uiPriority w:val="0"/>
    <w:rPr>
      <w:rFonts w:ascii="宋体"/>
      <w:kern w:val="2"/>
      <w:sz w:val="24"/>
    </w:rPr>
  </w:style>
  <w:style w:type="character" w:customStyle="1" w:styleId="49">
    <w:name w:val="批注主题 Char"/>
    <w:link w:val="38"/>
    <w:qFormat/>
    <w:uiPriority w:val="0"/>
    <w:rPr>
      <w:b/>
      <w:bCs/>
      <w:kern w:val="2"/>
      <w:sz w:val="21"/>
      <w:szCs w:val="24"/>
    </w:rPr>
  </w:style>
  <w:style w:type="character" w:customStyle="1" w:styleId="50">
    <w:name w:val="批注文字 Char"/>
    <w:basedOn w:val="41"/>
    <w:link w:val="14"/>
    <w:qFormat/>
    <w:uiPriority w:val="0"/>
    <w:rPr>
      <w:kern w:val="2"/>
      <w:sz w:val="21"/>
      <w:szCs w:val="24"/>
    </w:rPr>
  </w:style>
  <w:style w:type="character" w:customStyle="1" w:styleId="51">
    <w:name w:val="页脚 Char"/>
    <w:link w:val="26"/>
    <w:qFormat/>
    <w:uiPriority w:val="0"/>
    <w:rPr>
      <w:rFonts w:eastAsia="宋体"/>
      <w:kern w:val="2"/>
      <w:sz w:val="18"/>
      <w:szCs w:val="18"/>
      <w:lang w:val="en-US" w:eastAsia="zh-CN" w:bidi="ar-SA"/>
    </w:rPr>
  </w:style>
  <w:style w:type="character" w:customStyle="1" w:styleId="52">
    <w:name w:val="font161"/>
    <w:qFormat/>
    <w:uiPriority w:val="0"/>
    <w:rPr>
      <w:b/>
      <w:bCs/>
      <w:sz w:val="32"/>
      <w:szCs w:val="32"/>
    </w:rPr>
  </w:style>
  <w:style w:type="character" w:customStyle="1" w:styleId="53">
    <w:name w:val="标题 Char"/>
    <w:link w:val="37"/>
    <w:qFormat/>
    <w:uiPriority w:val="0"/>
    <w:rPr>
      <w:rFonts w:ascii="Arial" w:hAnsi="Arial" w:eastAsia="宋体"/>
      <w:b/>
      <w:sz w:val="32"/>
      <w:lang w:val="en-US" w:eastAsia="zh-CN" w:bidi="ar-SA"/>
    </w:rPr>
  </w:style>
  <w:style w:type="character" w:customStyle="1" w:styleId="54">
    <w:name w:val="数字"/>
    <w:qFormat/>
    <w:uiPriority w:val="0"/>
    <w:rPr>
      <w:rFonts w:eastAsia="黑体"/>
      <w:b/>
      <w:sz w:val="21"/>
    </w:rPr>
  </w:style>
  <w:style w:type="character" w:customStyle="1" w:styleId="55">
    <w:name w:val="纯文本 Char"/>
    <w:link w:val="20"/>
    <w:qFormat/>
    <w:uiPriority w:val="0"/>
    <w:rPr>
      <w:rFonts w:ascii="宋体" w:hAnsi="Courier New" w:eastAsia="宋体"/>
      <w:kern w:val="2"/>
      <w:sz w:val="21"/>
      <w:lang w:val="en-US" w:eastAsia="zh-CN" w:bidi="ar-SA"/>
    </w:rPr>
  </w:style>
  <w:style w:type="character" w:customStyle="1" w:styleId="56">
    <w:name w:val="文档结构图 Char"/>
    <w:link w:val="13"/>
    <w:qFormat/>
    <w:uiPriority w:val="0"/>
    <w:rPr>
      <w:rFonts w:ascii="宋体"/>
      <w:kern w:val="2"/>
      <w:sz w:val="18"/>
      <w:szCs w:val="18"/>
    </w:rPr>
  </w:style>
  <w:style w:type="character" w:customStyle="1" w:styleId="57">
    <w:name w:val="脚注文本 Char"/>
    <w:link w:val="30"/>
    <w:qFormat/>
    <w:uiPriority w:val="0"/>
    <w:rPr>
      <w:sz w:val="18"/>
    </w:rPr>
  </w:style>
  <w:style w:type="character" w:customStyle="1" w:styleId="58">
    <w:name w:val="标题 2 Char"/>
    <w:link w:val="3"/>
    <w:qFormat/>
    <w:uiPriority w:val="0"/>
    <w:rPr>
      <w:rFonts w:ascii="宋体" w:hAnsi="宋体" w:eastAsia="黑体"/>
      <w:bCs/>
      <w:i/>
      <w:iCs/>
      <w:kern w:val="2"/>
      <w:sz w:val="24"/>
    </w:rPr>
  </w:style>
  <w:style w:type="character" w:customStyle="1" w:styleId="59">
    <w:name w:val="H001 Char"/>
    <w:link w:val="60"/>
    <w:qFormat/>
    <w:uiPriority w:val="0"/>
    <w:rPr>
      <w:rFonts w:eastAsia="黑体"/>
      <w:bCs/>
      <w:kern w:val="44"/>
      <w:sz w:val="24"/>
      <w:szCs w:val="44"/>
    </w:rPr>
  </w:style>
  <w:style w:type="paragraph" w:customStyle="1" w:styleId="60">
    <w:name w:val="H001"/>
    <w:basedOn w:val="2"/>
    <w:link w:val="59"/>
    <w:qFormat/>
    <w:uiPriority w:val="0"/>
    <w:pPr>
      <w:spacing w:before="240" w:after="240" w:line="240" w:lineRule="exact"/>
    </w:pPr>
    <w:rPr>
      <w:rFonts w:eastAsia="黑体"/>
      <w:sz w:val="24"/>
    </w:rPr>
  </w:style>
  <w:style w:type="character" w:customStyle="1" w:styleId="61">
    <w:name w:val="脚注文本 字符1"/>
    <w:semiHidden/>
    <w:qFormat/>
    <w:locked/>
    <w:uiPriority w:val="0"/>
    <w:rPr>
      <w:kern w:val="2"/>
      <w:sz w:val="18"/>
      <w:szCs w:val="18"/>
    </w:rPr>
  </w:style>
  <w:style w:type="character" w:customStyle="1" w:styleId="62">
    <w:name w:val="标题 3 Char"/>
    <w:link w:val="5"/>
    <w:qFormat/>
    <w:uiPriority w:val="0"/>
    <w:rPr>
      <w:b/>
      <w:sz w:val="32"/>
    </w:rPr>
  </w:style>
  <w:style w:type="character" w:customStyle="1" w:styleId="63">
    <w:name w:val="标题 1 Char"/>
    <w:link w:val="2"/>
    <w:qFormat/>
    <w:uiPriority w:val="0"/>
    <w:rPr>
      <w:rFonts w:eastAsia="黑体"/>
      <w:bCs/>
      <w:kern w:val="44"/>
      <w:sz w:val="24"/>
      <w:szCs w:val="44"/>
    </w:rPr>
  </w:style>
  <w:style w:type="character" w:customStyle="1" w:styleId="64">
    <w:name w:val="未处理的提及"/>
    <w:unhideWhenUsed/>
    <w:qFormat/>
    <w:uiPriority w:val="99"/>
    <w:rPr>
      <w:color w:val="808080"/>
      <w:shd w:val="clear" w:color="auto" w:fill="E6E6E6"/>
    </w:rPr>
  </w:style>
  <w:style w:type="character" w:customStyle="1" w:styleId="65">
    <w:name w:val="页眉 Char"/>
    <w:basedOn w:val="41"/>
    <w:link w:val="27"/>
    <w:qFormat/>
    <w:uiPriority w:val="0"/>
    <w:rPr>
      <w:kern w:val="2"/>
      <w:sz w:val="18"/>
      <w:szCs w:val="18"/>
    </w:rPr>
  </w:style>
  <w:style w:type="paragraph" w:customStyle="1" w:styleId="66">
    <w:name w:val="2"/>
    <w:basedOn w:val="1"/>
    <w:qFormat/>
    <w:uiPriority w:val="0"/>
    <w:pPr>
      <w:adjustRightInd w:val="0"/>
      <w:spacing w:line="420" w:lineRule="atLeast"/>
      <w:ind w:left="1134" w:hanging="227"/>
      <w:textAlignment w:val="baseline"/>
    </w:pPr>
    <w:rPr>
      <w:kern w:val="0"/>
      <w:szCs w:val="20"/>
    </w:rPr>
  </w:style>
  <w:style w:type="paragraph" w:customStyle="1" w:styleId="67">
    <w:name w:val="表格2"/>
    <w:basedOn w:val="1"/>
    <w:qFormat/>
    <w:uiPriority w:val="0"/>
    <w:pPr>
      <w:adjustRightInd w:val="0"/>
      <w:spacing w:line="420" w:lineRule="atLeast"/>
      <w:ind w:left="284" w:firstLine="454"/>
      <w:textAlignment w:val="baseline"/>
    </w:pPr>
    <w:rPr>
      <w:kern w:val="0"/>
      <w:szCs w:val="20"/>
    </w:rPr>
  </w:style>
  <w:style w:type="paragraph" w:customStyle="1" w:styleId="68">
    <w:name w:val="表格6"/>
    <w:basedOn w:val="69"/>
    <w:qFormat/>
    <w:uiPriority w:val="0"/>
    <w:pPr>
      <w:ind w:left="737" w:firstLine="0"/>
    </w:pPr>
  </w:style>
  <w:style w:type="paragraph" w:customStyle="1" w:styleId="69">
    <w:name w:val="表格5"/>
    <w:basedOn w:val="67"/>
    <w:qFormat/>
    <w:uiPriority w:val="0"/>
    <w:pPr>
      <w:ind w:left="1021" w:hanging="284"/>
    </w:pPr>
    <w:rPr>
      <w:rFonts w:ascii="宋体"/>
    </w:rPr>
  </w:style>
  <w:style w:type="paragraph" w:customStyle="1" w:styleId="70">
    <w:name w:val=" Char Char Char"/>
    <w:basedOn w:val="1"/>
    <w:qFormat/>
    <w:uiPriority w:val="0"/>
    <w:rPr>
      <w:szCs w:val="20"/>
    </w:rPr>
  </w:style>
  <w:style w:type="paragraph" w:customStyle="1" w:styleId="71">
    <w:name w:val="af15hichaf0dbchf15cgrid"/>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2">
    <w:name w:val="表格3"/>
    <w:basedOn w:val="1"/>
    <w:qFormat/>
    <w:uiPriority w:val="0"/>
    <w:pPr>
      <w:adjustRightInd w:val="0"/>
      <w:spacing w:line="420" w:lineRule="atLeast"/>
      <w:textAlignment w:val="baseline"/>
    </w:pPr>
    <w:rPr>
      <w:rFonts w:eastAsia="楷体"/>
      <w:kern w:val="0"/>
      <w:szCs w:val="20"/>
    </w:rPr>
  </w:style>
  <w:style w:type="paragraph" w:customStyle="1" w:styleId="73">
    <w:name w:val="表中"/>
    <w:basedOn w:val="1"/>
    <w:qFormat/>
    <w:uiPriority w:val="0"/>
    <w:pPr>
      <w:adjustRightInd w:val="0"/>
      <w:spacing w:line="360" w:lineRule="atLeast"/>
      <w:jc w:val="center"/>
      <w:textAlignment w:val="baseline"/>
    </w:pPr>
    <w:rPr>
      <w:kern w:val="0"/>
      <w:szCs w:val="20"/>
    </w:rPr>
  </w:style>
  <w:style w:type="paragraph" w:customStyle="1" w:styleId="74">
    <w:name w:val="表格4"/>
    <w:basedOn w:val="1"/>
    <w:qFormat/>
    <w:uiPriority w:val="0"/>
    <w:pPr>
      <w:adjustRightInd w:val="0"/>
      <w:spacing w:line="420" w:lineRule="atLeast"/>
      <w:ind w:left="1021"/>
      <w:textAlignment w:val="baseline"/>
    </w:pPr>
    <w:rPr>
      <w:kern w:val="0"/>
      <w:szCs w:val="20"/>
    </w:rPr>
  </w:style>
  <w:style w:type="paragraph" w:customStyle="1" w:styleId="7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6">
    <w:name w:val="1"/>
    <w:basedOn w:val="1"/>
    <w:next w:val="1"/>
    <w:qFormat/>
    <w:uiPriority w:val="0"/>
  </w:style>
  <w:style w:type="paragraph" w:customStyle="1" w:styleId="77">
    <w:name w:val="表格文字"/>
    <w:basedOn w:val="1"/>
    <w:qFormat/>
    <w:uiPriority w:val="0"/>
    <w:pPr>
      <w:adjustRightInd w:val="0"/>
      <w:spacing w:line="420" w:lineRule="atLeast"/>
      <w:jc w:val="left"/>
      <w:textAlignment w:val="baseline"/>
    </w:pPr>
    <w:rPr>
      <w:kern w:val="0"/>
      <w:szCs w:val="20"/>
    </w:rPr>
  </w:style>
  <w:style w:type="paragraph" w:customStyle="1" w:styleId="78">
    <w:name w:val="表格"/>
    <w:basedOn w:val="1"/>
    <w:qFormat/>
    <w:uiPriority w:val="0"/>
    <w:pPr>
      <w:jc w:val="center"/>
      <w:textAlignment w:val="center"/>
    </w:pPr>
    <w:rPr>
      <w:rFonts w:ascii="华文细黑" w:hAnsi="华文细黑"/>
      <w:kern w:val="0"/>
      <w:szCs w:val="20"/>
    </w:rPr>
  </w:style>
  <w:style w:type="paragraph" w:customStyle="1" w:styleId="79">
    <w:name w:val="表格方字"/>
    <w:basedOn w:val="1"/>
    <w:qFormat/>
    <w:uiPriority w:val="0"/>
    <w:pPr>
      <w:adjustRightInd w:val="0"/>
      <w:spacing w:before="60" w:after="60" w:line="420" w:lineRule="atLeast"/>
      <w:jc w:val="left"/>
      <w:textAlignment w:val="baseline"/>
    </w:pPr>
    <w:rPr>
      <w:kern w:val="0"/>
      <w:szCs w:val="20"/>
    </w:rPr>
  </w:style>
  <w:style w:type="paragraph" w:customStyle="1" w:styleId="80">
    <w:name w:val="表头"/>
    <w:basedOn w:val="79"/>
    <w:qFormat/>
    <w:uiPriority w:val="0"/>
    <w:rPr>
      <w:rFonts w:ascii="黑体" w:eastAsia="黑体"/>
      <w:b/>
    </w:rPr>
  </w:style>
  <w:style w:type="paragraph" w:customStyle="1" w:styleId="81">
    <w:name w:val="表格1"/>
    <w:basedOn w:val="1"/>
    <w:qFormat/>
    <w:uiPriority w:val="0"/>
    <w:pPr>
      <w:adjustRightInd w:val="0"/>
      <w:spacing w:line="420" w:lineRule="atLeast"/>
      <w:ind w:left="284"/>
      <w:textAlignment w:val="baseline"/>
    </w:pPr>
    <w:rPr>
      <w:kern w:val="0"/>
      <w:szCs w:val="20"/>
    </w:rPr>
  </w:style>
  <w:style w:type="paragraph" w:customStyle="1" w:styleId="82">
    <w:name w:val=" Char Char Char Char Char Char"/>
    <w:basedOn w:val="1"/>
    <w:qFormat/>
    <w:uiPriority w:val="0"/>
  </w:style>
  <w:style w:type="paragraph" w:customStyle="1" w:styleId="83">
    <w:name w:val=" Char"/>
    <w:basedOn w:val="1"/>
    <w:qFormat/>
    <w:uiPriority w:val="0"/>
  </w:style>
  <w:style w:type="paragraph" w:customStyle="1" w:styleId="84">
    <w:name w:val=" Char1"/>
    <w:basedOn w:val="1"/>
    <w:qFormat/>
    <w:uiPriority w:val="0"/>
  </w:style>
  <w:style w:type="paragraph" w:customStyle="1" w:styleId="85">
    <w:name w:val="Char"/>
    <w:basedOn w:val="1"/>
    <w:qFormat/>
    <w:uiPriority w:val="0"/>
  </w:style>
  <w:style w:type="paragraph" w:customStyle="1" w:styleId="86">
    <w:name w:val=" Char Char Char Char Char Char Char Char Char Char Char Char Char Char Char Char Char Char1 Char Char Char Char"/>
    <w:basedOn w:val="1"/>
    <w:qFormat/>
    <w:uiPriority w:val="0"/>
  </w:style>
  <w:style w:type="paragraph" w:customStyle="1" w:styleId="87">
    <w:name w:val="_Style 86"/>
    <w:semiHidden/>
    <w:qFormat/>
    <w:uiPriority w:val="99"/>
    <w:rPr>
      <w:rFonts w:ascii="Times New Roman" w:hAnsi="Times New Roman" w:eastAsia="宋体" w:cs="Times New Roman"/>
      <w:kern w:val="2"/>
      <w:sz w:val="21"/>
      <w:szCs w:val="24"/>
      <w:lang w:val="en-US" w:eastAsia="zh-CN" w:bidi="ar-SA"/>
    </w:rPr>
  </w:style>
  <w:style w:type="paragraph" w:customStyle="1" w:styleId="88">
    <w:name w:val="_Style 87"/>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9">
    <w:name w:val="Char Char Char"/>
    <w:basedOn w:val="1"/>
    <w:qFormat/>
    <w:uiPriority w:val="0"/>
    <w:rPr>
      <w:szCs w:val="20"/>
    </w:rPr>
  </w:style>
  <w:style w:type="paragraph" w:customStyle="1" w:styleId="90">
    <w:name w:val="WPSOffice手动目录 1"/>
    <w:qFormat/>
    <w:uiPriority w:val="0"/>
    <w:pPr>
      <w:ind w:leftChars="0"/>
    </w:pPr>
    <w:rPr>
      <w:rFonts w:ascii="Times New Roman" w:hAnsi="Times New Roman" w:eastAsia="宋体" w:cs="Times New Roman"/>
      <w:sz w:val="20"/>
      <w:szCs w:val="20"/>
    </w:rPr>
  </w:style>
  <w:style w:type="paragraph" w:customStyle="1" w:styleId="91">
    <w:name w:val="WPSOffice手动目录 3"/>
    <w:qFormat/>
    <w:uiPriority w:val="0"/>
    <w:pPr>
      <w:ind w:leftChars="400"/>
    </w:pPr>
    <w:rPr>
      <w:rFonts w:ascii="Times New Roman" w:hAnsi="Times New Roman" w:eastAsia="宋体" w:cs="Times New Roman"/>
      <w:sz w:val="20"/>
      <w:szCs w:val="20"/>
    </w:rPr>
  </w:style>
  <w:style w:type="paragraph" w:customStyle="1" w:styleId="92">
    <w:name w:val="WPSOffice手动目录 2"/>
    <w:qFormat/>
    <w:uiPriority w:val="0"/>
    <w:pPr>
      <w:ind w:leftChars="200"/>
    </w:pPr>
    <w:rPr>
      <w:rFonts w:ascii="Times New Roman" w:hAnsi="Times New Roman" w:eastAsia="宋体" w:cs="Times New Roman"/>
      <w:sz w:val="20"/>
      <w:szCs w:val="20"/>
    </w:rPr>
  </w:style>
  <w:style w:type="paragraph" w:customStyle="1" w:styleId="93">
    <w:name w:val="Table Text"/>
    <w:basedOn w:val="1"/>
    <w:semiHidden/>
    <w:qFormat/>
    <w:uiPriority w:val="0"/>
    <w:rPr>
      <w:rFonts w:ascii="宋体" w:hAnsi="宋体" w:eastAsia="宋体" w:cs="宋体"/>
      <w:sz w:val="24"/>
      <w:szCs w:val="24"/>
      <w:lang w:val="en-US" w:eastAsia="en-US" w:bidi="ar-SA"/>
    </w:rPr>
  </w:style>
  <w:style w:type="table" w:customStyle="1" w:styleId="94">
    <w:name w:val="Table Normal"/>
    <w:semiHidden/>
    <w:unhideWhenUsed/>
    <w:qFormat/>
    <w:uiPriority w:val="0"/>
    <w:tblPr>
      <w:tblCellMar>
        <w:top w:w="0" w:type="dxa"/>
        <w:left w:w="0" w:type="dxa"/>
        <w:bottom w:w="0" w:type="dxa"/>
        <w:right w:w="0" w:type="dxa"/>
      </w:tblCellMar>
    </w:tblPr>
  </w:style>
  <w:style w:type="paragraph" w:customStyle="1" w:styleId="95">
    <w:name w:val="Table Paragraph"/>
    <w:basedOn w:val="1"/>
    <w:autoRedefine/>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1.wmf"/><Relationship Id="rId48" Type="http://schemas.openxmlformats.org/officeDocument/2006/relationships/oleObject" Target="embeddings/oleObject1.bin"/><Relationship Id="rId47" Type="http://schemas.openxmlformats.org/officeDocument/2006/relationships/theme" Target="theme/theme1.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header" Target="header20.xml"/><Relationship Id="rId43" Type="http://schemas.openxmlformats.org/officeDocument/2006/relationships/header" Target="header19.xml"/><Relationship Id="rId42" Type="http://schemas.openxmlformats.org/officeDocument/2006/relationships/footer" Target="footer21.xml"/><Relationship Id="rId41" Type="http://schemas.openxmlformats.org/officeDocument/2006/relationships/footer" Target="footer20.xml"/><Relationship Id="rId40" Type="http://schemas.openxmlformats.org/officeDocument/2006/relationships/header" Target="header18.xml"/><Relationship Id="rId4" Type="http://schemas.openxmlformats.org/officeDocument/2006/relationships/header" Target="header1.xml"/><Relationship Id="rId39" Type="http://schemas.openxmlformats.org/officeDocument/2006/relationships/header" Target="header17.xml"/><Relationship Id="rId38" Type="http://schemas.openxmlformats.org/officeDocument/2006/relationships/footer" Target="footer19.xml"/><Relationship Id="rId37" Type="http://schemas.openxmlformats.org/officeDocument/2006/relationships/header" Target="header16.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header" Target="header15.xml"/><Relationship Id="rId33" Type="http://schemas.openxmlformats.org/officeDocument/2006/relationships/header" Target="header14.xml"/><Relationship Id="rId32" Type="http://schemas.openxmlformats.org/officeDocument/2006/relationships/footer" Target="footer16.xml"/><Relationship Id="rId31" Type="http://schemas.openxmlformats.org/officeDocument/2006/relationships/header" Target="header13.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286</Pages>
  <Words>137</Words>
  <Characters>137</Characters>
  <Lines>1513</Lines>
  <Paragraphs>426</Paragraphs>
  <TotalTime>98</TotalTime>
  <ScaleCrop>false</ScaleCrop>
  <LinksUpToDate>false</LinksUpToDate>
  <CharactersWithSpaces>168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2016-09-27T13:48:00Z</dcterms:created>
  <dc:creator>袁静</dc:creator>
  <cp:lastModifiedBy>lenovo</cp:lastModifiedBy>
  <cp:lastPrinted>2026-04-07T02:58:08Z</cp:lastPrinted>
  <dcterms:modified xsi:type="dcterms:W3CDTF">2026-04-07T03:05:53Z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B3507E358DC14BA68E9919EE2428B988_13</vt:lpwstr>
  </property>
  <property fmtid="{D5CDD505-2E9C-101B-9397-08002B2CF9AE}" pid="4" name="KSOTemplateDocerSaveRecord">
    <vt:lpwstr>eyJoZGlkIjoiYmZmYWI0YmM5Y2QzZjNmMzdiNmE5ZjJiN2QwMTdlNTEiLCJ1c2VySWQiOiI0NzcyODgxOTkifQ==</vt:lpwstr>
  </property>
</Properties>
</file>